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2022-09-21</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9"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28"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27" w:name="priors"/>
    <w:p>
      <w:pPr>
        <w:pStyle w:val="Heading3"/>
      </w:pPr>
      <w:r>
        <w:t xml:space="preserve">Priors</w:t>
      </w:r>
    </w:p>
    <w:p>
      <w:pPr>
        <w:pStyle w:val="FirstParagraph"/>
      </w:pPr>
      <w:r>
        <w:t xml:space="preserve">The priors chosen for our case study were loosely based on priors used by Froese et al.</w:t>
      </w:r>
      <w:r>
        <w:t xml:space="preserve"> </w:t>
      </w:r>
      <w:r>
        <w:t xml:space="preserve">(</w:t>
      </w:r>
      <w:hyperlink w:anchor="ref-froese2017">
        <w:r>
          <w:rPr>
            <w:rStyle w:val="Hyperlink"/>
          </w:rPr>
          <w:t xml:space="preserve">10</w:t>
        </w:r>
      </w:hyperlink>
      <w:r>
        <w:t xml:space="preserve">)</w:t>
      </w:r>
      <w:r>
        <w:t xml:space="preserve">. For simplicity, all priors were normally distributed and upper and lower inflection points (</w:t>
      </w:r>
      <m:oMath>
        <m:r>
          <m:t>μ</m:t>
        </m:r>
        <m:r>
          <m:rPr>
            <m:sty m:val="p"/>
          </m:rPr>
          <m:t>±</m:t>
        </m:r>
        <m:r>
          <m:t>σ</m:t>
        </m:r>
      </m:oMath>
      <w:r>
        <w:t xml:space="preserve">; ~68% of the total area under the curve) of each normal prior were defined using values in log or logit space.</w:t>
      </w:r>
    </w:p>
    <w:bookmarkStart w:id="26" w:name="Xb97384c65109657bc93d734ff31d0bf05edf837"/>
    <w:p>
      <w:pPr>
        <w:pStyle w:val="Heading4"/>
      </w:pPr>
      <w:r>
        <w:rPr>
          <w:iCs/>
          <w:i/>
        </w:rPr>
        <w:t xml:space="preserve">Intrinsic growth rate,</w:t>
      </w:r>
      <w:r>
        <w:rPr>
          <w:iCs/>
          <w:i/>
        </w:rPr>
        <w:t xml:space="preserve"> </w:t>
      </w:r>
      <m:oMath>
        <m:r>
          <m:t>r</m:t>
        </m:r>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11</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s</m:t>
                            </m:r>
                            <m:r>
                              <m:rPr>
                                <m:sty m:val="p"/>
                              </m:rPr>
                              <m:t>,</m:t>
                            </m:r>
                            <m:r>
                              <m:t>y</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s</m:t>
                            </m:r>
                            <m:r>
                              <m:rPr>
                                <m:sty m:val="p"/>
                              </m:rPr>
                              <m:t>,</m:t>
                            </m:r>
                            <m:r>
                              <m:t>y</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10</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End w:id="27"/>
    <w:bookmarkEnd w:id="28"/>
    <w:bookmarkEnd w:id="29"/>
    <w:bookmarkStart w:id="30" w:name="results"/>
    <w:p>
      <w:pPr>
        <w:pStyle w:val="Heading1"/>
      </w:pPr>
      <w:r>
        <w:t xml:space="preserve">Results</w:t>
      </w:r>
    </w:p>
    <w:bookmarkEnd w:id="30"/>
    <w:bookmarkStart w:id="31" w:name="discussion"/>
    <w:p>
      <w:pPr>
        <w:pStyle w:val="Heading1"/>
      </w:pPr>
      <w:r>
        <w:t xml:space="preserve">Discussion</w:t>
      </w:r>
    </w:p>
    <w:bookmarkEnd w:id="31"/>
    <w:bookmarkStart w:id="32"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2"/>
    <w:bookmarkStart w:id="48" w:name="references"/>
    <w:p>
      <w:pPr>
        <w:pStyle w:val="Heading1"/>
      </w:pPr>
      <w:r>
        <w:t xml:space="preserve">References</w:t>
      </w:r>
    </w:p>
    <w:bookmarkStart w:id="47" w:name="refs"/>
    <w:bookmarkStart w:id="33"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3"/>
    <w:bookmarkStart w:id="34"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4"/>
    <w:bookmarkStart w:id="36" w:name="ref-kristensen2015"/>
    <w:p>
      <w:pPr>
        <w:pStyle w:val="Bibliography"/>
      </w:pPr>
      <w:r>
        <w:t xml:space="preserve">3.</w:t>
      </w:r>
      <w:r>
        <w:t xml:space="preserve"> </w:t>
      </w:r>
      <w:r>
        <w:t xml:space="preserve">	</w:t>
      </w:r>
      <w:r>
        <w:t xml:space="preserve">K. Kristensen, A. Nielsen, C. Berg, H. Skaug, B. Bell,</w:t>
      </w:r>
      <w:r>
        <w:t xml:space="preserve"> </w:t>
      </w:r>
      <w:hyperlink r:id="rId35">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36"/>
    <w:bookmarkStart w:id="38" w:name="ref-R"/>
    <w:p>
      <w:pPr>
        <w:pStyle w:val="Bibliography"/>
      </w:pPr>
      <w:r>
        <w:t xml:space="preserve">4.</w:t>
      </w:r>
      <w:r>
        <w:t xml:space="preserve"> </w:t>
      </w:r>
      <w:r>
        <w:t xml:space="preserve">	</w:t>
      </w:r>
      <w:r>
        <w:t xml:space="preserve">R Core Team,</w:t>
      </w:r>
      <w:r>
        <w:t xml:space="preserve"> </w:t>
      </w:r>
      <w:hyperlink r:id="rId37">
        <w:r>
          <w:rPr>
            <w:rStyle w:val="Hyperlink"/>
            <w:iCs/>
            <w:i/>
          </w:rPr>
          <w:t xml:space="preserve">R: A language and environment for statistical computing</w:t>
        </w:r>
      </w:hyperlink>
      <w:r>
        <w:t xml:space="preserve"> </w:t>
      </w:r>
      <w:r>
        <w:t xml:space="preserve">(R Foundation for Statistical Computing, 2021).</w:t>
      </w:r>
    </w:p>
    <w:bookmarkEnd w:id="38"/>
    <w:bookmarkStart w:id="39"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39"/>
    <w:bookmarkStart w:id="40"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0"/>
    <w:bookmarkStart w:id="41"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1"/>
    <w:bookmarkStart w:id="42"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2"/>
    <w:bookmarkStart w:id="44" w:name="ref-nafo2019"/>
    <w:p>
      <w:pPr>
        <w:pStyle w:val="Bibliography"/>
      </w:pPr>
      <w:r>
        <w:t xml:space="preserve">9.</w:t>
      </w:r>
      <w:r>
        <w:t xml:space="preserve"> </w:t>
      </w:r>
      <w:r>
        <w:t xml:space="preserve">	</w:t>
      </w:r>
      <w:r>
        <w:t xml:space="preserve">NAFO,</w:t>
      </w:r>
      <w:r>
        <w:t xml:space="preserve"> </w:t>
      </w:r>
      <w:hyperlink r:id="rId43">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4"/>
    <w:bookmarkStart w:id="45" w:name="ref-froese2017"/>
    <w:p>
      <w:pPr>
        <w:pStyle w:val="Bibliography"/>
      </w:pPr>
      <w:r>
        <w:t xml:space="preserve">10.</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45"/>
    <w:bookmarkStart w:id="46" w:name="ref-thorson2020"/>
    <w:p>
      <w:pPr>
        <w:pStyle w:val="Bibliography"/>
      </w:pPr>
      <w:r>
        <w:t xml:space="preserve">11.</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6"/>
    <w:bookmarkEnd w:id="47"/>
    <w:p>
      <w:r>
        <w:br w:type="page"/>
      </w:r>
    </w:p>
    <w:bookmarkEnd w:id="48"/>
    <w:bookmarkStart w:id="52"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50" name="Picture"/>
            <a:graphic>
              <a:graphicData uri="http://schemas.openxmlformats.org/drawingml/2006/picture">
                <pic:pic>
                  <pic:nvPicPr>
                    <pic:cNvPr descr="knitr-figs-docx/epu-map-1.png" id="51" name="Picture"/>
                    <pic:cNvPicPr>
                      <a:picLocks noChangeArrowheads="1" noChangeAspect="1"/>
                    </pic:cNvPicPr>
                  </pic:nvPicPr>
                  <pic:blipFill>
                    <a:blip r:embed="rId49"/>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52"/>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9" Target="media/rId49.png" /><Relationship Type="http://schemas.openxmlformats.org/officeDocument/2006/relationships/hyperlink" Id="rId35" Target="https://doi.org/10.18637/jss.v070.i05" TargetMode="External" /><Relationship Type="http://schemas.openxmlformats.org/officeDocument/2006/relationships/hyperlink" Id="rId37"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3"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8637/jss.v070.i05" TargetMode="External" /><Relationship Type="http://schemas.openxmlformats.org/officeDocument/2006/relationships/hyperlink" Id="rId37"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3"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2022-09-21T13:49:59Z</dcterms:created>
  <dcterms:modified xsi:type="dcterms:W3CDTF">2022-09-21T13:49:59Z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2022-09-21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