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1.png" ContentType="image/png"/>
  <Override PartName="/word/media/rId73.svg" ContentType="image/svg+xml"/>
  <Override PartName="/word/media/rId70.svg" ContentType="image/svg+xml"/>
  <Override PartName="/word/media/rId64.svg" ContentType="image/svg+xml"/>
  <Override PartName="/word/media/rId67.svg"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2022-10-21</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3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1</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2</m:t>
                    </m:r>
                    <m:r>
                      <m:rPr>
                        <m:sty m:val="p"/>
                      </m:rPr>
                      <m:t>,</m:t>
                    </m:r>
                    <m:r>
                      <m:t>s</m:t>
                    </m:r>
                  </m:sub>
                </m:sSub>
                <m:r>
                  <m:rPr>
                    <m:sty m:val="p"/>
                  </m:rPr>
                  <m:t>=</m:t>
                </m:r>
              </m:e>
              <m:e>
                <m:r>
                  <m:t>ϕ</m:t>
                </m:r>
                <m:sSub>
                  <m:e>
                    <m:r>
                      <m:t>δ</m:t>
                    </m:r>
                  </m:e>
                  <m:sub>
                    <m:r>
                      <m:t>1</m:t>
                    </m:r>
                  </m:sub>
                </m:sSub>
                <m:r>
                  <m:rPr>
                    <m:sty m:val="p"/>
                  </m:rPr>
                  <m:t>+</m:t>
                </m:r>
                <m:sSub>
                  <m:e>
                    <m:r>
                      <m:t>σ</m:t>
                    </m:r>
                  </m:e>
                  <m:sub>
                    <m:r>
                      <m:t>s</m:t>
                    </m:r>
                  </m:sub>
                </m:sSub>
                <m:sSub>
                  <m:e>
                    <m:r>
                      <m:t>ε</m:t>
                    </m:r>
                  </m:e>
                  <m:sub>
                    <m:r>
                      <m:t>2</m:t>
                    </m:r>
                  </m:sub>
                </m:sSub>
                <m:r>
                  <m:rPr>
                    <m:sty m:val="p"/>
                  </m:rPr>
                  <m:t>,</m:t>
                </m:r>
                <m:r>
                  <m:t> </m:t>
                </m:r>
                <m:sSub>
                  <m:e>
                    <m:r>
                      <m:t>ε</m:t>
                    </m:r>
                  </m:e>
                  <m:sub>
                    <m:r>
                      <m:t>2</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are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permits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The idea is that some factors may affect positive or negative changes in the populations while others may affect change in the total carrying capacity of the system. A covariate option for intrinsic rates of increase was not implemented as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2</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3</w:t>
        </w:r>
      </w:hyperlink>
      <w:r>
        <w:t xml:space="preserve">)</w:t>
      </w:r>
      <w:r>
        <w:t xml:space="preserve">, which is package for R</w:t>
      </w:r>
      <w:r>
        <w:t xml:space="preserve"> </w:t>
      </w:r>
      <w:r>
        <w:t xml:space="preserve">(</w:t>
      </w:r>
      <w:hyperlink w:anchor="ref-R">
        <w:r>
          <w:rPr>
            <w:rStyle w:val="Hyperlink"/>
          </w:rPr>
          <w:t xml:space="preserve">4</w:t>
        </w:r>
      </w:hyperlink>
      <w:r>
        <w:t xml:space="preserve">)</w:t>
      </w:r>
      <w:r>
        <w:t xml:space="preserve"> </w:t>
      </w:r>
      <w:r>
        <w:t xml:space="preserve">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3</w:t>
        </w:r>
      </w:hyperlink>
      <w:r>
        <w:t xml:space="preserve">)</w:t>
      </w:r>
      <w:r>
        <w:t xml:space="preserve">. Like the production model descried by Pedersen et al.</w:t>
      </w:r>
      <w:r>
        <w:t xml:space="preserve"> </w:t>
      </w:r>
      <w:r>
        <w:t xml:space="preserve">(</w:t>
      </w:r>
      <w:hyperlink w:anchor="ref-pedersen2017">
        <w:r>
          <w:rPr>
            <w:rStyle w:val="Hyperlink"/>
          </w:rPr>
          <w:t xml:space="preserve">5</w:t>
        </w:r>
      </w:hyperlink>
      <w:r>
        <w:t xml:space="preserve">)</w:t>
      </w:r>
      <w:r>
        <w:t xml:space="preserve">, both frequentist and Bayesian inference of model parameters are possible. In development, we found that estimation was generally more successful when vaguely informative priors are specified as parameters were, in some cases, not identifiable when unconstrained.</w:t>
      </w:r>
    </w:p>
    <w:bookmarkEnd w:id="23"/>
    <w:bookmarkStart w:id="32"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one or more species in a region: 1) a time-series of catch (</w:t>
      </w:r>
      <m:oMath>
        <m:sSub>
          <m:e>
            <m:r>
              <m:t>C</m:t>
            </m:r>
          </m:e>
          <m:sub>
            <m:r>
              <m:t>y</m:t>
            </m:r>
            <m:r>
              <m:rPr>
                <m:sty m:val="p"/>
              </m:rPr>
              <m:t>,</m:t>
            </m:r>
            <m:r>
              <m:t>s</m:t>
            </m:r>
          </m:sub>
        </m:sSub>
      </m:oMath>
      <w:r>
        <w:t xml:space="preserve"> </w:t>
      </w:r>
      <w:r>
        <w:t xml:space="preserve">in equation (5)), and 2)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w:t>
      </w:r>
      <w:hyperlink w:anchor="ref-pepin2014">
        <w:r>
          <w:rPr>
            <w:rStyle w:val="Hyperlink"/>
          </w:rPr>
          <w:t xml:space="preserve">6</w:t>
        </w:r>
      </w:hyperlink>
      <w:r>
        <w:t xml:space="preserve">)</w:t>
      </w:r>
      <w:r>
        <w:t xml:space="preserve">]. For our case study, we tallied catch data and calculated survey indices of multiple demersal fish populations from three regions: 1) the Northeast NL Shelf (NAFO divisions 2J3K), 2) the Grand Bank (NAFO divisions 3LNO), and 3) Southern NL (NAFO sub-division 3Ps; Figure</w:t>
      </w:r>
      <w:r>
        <w:t xml:space="preserve"> </w:t>
      </w:r>
      <w:r>
        <w:t xml:space="preserve">1</w:t>
      </w:r>
      <w:r>
        <w:t xml:space="preserve">).</w:t>
      </w:r>
    </w:p>
    <w:p>
      <w:pPr>
        <w:pStyle w:val="BodyText"/>
      </w:pPr>
      <w:r>
        <w:t xml:space="preserve">Catch data were extracted from the STATLANT 21A database maintained by NAFO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Since the inception of this program in 1971, survey protocol have undergone a series of changes that affect the continuity of the data collected in each region and season. A Yankee then Engel otter trawl, with nets designed to catch large demersal fish, were used between 1971 to 1994. Since 1995, a Campelen shrimp trawl has been used and, because of its smaller mesh size, a broader range of species and size groups have been captured</w:t>
      </w:r>
      <w:r>
        <w:t xml:space="preserve"> </w:t>
      </w:r>
      <w:r>
        <w:t xml:space="preserve">(</w:t>
      </w:r>
      <w:hyperlink w:anchor="ref-chadwick2007">
        <w:r>
          <w:rPr>
            <w:rStyle w:val="Hyperlink"/>
          </w:rPr>
          <w:t xml:space="preserve">7</w:t>
        </w:r>
      </w:hyperlink>
      <w:r>
        <w:t xml:space="preserve">)</w:t>
      </w:r>
      <w:r>
        <w:t xml:space="preserve">. Within each era of the survey (Yankee, Engel, or Campelen) and for each season and region, samples were limited to strata that were covered most years (&gt; 80%) and to species found across more than 10% of these core strata. Stratified analyses</w:t>
      </w:r>
      <w:r>
        <w:t xml:space="preserve"> </w:t>
      </w:r>
      <w:r>
        <w:t xml:space="preserve">(</w:t>
      </w:r>
      <w:hyperlink w:anchor="ref-smith1981">
        <w:r>
          <w:rPr>
            <w:rStyle w:val="Hyperlink"/>
          </w:rPr>
          <w:t xml:space="preserve">8</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Cs/>
          <w:i/>
        </w:rPr>
        <w:t xml:space="preserve">sensu</w:t>
      </w:r>
      <w:r>
        <w:t xml:space="preserve"> </w:t>
      </w:r>
      <w:r>
        <w:t xml:space="preserve">NAFO guidelines; page 10,</w:t>
      </w:r>
      <w:r>
        <w:t xml:space="preserve"> </w:t>
      </w:r>
      <w:r>
        <w:t xml:space="preserve">(</w:t>
      </w:r>
      <w:hyperlink w:anchor="ref-nafo2019">
        <w:r>
          <w:rPr>
            <w:rStyle w:val="Hyperlink"/>
          </w:rPr>
          <w:t xml:space="preserve">9</w:t>
        </w:r>
      </w:hyperlink>
      <w:r>
        <w:t xml:space="preserve">)</w:t>
      </w:r>
      <w:r>
        <w:t xml:space="preserve">]. Finally, species were ranked by cumulative catch and limited to the the seven most commonly caught species, or species group when catch was not consistently distinguished, within each region. On the Northeast NL Shelf, species include Redfish spp. (</w:t>
      </w:r>
      <w:r>
        <w:rPr>
          <w:iCs/>
          <w:i/>
        </w:rPr>
        <w:t xml:space="preserve">Sebastes fasciatus</w:t>
      </w:r>
      <w:r>
        <w:t xml:space="preserve"> </w:t>
      </w:r>
      <w:r>
        <w:t xml:space="preserve">or</w:t>
      </w:r>
      <w:r>
        <w:t xml:space="preserve"> </w:t>
      </w:r>
      <w:r>
        <w:rPr>
          <w:iCs/>
          <w:i/>
        </w:rPr>
        <w:t xml:space="preserve">S. mentella</w:t>
      </w:r>
      <w:r>
        <w:t xml:space="preserve">), Wolffish spp. (</w:t>
      </w:r>
      <w:r>
        <w:rPr>
          <w:iCs/>
          <w:i/>
        </w:rPr>
        <w:t xml:space="preserve">Anarhichas lupus</w:t>
      </w:r>
      <w:r>
        <w:t xml:space="preserve"> </w:t>
      </w:r>
      <w:r>
        <w:t xml:space="preserve">or</w:t>
      </w:r>
      <w:r>
        <w:t xml:space="preserve"> </w:t>
      </w:r>
      <w:r>
        <w:rPr>
          <w:iCs/>
          <w:i/>
        </w:rPr>
        <w:t xml:space="preserve">A. minor</w:t>
      </w:r>
      <w:r>
        <w:t xml:space="preserve">), Witch Flounder (</w:t>
      </w:r>
      <w:r>
        <w:rPr>
          <w:iCs/>
          <w:i/>
        </w:rPr>
        <w:t xml:space="preserve">Glyptocephalus cynoglossus</w:t>
      </w:r>
      <w:r>
        <w:t xml:space="preserve">), American Plaice (</w:t>
      </w:r>
      <w:r>
        <w:rPr>
          <w:iCs/>
          <w:i/>
        </w:rPr>
        <w:t xml:space="preserve">Hippoglossoides platessoides</w:t>
      </w:r>
      <w:r>
        <w:t xml:space="preserve">), Greenland Halibut (</w:t>
      </w:r>
      <w:r>
        <w:rPr>
          <w:iCs/>
          <w:i/>
        </w:rPr>
        <w:t xml:space="preserve">Reinhardtius hippoglossoides</w:t>
      </w:r>
      <w:r>
        <w:t xml:space="preserve">), Atlantic Cod (</w:t>
      </w:r>
      <w:r>
        <w:rPr>
          <w:iCs/>
          <w:i/>
        </w:rPr>
        <w:t xml:space="preserve">Gadus morhua</w:t>
      </w:r>
      <w:r>
        <w:t xml:space="preserve">), and Skate spp. (</w:t>
      </w:r>
      <w:r>
        <w:rPr>
          <w:iCs/>
          <w:i/>
        </w:rPr>
        <w:t xml:space="preserve">Amblyraja radiata</w:t>
      </w:r>
      <w:r>
        <w:t xml:space="preserve"> </w:t>
      </w:r>
      <w:r>
        <w:t xml:space="preserve">or</w:t>
      </w:r>
      <w:r>
        <w:t xml:space="preserve"> </w:t>
      </w:r>
      <w:r>
        <w:rPr>
          <w:iCs/>
          <w:i/>
        </w:rPr>
        <w:t xml:space="preserve">Malacoraja senta</w:t>
      </w:r>
      <w:r>
        <w:t xml:space="preserve">). On the Grand Bank, species include Redfish spp., Yellowtail Flounder (</w:t>
      </w:r>
      <w:r>
        <w:rPr>
          <w:iCs/>
          <w:i/>
        </w:rPr>
        <w:t xml:space="preserve">Limanda ferruginea</w:t>
      </w:r>
      <w:r>
        <w:t xml:space="preserve">), American Plaice, Greenland Halibut, Haddock (</w:t>
      </w:r>
      <w:r>
        <w:rPr>
          <w:iCs/>
          <w:i/>
        </w:rPr>
        <w:t xml:space="preserve">Melanogrammus aeglefinus</w:t>
      </w:r>
      <w:r>
        <w:t xml:space="preserve">), and Atlantic Cod. Finally, along Sourthern NL, species include Redfish spp., Witch Flounder, American Plaice, White hake (</w:t>
      </w:r>
      <w:r>
        <w:rPr>
          <w:iCs/>
          <w:i/>
        </w:rPr>
        <w:t xml:space="preserve">Urophycis tenuis</w:t>
      </w:r>
      <w:r>
        <w:t xml:space="preserve">), Haddock, Atlantic Cod, and Skate spp.</w:t>
      </w:r>
    </w:p>
    <w:bookmarkEnd w:id="25"/>
    <w:bookmarkStart w:id="30" w:name="priors"/>
    <w:p>
      <w:pPr>
        <w:pStyle w:val="Heading3"/>
      </w:pPr>
      <w:r>
        <w:t xml:space="preserve">Priors</w:t>
      </w:r>
    </w:p>
    <w:p>
      <w:pPr>
        <w:pStyle w:val="FirstParagraph"/>
      </w:pPr>
      <w:r>
        <w:t xml:space="preserve">For simplicity, all priors were normally distributed and, in most cases,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w:t>
      </w:r>
    </w:p>
    <w:bookmarkStart w:id="26" w:name="Xe2c06d4e394bc9e9fe771990bd7efb8518aca55"/>
    <w:p>
      <w:pPr>
        <w:pStyle w:val="Heading4"/>
      </w:pPr>
      <w:r>
        <w:rPr>
          <w:iCs/>
          <w:i/>
        </w:rPr>
        <w:t xml:space="preserve">Intrinsic growth rate,</w:t>
      </w:r>
      <w:r>
        <w:rPr>
          <w:iCs/>
          <w:i/>
        </w:rPr>
        <w:t xml:space="preserve"> </w:t>
      </w:r>
      <m:oMath>
        <m:sSub>
          <m:e>
            <m:r>
              <m:t>r</m:t>
            </m:r>
          </m:e>
          <m:sub>
            <m:r>
              <m:t>s</m:t>
            </m:r>
          </m:sub>
        </m:sSub>
      </m:oMath>
      <w:r>
        <w:rPr>
          <w:iCs/>
          <w:i/>
        </w:rPr>
        <w:t xml:space="preserve">, and carrying capacity,</w:t>
      </w:r>
      <w:r>
        <w:rPr>
          <w:iCs/>
          <w:i/>
        </w:rPr>
        <w:t xml:space="preserve"> </w:t>
      </w:r>
      <m:oMath>
        <m:r>
          <m:t>K</m:t>
        </m:r>
      </m:oMath>
    </w:p>
    <w:p>
      <w:pPr>
        <w:pStyle w:val="FirstParagraph"/>
      </w:pPr>
      <w:r>
        <w:t xml:space="preserve">To capture a broad range of predicted intrinsic growth rates for all fishes worldwide</w:t>
      </w:r>
      <w:r>
        <w:t xml:space="preserve"> </w:t>
      </w:r>
      <w:r>
        <w:t xml:space="preserve">(</w:t>
      </w:r>
      <w:hyperlink w:anchor="ref-thorson2020">
        <w:r>
          <w:rPr>
            <w:rStyle w:val="Hyperlink"/>
          </w:rPr>
          <w:t xml:space="preserve">10</w:t>
        </w:r>
      </w:hyperlink>
      <w:r>
        <w:t xml:space="preserve">)</w:t>
      </w:r>
      <w:r>
        <w:t xml:space="preserve">, 0.01 and 0.1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 to a normal prior with a mean of -1.15 and a standard deviation of 1.15 on the log-scale. The log-scale</w:t>
      </w:r>
      <w:r>
        <w:t xml:space="preserve"> </w:t>
      </w:r>
      <m:oMath>
        <m:r>
          <m:t>K</m:t>
        </m:r>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K</m:t>
                    </m:r>
                  </m:e>
                  <m:sub>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sSub>
                  <m:e>
                    <m:r>
                      <m:t>K</m:t>
                    </m:r>
                  </m:e>
                  <m:sub>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e>
              <m:e>
                <m:r>
                  <m:t>  </m:t>
                </m:r>
                <m:d>
                  <m:dPr>
                    <m:begChr m:val="("/>
                    <m:endChr m:val=")"/>
                    <m:sepChr m:val=""/>
                    <m:grow/>
                  </m:dPr>
                  <m:e>
                    <m:r>
                      <m:t>9</m:t>
                    </m:r>
                  </m:e>
                </m:d>
              </m:e>
            </m:mr>
          </m:m>
        </m:oMath>
      </m:oMathPara>
    </w:p>
    <w:p>
      <w:pPr>
        <w:pStyle w:val="FirstParagraph"/>
      </w:pPr>
      <w:r>
        <w:t xml:space="preserve">where</w:t>
      </w:r>
      <w:r>
        <w:t xml:space="preserve"> </w:t>
      </w:r>
      <m:oMath>
        <m:sSub>
          <m:e>
            <m:r>
              <m:t>K</m:t>
            </m:r>
          </m:e>
          <m:sub>
            <m:r>
              <m:t>l</m:t>
            </m:r>
          </m:sub>
        </m:sSub>
      </m:oMath>
      <w:r>
        <w:t xml:space="preserve"> </w:t>
      </w:r>
      <w:r>
        <w:t xml:space="preserve">and</w:t>
      </w:r>
      <w:r>
        <w:t xml:space="preserve"> </w:t>
      </w:r>
      <m:oMath>
        <m:sSub>
          <m:e>
            <m:r>
              <m:t>K</m:t>
            </m:r>
          </m:e>
          <m:sub>
            <m:r>
              <m:t>u</m:t>
            </m:r>
          </m:sub>
        </m:sSub>
      </m:oMath>
      <w:r>
        <w:t xml:space="preserve"> </w:t>
      </w:r>
      <w:r>
        <w:t xml:space="preserve">are the lower and upper values. On the lower end, this prior imposes the assumption that the fishery is unlikely to have caught more fish in a single year than the system is capable of supporting and, on the upper end, it assumes that the maximum observed catch represents a portion of the true carrying capacity of the system</w:t>
      </w:r>
      <w:r>
        <w:t xml:space="preserve"> </w:t>
      </w:r>
      <w:r>
        <w:t xml:space="preserve">(</w:t>
      </w:r>
      <w:r>
        <w:rPr>
          <w:iCs/>
          <w:i/>
        </w:rPr>
        <w:t xml:space="preserve">sensu</w:t>
      </w:r>
      <w:r>
        <w:t xml:space="preserve"> </w:t>
      </w:r>
      <w:hyperlink w:anchor="ref-froese2017">
        <w:r>
          <w:rPr>
            <w:rStyle w:val="Hyperlink"/>
          </w:rPr>
          <w:t xml:space="preserve">11</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Cs/>
          <w:i/>
        </w:rPr>
        <w:t xml:space="preserve">Starting biomass,</w:t>
      </w:r>
      <w:r>
        <w:rPr>
          <w:iCs/>
          <w:i/>
        </w:rPr>
        <w:t xml:space="preserve"> </w:t>
      </w:r>
      <m:oMath>
        <m:sSub>
          <m:e>
            <m:r>
              <m:t>B</m:t>
            </m:r>
          </m:e>
          <m:sub>
            <m:r>
              <m:t>1</m:t>
            </m:r>
            <m:r>
              <m:rPr>
                <m:sty m:val="p"/>
              </m:rPr>
              <m:t>,</m:t>
            </m:r>
            <m:r>
              <m:t>s</m:t>
            </m:r>
          </m:sub>
        </m:sSub>
      </m:oMath>
    </w:p>
    <w:p>
      <w:pPr>
        <w:pStyle w:val="FirstParagraph"/>
      </w:pPr>
      <w:r>
        <w:t xml:space="preserve">Like</w:t>
      </w:r>
      <w:r>
        <w:t xml:space="preserve"> </w:t>
      </w:r>
      <m:oMath>
        <m:r>
          <m:t>K</m:t>
        </m:r>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r>
          <m:t>0</m:t>
        </m:r>
      </m:oMath>
      <w:r>
        <w:t xml:space="preserve"> </w:t>
      </w:r>
      <w:r>
        <w:t xml:space="preserve">to simplify notation.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B</m:t>
                </m:r>
                <m:sSub>
                  <m:e>
                    <m:r>
                      <m:t>0</m:t>
                    </m:r>
                  </m:e>
                  <m:sub>
                    <m:r>
                      <m:t>l</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B</m:t>
                </m:r>
                <m:sSub>
                  <m:e>
                    <m:r>
                      <m:t>0</m:t>
                    </m:r>
                  </m:e>
                  <m:sub>
                    <m:r>
                      <m:t>u</m:t>
                    </m:r>
                  </m:sub>
                </m:sSub>
                <m:r>
                  <m:rPr>
                    <m:sty m:val="p"/>
                  </m:rPr>
                  <m:t>=</m:t>
                </m:r>
                <m:f>
                  <m:fPr>
                    <m:type m:val="bar"/>
                  </m:fPr>
                  <m:num>
                    <m:r>
                      <m:t>4</m:t>
                    </m:r>
                    <m:sSub>
                      <m:e>
                        <m:r>
                          <m:t>C</m:t>
                        </m:r>
                      </m:e>
                      <m:sub>
                        <m:r>
                          <m:t>1</m:t>
                        </m:r>
                        <m:r>
                          <m:rPr>
                            <m:sty m:val="p"/>
                          </m:rPr>
                          <m:t>,</m:t>
                        </m:r>
                        <m:r>
                          <m:t>s</m:t>
                        </m:r>
                      </m:sub>
                    </m:sSub>
                  </m:num>
                  <m:den>
                    <m:sSub>
                      <m:e>
                        <m:r>
                          <m:t>r</m:t>
                        </m:r>
                      </m:e>
                      <m:sub>
                        <m:r>
                          <m:t>l</m:t>
                        </m:r>
                      </m:sub>
                    </m:sSub>
                  </m:den>
                </m:f>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sub>
        </m:sSub>
      </m:oMath>
      <w:r>
        <w:t xml:space="preserve"> </w:t>
      </w:r>
      <w:r>
        <w:t xml:space="preserve">and</w:t>
      </w:r>
      <w:r>
        <w:t xml:space="preserve"> </w:t>
      </w:r>
      <m:oMath>
        <m:r>
          <m:t>B</m:t>
        </m:r>
        <m:sSub>
          <m:e>
            <m:r>
              <m:t>0</m:t>
            </m:r>
          </m:e>
          <m:sub>
            <m:r>
              <m:t>u</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r>
              <m:t>0</m:t>
            </m:r>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flaw with the upper value for this prior is that a lack of market demand or conservation concerns may contradict the assumption that landings are coarsely proportional to stock size. However, the upper range chosen was considered reasonable for this case study as there was an active fishery for each species at the start of the time series.</w:t>
      </w:r>
    </w:p>
    <w:bookmarkEnd w:id="27"/>
    <w:bookmarkStart w:id="28" w:name="Xccfb9acb9fbb600a52636a6279610d36f06528c"/>
    <w:p>
      <w:pPr>
        <w:pStyle w:val="Heading4"/>
      </w:pPr>
      <w:r>
        <w:rPr>
          <w:iCs/>
          <w:i/>
        </w:rPr>
        <w:t xml:space="preserve">Process error variance,</w:t>
      </w:r>
      <w:r>
        <w:rPr>
          <w:iCs/>
          <w:i/>
        </w:rPr>
        <w:t xml:space="preserve"> </w:t>
      </w:r>
      <m:oMath>
        <m:sSubSup>
          <m:e>
            <m:r>
              <m:t>σ</m:t>
            </m:r>
          </m:e>
          <m:sub>
            <m:r>
              <m:t>s</m:t>
            </m:r>
          </m:sub>
          <m:sup>
            <m:r>
              <m:t>2</m:t>
            </m:r>
          </m:sup>
        </m:sSubSup>
      </m:oMath>
      <w:r>
        <w:rPr>
          <w:iCs/>
          <w:i/>
        </w:rPr>
        <w:t xml:space="preserve">, temporal correlation,</w:t>
      </w:r>
      <w:r>
        <w:rPr>
          <w:iCs/>
          <w:i/>
        </w:rPr>
        <w:t xml:space="preserve"> </w:t>
      </w:r>
      <m:oMath>
        <m:r>
          <m:t>ϕ</m:t>
        </m:r>
      </m:oMath>
      <w:r>
        <w:rPr>
          <w:iCs/>
          <w:i/>
        </w:rPr>
        <w:t xml:space="preserve">, and species-to-species correlation,</w:t>
      </w:r>
      <w:r>
        <w:rPr>
          <w:iCs/>
          <w:i/>
        </w:rPr>
        <w:t xml:space="preserve"> </w:t>
      </w:r>
      <m:oMath>
        <m:sSub>
          <m:e>
            <m:r>
              <m:t>ρ</m:t>
            </m:r>
          </m:e>
          <m:sub>
            <m:r>
              <m:t>s</m:t>
            </m:r>
            <m:r>
              <m:rPr>
                <m:sty m:val="p"/>
              </m:rPr>
              <m:t>,</m:t>
            </m:r>
            <m:r>
              <m:t>s</m:t>
            </m:r>
          </m:sub>
        </m:sSub>
      </m:oMath>
    </w:p>
    <w:p>
      <w:pPr>
        <w:pStyle w:val="FirstParagraph"/>
      </w:pPr>
      <w:r>
        <w:t xml:space="preserve">Considerable process variability may arise from variable recruitment, natural mortality, and/or growth. For instance, species in the Scorpaenidae family, which includes the</w:t>
      </w:r>
      <w:r>
        <w:t xml:space="preserve"> </w:t>
      </w:r>
      <w:r>
        <w:rPr>
          <w:iCs/>
          <w:i/>
        </w:rPr>
        <w:t xml:space="preserve">Sebastes</w:t>
      </w:r>
      <w:r>
        <w:t xml:space="preserve"> </w:t>
      </w:r>
      <w:r>
        <w:t xml:space="preserve">genus, have notoriously variable recruitment which frequently results in</w:t>
      </w:r>
      <w:r>
        <w:t xml:space="preserve"> </w:t>
      </w:r>
      <w:r>
        <w:t xml:space="preserve">“</w:t>
      </w:r>
      <w:r>
        <w:t xml:space="preserve">spasmodic</w:t>
      </w:r>
      <w:r>
        <w:t xml:space="preserve">”</w:t>
      </w:r>
      <w:r>
        <w:t xml:space="preserve"> </w:t>
      </w:r>
      <w:r>
        <w:t xml:space="preserve">stock dynamics</w:t>
      </w:r>
      <w:r>
        <w:t xml:space="preserve"> </w:t>
      </w:r>
      <w:r>
        <w:t xml:space="preserve">(</w:t>
      </w:r>
      <w:hyperlink w:anchor="ref-cadigan2022">
        <w:r>
          <w:rPr>
            <w:rStyle w:val="Hyperlink"/>
          </w:rPr>
          <w:t xml:space="preserve">12</w:t>
        </w:r>
      </w:hyperlink>
      <w:r>
        <w:t xml:space="preserve">,</w:t>
      </w:r>
      <w:r>
        <w:t xml:space="preserve"> </w:t>
      </w:r>
      <w:hyperlink w:anchor="ref-licandeo2020">
        <w:r>
          <w:rPr>
            <w:rStyle w:val="Hyperlink"/>
          </w:rPr>
          <w:t xml:space="preserve">13</w:t>
        </w:r>
      </w:hyperlink>
      <w:r>
        <w:t xml:space="preserve">)</w:t>
      </w:r>
      <w:r>
        <w:t xml:space="preserve">. Also, there is evidence that heightened and variable natural mortality contributed to the collapse and slow recovery of Atlantic cod along the Northeast NL Shelf</w:t>
      </w:r>
      <w:r>
        <w:t xml:space="preserve"> </w:t>
      </w:r>
      <w:r>
        <w:t xml:space="preserve">(</w:t>
      </w:r>
      <w:hyperlink w:anchor="ref-cadigan2015">
        <w:r>
          <w:rPr>
            <w:rStyle w:val="Hyperlink"/>
          </w:rPr>
          <w:t xml:space="preserve">14</w:t>
        </w:r>
      </w:hyperlink>
      <w:r>
        <w:t xml:space="preserve">,</w:t>
      </w:r>
      <w:r>
        <w:t xml:space="preserve"> </w:t>
      </w:r>
      <w:hyperlink w:anchor="ref-regular2021">
        <w:r>
          <w:rPr>
            <w:rStyle w:val="Hyperlink"/>
          </w:rPr>
          <w:t xml:space="preserve">15</w:t>
        </w:r>
      </w:hyperlink>
      <w:r>
        <w:t xml:space="preserve">)</w:t>
      </w:r>
      <w:r>
        <w:t xml:space="preserve">. To account for a wide range of possible standard deviations,</w:t>
      </w:r>
      <w:r>
        <w:t xml:space="preserve"> </w:t>
      </w:r>
      <m:oMath>
        <m:sSub>
          <m:e>
            <m:r>
              <m:t>σ</m:t>
            </m:r>
          </m:e>
          <m:sub>
            <m:r>
              <m:t>s</m:t>
            </m:r>
          </m:sub>
        </m:sSub>
      </m:oMath>
      <w:r>
        <w:t xml:space="preserve">, a vague prior with 0.01 and 1 as the lower and upper values were chosen. In log-space, this translates to a normal distribution with a mean of -2.3 and and sd of 2.3.</w:t>
      </w:r>
    </w:p>
    <w:p>
      <w:pPr>
        <w:pStyle w:val="BodyText"/>
      </w:pPr>
      <w:r>
        <w:t xml:space="preserve">There is little information to inform the potential level of temporal or species-to-species dependence present in the focal systems; vague priors were therefore defined for</w:t>
      </w:r>
      <w:r>
        <w:t xml:space="preserve"> </w:t>
      </w:r>
      <m:oMath>
        <m:r>
          <m:t>ϕ</m:t>
        </m:r>
      </m:oMath>
      <w:r>
        <w:t xml:space="preserve"> </w:t>
      </w:r>
      <w:r>
        <w:t xml:space="preserve">and</w:t>
      </w:r>
      <w:r>
        <w:t xml:space="preserve"> </w:t>
      </w:r>
      <m:oMath>
        <m:sSub>
          <m:e>
            <m:r>
              <m:t>ρ</m:t>
            </m:r>
          </m:e>
          <m:sub>
            <m:r>
              <m:t>s</m:t>
            </m:r>
            <m:r>
              <m:rPr>
                <m:sty m:val="p"/>
              </m:rPr>
              <m:t>,</m:t>
            </m:r>
            <m:r>
              <m:t>s</m:t>
            </m:r>
          </m:sub>
        </m:sSub>
      </m:oMath>
      <w:r>
        <w:t xml:space="preserve">. For</w:t>
      </w:r>
      <w:r>
        <w:t xml:space="preserve"> </w:t>
      </w:r>
      <m:oMath>
        <m:r>
          <m:t>ϕ</m:t>
        </m:r>
      </m:oMath>
      <w:r>
        <w:t xml:space="preserve">, 0.1 and 0.9 were logit transformed [</w:t>
      </w:r>
      <m:oMath>
        <m:r>
          <m:rPr>
            <m:sty m:val="p"/>
          </m:rPr>
          <m:t>log</m:t>
        </m:r>
        <m:d>
          <m:dPr>
            <m:begChr m:val="("/>
            <m:endChr m:val=")"/>
            <m:sepChr m:val=""/>
            <m:grow/>
          </m:dPr>
          <m:e>
            <m:r>
              <m:t>x</m:t>
            </m:r>
            <m:r>
              <m:rPr>
                <m:sty m:val="p"/>
              </m:rPr>
              <m:t>/</m:t>
            </m:r>
            <m:d>
              <m:dPr>
                <m:begChr m:val="("/>
                <m:endChr m:val=")"/>
                <m:sepChr m:val=""/>
                <m:grow/>
              </m:dPr>
              <m:e>
                <m:r>
                  <m:t>1</m:t>
                </m:r>
                <m:r>
                  <m:rPr>
                    <m:sty m:val="p"/>
                  </m:rPr>
                  <m:t>−</m:t>
                </m:r>
                <m:r>
                  <m:t>x</m:t>
                </m:r>
              </m:e>
            </m:d>
          </m:e>
        </m:d>
      </m:oMath>
      <w:r>
        <w:t xml:space="preserve">] to define the upper and lower inflection points for a normal prior for the logit of</w:t>
      </w:r>
      <w:r>
        <w:t xml:space="preserve"> </w:t>
      </w:r>
      <m:oMath>
        <m:r>
          <m:t>ϕ</m:t>
        </m:r>
      </m:oMath>
      <w:r>
        <w:t xml:space="preserve">. For</w:t>
      </w:r>
      <w:r>
        <w:t xml:space="preserve"> </w:t>
      </w:r>
      <m:oMath>
        <m:r>
          <m:t>ρ</m:t>
        </m:r>
      </m:oMath>
      <w:r>
        <w:t xml:space="preserve">, the logit transformation was shifted [</w:t>
      </w:r>
      <m:oMath>
        <m:r>
          <m:rPr>
            <m:sty m:val="p"/>
          </m:rPr>
          <m:t>log</m:t>
        </m:r>
        <m:d>
          <m:dPr>
            <m:begChr m:val="("/>
            <m:endChr m:val=")"/>
            <m:sepChr m:val=""/>
            <m:grow/>
          </m:dPr>
          <m:e>
            <m:d>
              <m:dPr>
                <m:begChr m:val="("/>
                <m:endChr m:val=")"/>
                <m:sepChr m:val=""/>
                <m:grow/>
              </m:dPr>
              <m:e>
                <m:r>
                  <m:t>1</m:t>
                </m:r>
                <m:r>
                  <m:rPr>
                    <m:sty m:val="p"/>
                  </m:rPr>
                  <m:t>+</m:t>
                </m:r>
                <m:r>
                  <m:t>x</m:t>
                </m:r>
              </m:e>
            </m:d>
            <m:r>
              <m:rPr>
                <m:sty m:val="p"/>
              </m:rPr>
              <m:t>/</m:t>
            </m:r>
            <m:d>
              <m:dPr>
                <m:begChr m:val="("/>
                <m:endChr m:val=")"/>
                <m:sepChr m:val=""/>
                <m:grow/>
              </m:dPr>
              <m:e>
                <m:r>
                  <m:t>1</m:t>
                </m:r>
                <m:r>
                  <m:rPr>
                    <m:sty m:val="p"/>
                  </m:rPr>
                  <m:t>−</m:t>
                </m:r>
                <m:r>
                  <m:t>x</m:t>
                </m:r>
              </m:e>
            </m:d>
          </m:e>
        </m:d>
      </m:oMath>
      <w:r>
        <w:t xml:space="preserve">] to capture negative and positive lower (-0.9) and upper (0.9) values. When these parameters are estimated, these priors give most credence to moderate temporal correlation (0.5) and no species-to-species correlation (0) but still allow the possibility of high levels of correlation (0.9).</w:t>
      </w:r>
    </w:p>
    <w:bookmarkEnd w:id="28"/>
    <w:bookmarkStart w:id="29" w:name="X50c46e4f9447be999e8db38f3be4dade35b6469"/>
    <w:p>
      <w:pPr>
        <w:pStyle w:val="Heading4"/>
      </w:pPr>
      <w:r>
        <w:rPr>
          <w:iCs/>
          <w:i/>
        </w:rPr>
        <w:t xml:space="preserve">Catchability,</w:t>
      </w:r>
      <w:r>
        <w:rPr>
          <w:iCs/>
          <w:i/>
        </w:rPr>
        <w:t xml:space="preserve"> </w:t>
      </w:r>
      <m:oMath>
        <m:sSub>
          <m:e>
            <m:r>
              <m:t>q</m:t>
            </m:r>
          </m:e>
          <m:sub>
            <m:r>
              <m:t>i</m:t>
            </m:r>
            <m:r>
              <m:rPr>
                <m:sty m:val="p"/>
              </m:rPr>
              <m:t>,</m:t>
            </m:r>
            <m:r>
              <m:t>s</m:t>
            </m:r>
          </m:sub>
        </m:sSub>
      </m:oMath>
      <w:r>
        <w:rPr>
          <w:iCs/>
          <w:i/>
        </w:rPr>
        <w:t xml:space="preserve">, and observation error variance,</w:t>
      </w:r>
      <w:r>
        <w:rPr>
          <w:iCs/>
          <w:i/>
        </w:rPr>
        <w:t xml:space="preserve"> </w:t>
      </w:r>
      <m:oMath>
        <m:sSubSup>
          <m:e>
            <m:r>
              <m:t>τ</m:t>
            </m:r>
          </m:e>
          <m:sub>
            <m:r>
              <m:t>i</m:t>
            </m:r>
            <m:r>
              <m:rPr>
                <m:sty m:val="p"/>
              </m:rPr>
              <m:t>,</m:t>
            </m:r>
            <m:r>
              <m:t>s</m:t>
            </m:r>
          </m:sub>
          <m:sup>
            <m:r>
              <m:t>2</m:t>
            </m:r>
          </m:sup>
        </m:sSubSup>
      </m:oMath>
    </w:p>
    <w:p>
      <w:pPr>
        <w:pStyle w:val="FirstParagraph"/>
      </w:pPr>
      <w:r>
        <w:t xml:space="preserve">The catchability of the spring and fall surveys conducted by DFO likely changed given the shift in gear from a Yankee to Engel to Campelen trawl as well as shifts in coverage of the strata in each region. Survey catchability</w:t>
      </w:r>
      <w:r>
        <w:t xml:space="preserve"> </w:t>
      </w:r>
      <m:oMath>
        <m:sSub>
          <m:e>
            <m:r>
              <m:t>q</m:t>
            </m:r>
          </m:e>
          <m:sub>
            <m:r>
              <m:t>i</m:t>
            </m:r>
            <m:r>
              <m:rPr>
                <m:sty m:val="p"/>
              </m:rPr>
              <m:t>,</m:t>
            </m:r>
            <m:r>
              <m:t>s</m:t>
            </m:r>
          </m:sub>
        </m:sSub>
      </m:oMath>
      <w:r>
        <w:t xml:space="preserve"> </w:t>
      </w:r>
      <w:r>
        <w:t xml:space="preserve">is therefore indexed by season and gear,</w:t>
      </w:r>
      <w:r>
        <w:t xml:space="preserve"> </w:t>
      </w:r>
      <m:oMath>
        <m:r>
          <m:t>i</m:t>
        </m:r>
      </m:oMath>
      <w:r>
        <w:t xml:space="preserve">, and species,</w:t>
      </w:r>
      <w:r>
        <w:t xml:space="preserve"> </w:t>
      </w:r>
      <m:oMath>
        <m:r>
          <m:t>s</m:t>
        </m:r>
      </m:oMath>
      <w:r>
        <w:t xml:space="preserve">. Moreover, the lower inflection point for the</w:t>
      </w:r>
      <w:r>
        <w:t xml:space="preserve"> </w:t>
      </w:r>
      <m:oMath>
        <m:sSub>
          <m:e>
            <m:r>
              <m:t>q</m:t>
            </m:r>
          </m:e>
          <m:sub>
            <m:r>
              <m:t>i</m:t>
            </m:r>
            <m:r>
              <m:rPr>
                <m:sty m:val="p"/>
              </m:rPr>
              <m:t>,</m:t>
            </m:r>
            <m:r>
              <m:t>s</m:t>
            </m:r>
          </m:sub>
        </m:sSub>
      </m:oMath>
      <w:r>
        <w:t xml:space="preserve"> </w:t>
      </w:r>
      <w:r>
        <w:t xml:space="preserve">priors were informed by the average survey coverage by gear and season. Survey coverage within each region was computed by dividing the average aerial coverage of strata across years by the of the total area of all strata (i.e., average area covered / area of survey domain). Survey coverage was then multiplied by 0.2 for deep-water species (Greenland Halibut, Atlantic Halibut, Witch Flounder, Redfish spp., White Hake, Silver Hake, and Monkfish) and 0.5 for the remainder. The upper value was set to 1 as it is unlikely that the survey indices represent overestimates of the true population size. The lower range is widened, especially for deep-water species, to account for gear selectivity issues [e.g., escapement under the footgear;</w:t>
      </w:r>
      <w:r>
        <w:t xml:space="preserve"> </w:t>
      </w:r>
      <w:r>
        <w:t xml:space="preserve">(</w:t>
      </w:r>
      <w:hyperlink w:anchor="ref-walsh1992">
        <w:r>
          <w:rPr>
            <w:rStyle w:val="Hyperlink"/>
          </w:rPr>
          <w:t xml:space="preserve">16</w:t>
        </w:r>
      </w:hyperlink>
      <w:r>
        <w:t xml:space="preserve">)</w:t>
      </w:r>
      <w:r>
        <w:t xml:space="preserve">] and availability issues (e.g., portion of the stock in deeper water than covered by the survey).</w:t>
      </w:r>
    </w:p>
    <w:p>
      <w:pPr>
        <w:pStyle w:val="BodyText"/>
      </w:pPr>
      <w:r>
        <w:t xml:space="preserve">A prior for observation error variance was informed by design-based estimates survey variance associated with annual biomass estimates</w:t>
      </w:r>
      <w:r>
        <w:t xml:space="preserve"> </w:t>
      </w:r>
      <w:r>
        <w:t xml:space="preserve">(</w:t>
      </w:r>
      <w:hyperlink w:anchor="ref-smith1981">
        <w:r>
          <w:rPr>
            <w:rStyle w:val="Hyperlink"/>
          </w:rPr>
          <w:t xml:space="preserve">8</w:t>
        </w:r>
      </w:hyperlink>
      <w:r>
        <w:t xml:space="preserve">)</w:t>
      </w:r>
      <w:r>
        <w:t xml:space="preserve">. These estimates were used to calculate the coefficient of variation (CV) for each survey, year, and species;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sSub>
                  <m:e>
                    <m:r>
                      <m:t>V</m:t>
                    </m:r>
                  </m:e>
                  <m:sub>
                    <m:r>
                      <m:t>i</m:t>
                    </m:r>
                    <m:r>
                      <m:rPr>
                        <m:sty m:val="p"/>
                      </m:rPr>
                      <m:t>,</m:t>
                    </m:r>
                    <m:r>
                      <m:t>s</m:t>
                    </m:r>
                    <m:r>
                      <m:rPr>
                        <m:sty m:val="p"/>
                      </m:rPr>
                      <m:t>,</m:t>
                    </m:r>
                    <m:r>
                      <m:t>y</m:t>
                    </m:r>
                  </m:sub>
                </m:sSub>
                <m:r>
                  <m:rPr>
                    <m:sty m:val="p"/>
                  </m:rPr>
                  <m:t>=</m:t>
                </m:r>
                <m:f>
                  <m:fPr>
                    <m:type m:val="bar"/>
                  </m:fPr>
                  <m:num>
                    <m:rad>
                      <m:radPr>
                        <m:degHide m:val="1"/>
                      </m:radPr>
                      <m:deg/>
                      <m:e>
                        <m:r>
                          <m:t>V</m:t>
                        </m:r>
                        <m:r>
                          <m:t>a</m:t>
                        </m:r>
                        <m:r>
                          <m:t>r</m:t>
                        </m:r>
                        <m:d>
                          <m:dPr>
                            <m:begChr m:val="("/>
                            <m:endChr m:val=")"/>
                            <m:sepChr m:val=""/>
                            <m:grow/>
                          </m:dPr>
                          <m:e>
                            <m:sSub>
                              <m:e>
                                <m:r>
                                  <m:t>I</m:t>
                                </m:r>
                              </m:e>
                              <m:sub>
                                <m:r>
                                  <m:t>i</m:t>
                                </m:r>
                                <m:r>
                                  <m:rPr>
                                    <m:sty m:val="p"/>
                                  </m:rPr>
                                  <m:t>,</m:t>
                                </m:r>
                                <m:r>
                                  <m:t>s</m:t>
                                </m:r>
                                <m:r>
                                  <m:rPr>
                                    <m:sty m:val="p"/>
                                  </m:rPr>
                                  <m:t>,</m:t>
                                </m:r>
                                <m:r>
                                  <m:t>y</m:t>
                                </m:r>
                              </m:sub>
                            </m:sSub>
                          </m:e>
                        </m:d>
                      </m:e>
                    </m:rad>
                  </m:num>
                  <m:den>
                    <m:sSub>
                      <m:e>
                        <m:r>
                          <m:t>I</m:t>
                        </m:r>
                      </m:e>
                      <m:sub>
                        <m:r>
                          <m:t>i</m:t>
                        </m:r>
                        <m:r>
                          <m:rPr>
                            <m:sty m:val="p"/>
                          </m:rPr>
                          <m:t>,</m:t>
                        </m:r>
                        <m:r>
                          <m:t>s</m:t>
                        </m:r>
                        <m:r>
                          <m:rPr>
                            <m:sty m:val="p"/>
                          </m:rPr>
                          <m:t>,</m:t>
                        </m:r>
                        <m:r>
                          <m:t>y</m:t>
                        </m:r>
                      </m:sub>
                    </m:sSub>
                  </m:den>
                </m:f>
              </m:e>
              <m:e>
                <m:r>
                  <m:t>  </m:t>
                </m:r>
                <m:d>
                  <m:dPr>
                    <m:begChr m:val="("/>
                    <m:endChr m:val=")"/>
                    <m:sepChr m:val=""/>
                    <m:grow/>
                  </m:dPr>
                  <m:e>
                    <m:r>
                      <m:t>11</m:t>
                    </m:r>
                  </m:e>
                </m:d>
                <m:r>
                  <m:rPr>
                    <m:sty m:val="p"/>
                  </m:rPr>
                  <m:t>,</m:t>
                </m:r>
              </m:e>
            </m:mr>
          </m:m>
        </m:oMath>
      </m:oMathPara>
    </w:p>
    <w:p>
      <w:pPr>
        <w:pStyle w:val="FirstParagraph"/>
      </w:pPr>
      <w:r>
        <w:t xml:space="preserve">where</w:t>
      </w:r>
      <w:r>
        <w:t xml:space="preserve"> </w:t>
      </w:r>
      <m:oMath>
        <m:r>
          <m:t>I</m:t>
        </m:r>
      </m:oMath>
      <w:r>
        <w:t xml:space="preserve"> </w:t>
      </w:r>
      <w:r>
        <w:t xml:space="preserve">represents the design-based indices of biomass used in equation (2). These CVs were log transformed and survey,</w:t>
      </w:r>
      <w:r>
        <w:t xml:space="preserve"> </w:t>
      </w:r>
      <m:oMath>
        <m:r>
          <m:t>i</m:t>
        </m:r>
      </m:oMath>
      <w:r>
        <w:t xml:space="preserve">, and species,</w:t>
      </w:r>
      <w:r>
        <w:t xml:space="preserve"> </w:t>
      </w:r>
      <m:oMath>
        <m:r>
          <m:t>s</m:t>
        </m:r>
      </m:oMath>
      <w:r>
        <w:t xml:space="preserve">, specific means and standard deviations were used to inform the prior for</w:t>
      </w:r>
      <w:r>
        <w:t xml:space="preserve"> </w:t>
      </w:r>
      <m:oMath>
        <m:sSubSup>
          <m:e>
            <m:r>
              <m:t>τ</m:t>
            </m:r>
          </m:e>
          <m:sub>
            <m:r>
              <m:t>i</m:t>
            </m:r>
            <m:r>
              <m:rPr>
                <m:sty m:val="p"/>
              </m:rPr>
              <m:t>,</m:t>
            </m:r>
            <m:r>
              <m:t>s</m:t>
            </m:r>
          </m:sub>
          <m:sup>
            <m:r>
              <m:t>2</m:t>
            </m:r>
          </m:sup>
        </m:sSubSup>
      </m:oMath>
      <w:r>
        <w:t xml:space="preserve"> </w:t>
      </w:r>
      <w:r>
        <w:t xml:space="preserve">in log-space. Rather than treat the estimates of survey CV as a perfect indicator of total observation error, the prior was widened by multiplying the standard deviation of log CV by two to account for observation variance introduced by distributional shifts outside of the survey domain. Another two times multiplier was applied for deep-water species as they have more scope for shifting outside the survey domain.</w:t>
      </w:r>
    </w:p>
    <w:bookmarkEnd w:id="29"/>
    <w:bookmarkEnd w:id="30"/>
    <w:bookmarkStart w:id="31" w:name="model-selection"/>
    <w:p>
      <w:pPr>
        <w:pStyle w:val="Heading3"/>
      </w:pPr>
      <w:r>
        <w:t xml:space="preserve">Model selection</w:t>
      </w:r>
    </w:p>
    <w:p>
      <w:pPr>
        <w:pStyle w:val="FirstParagraph"/>
      </w:pPr>
      <w:r>
        <w:t xml:space="preserve">It is unknown whether density-dependence of the demersal fish community inhabiting the NL shelves is primarily driven by intra and interspecific competition, or the degree to which species interactions affect population dyanmics. It is, however, well known that the community has been fished for more than 500 years and this history was punctuated by a collapse of several stocks, most notably cod, in the early 1990s</w:t>
      </w:r>
      <w:r>
        <w:t xml:space="preserve"> </w:t>
      </w:r>
      <w:r>
        <w:t xml:space="preserve">(</w:t>
      </w:r>
      <w:hyperlink w:anchor="ref-lear1998">
        <w:r>
          <w:rPr>
            <w:rStyle w:val="Hyperlink"/>
          </w:rPr>
          <w:t xml:space="preserve">17</w:t>
        </w:r>
      </w:hyperlink>
      <w:r>
        <w:t xml:space="preserve">)</w:t>
      </w:r>
      <w:r>
        <w:t xml:space="preserve">. This collapse was not isolated to commercial stocks, as the biomass of several non-commercial species collapsed at the same time. This collapse was followed by a reorganization of the community, which implies that the system experienced a regime shift</w:t>
      </w:r>
      <w:r>
        <w:t xml:space="preserve"> </w:t>
      </w:r>
      <w:r>
        <w:t xml:space="preserve">(</w:t>
      </w:r>
      <w:hyperlink w:anchor="ref-pedersen2017">
        <w:r>
          <w:rPr>
            <w:rStyle w:val="Hyperlink"/>
          </w:rPr>
          <w:t xml:space="preserve">5</w:t>
        </w:r>
      </w:hyperlink>
      <w:r>
        <w:t xml:space="preserve">)</w:t>
      </w:r>
      <w:r>
        <w:t xml:space="preserve">. Given this context, and the structure of the multispecies surplus production model described above, a series of hypotheses were tested:</w:t>
      </w:r>
    </w:p>
    <w:p>
      <w:pPr>
        <w:pStyle w:val="BodyText"/>
      </w:pPr>
      <w:r>
        <w:rPr>
          <w:bCs/>
          <w:b/>
        </w:rPr>
        <w:t xml:space="preserve">Full:</w:t>
      </w:r>
      <w:r>
        <w:t xml:space="preserve"> </w:t>
      </w:r>
      <w:r>
        <w:t xml:space="preserve">For this hypothesis, it is posited that population dynamics within regions are governed by an overarching carrying capacity that affects all focal species as the aggregate biomass approaches system limits (i.e., inter-specific density-dependent effects are assumed). For this hypothesis and all others, annual reported landings of each species are subtracted. Residual variations not explained by intrinsic growth, density-dependent effects or landings are described by process errors that are 1) correlated across species and said correlations are assumed to be unstructured, meaning relationships can be of differing strengths — positive, neutral, or negative — for each species-to-species pair; and, 2) assumed to be temporally correlated, following an AR1 structure. Finally, a shift covariate was applied to the carrying capacity parameter to enable the estimation of different system limits before and after the community-wide collapse to assess support for a regime shift in each systems’ capacity for the focal demersal species.</w:t>
      </w:r>
    </w:p>
    <w:p>
      <w:pPr>
        <w:pStyle w:val="BodyText"/>
      </w:pPr>
      <w:r>
        <w:rPr>
          <w:bCs/>
          <w:b/>
        </w:rPr>
        <w:t xml:space="preserve">Just shift:</w:t>
      </w:r>
      <w:r>
        <w:t xml:space="preserve"> </w:t>
      </w:r>
      <w:r>
        <w:t xml:space="preserve">Model structure is the same as the</w:t>
      </w:r>
      <w:r>
        <w:t xml:space="preserve"> </w:t>
      </w:r>
      <w:r>
        <w:rPr>
          <w:bCs/>
          <w:b/>
        </w:rPr>
        <w:t xml:space="preserve">full</w:t>
      </w:r>
      <w:r>
        <w:t xml:space="preserve"> </w:t>
      </w:r>
      <w:r>
        <w:t xml:space="preserve">model, except the process errors are assumed to be independent and identically distributed random variables (</w:t>
      </w:r>
      <w:r>
        <w:rPr>
          <w:iCs/>
          <w:i/>
        </w:rPr>
        <w:t xml:space="preserve">iid</w:t>
      </w:r>
      <w:r>
        <w:t xml:space="preserve">) to assess the hypothesis that temporal and species correlations are explained by the shift.</w:t>
      </w:r>
    </w:p>
    <w:p>
      <w:pPr>
        <w:pStyle w:val="BodyText"/>
      </w:pPr>
      <w:r>
        <w:rPr>
          <w:bCs/>
          <w:b/>
        </w:rPr>
        <w:t xml:space="preserve">Just correlation:</w:t>
      </w:r>
      <w:r>
        <w:t xml:space="preserve"> </w:t>
      </w:r>
      <w:r>
        <w:t xml:space="preserve">Model structure is the same as the</w:t>
      </w:r>
      <w:r>
        <w:t xml:space="preserve"> </w:t>
      </w:r>
      <w:r>
        <w:rPr>
          <w:bCs/>
          <w:b/>
        </w:rPr>
        <w:t xml:space="preserve">full</w:t>
      </w:r>
      <w:r>
        <w:t xml:space="preserve"> </w:t>
      </w:r>
      <w:r>
        <w:t xml:space="preserve">model, except population dynamics are assumed to be affected by a common and time-invariant carrying capacity. The shift covariate was not applied for this and subsequent hypotheses.</w:t>
      </w:r>
    </w:p>
    <w:p>
      <w:pPr>
        <w:pStyle w:val="BodyText"/>
      </w:pPr>
      <w:r>
        <w:rPr>
          <w:bCs/>
          <w:b/>
        </w:rPr>
        <w:t xml:space="preserve">Shared correlation:</w:t>
      </w:r>
      <w:r>
        <w:t xml:space="preserve"> </w:t>
      </w:r>
      <w:r>
        <w:t xml:space="preserve">Model structure is the same as the</w:t>
      </w:r>
      <w:r>
        <w:t xml:space="preserve"> </w:t>
      </w:r>
      <w:r>
        <w:rPr>
          <w:bCs/>
          <w:b/>
        </w:rPr>
        <w:t xml:space="preserve">just correlation</w:t>
      </w:r>
      <w:r>
        <w:t xml:space="preserve"> </w:t>
      </w:r>
      <w:r>
        <w:t xml:space="preserve">model, except species by species correlations in the process errors are assumed to be the same across all pairs. This structure implies that there is a common but unknown environmental variable affecting the population dynamics of all species.</w:t>
      </w:r>
    </w:p>
    <w:p>
      <w:pPr>
        <w:pStyle w:val="BodyText"/>
      </w:pPr>
      <w:r>
        <w:rPr>
          <w:bCs/>
          <w:b/>
        </w:rPr>
        <w:t xml:space="preserve">Just species correlation:</w:t>
      </w:r>
      <w:r>
        <w:t xml:space="preserve"> </w:t>
      </w:r>
      <w:r>
        <w:t xml:space="preserve">Model structure is the same as the</w:t>
      </w:r>
      <w:r>
        <w:t xml:space="preserve"> </w:t>
      </w:r>
      <w:r>
        <w:rPr>
          <w:bCs/>
          <w:b/>
        </w:rPr>
        <w:t xml:space="preserve">shared correlation</w:t>
      </w:r>
      <w:r>
        <w:t xml:space="preserve"> </w:t>
      </w:r>
      <w:r>
        <w:t xml:space="preserve">model, except the process errors at each time step are assumed to be</w:t>
      </w:r>
      <w:r>
        <w:t xml:space="preserve"> </w:t>
      </w:r>
      <w:r>
        <w:rPr>
          <w:iCs/>
          <w:i/>
        </w:rPr>
        <w:t xml:space="preserve">iid</w:t>
      </w:r>
      <w:r>
        <w:t xml:space="preserve">. This structure implies that there is a common but unknown environmental process affecting all species, but the process is noisy with no temporal dependence.</w:t>
      </w:r>
    </w:p>
    <w:p>
      <w:pPr>
        <w:pStyle w:val="BodyText"/>
      </w:pPr>
      <w:r>
        <w:rPr>
          <w:bCs/>
          <w:b/>
        </w:rPr>
        <w:t xml:space="preserve">Just temporal correlation:</w:t>
      </w:r>
      <w:r>
        <w:t xml:space="preserve"> </w:t>
      </w:r>
      <w:r>
        <w:t xml:space="preserve">Model structure is the same as the</w:t>
      </w:r>
      <w:r>
        <w:t xml:space="preserve"> </w:t>
      </w:r>
      <w:r>
        <w:rPr>
          <w:bCs/>
          <w:b/>
        </w:rPr>
        <w:t xml:space="preserve">shared correlation</w:t>
      </w:r>
      <w:r>
        <w:t xml:space="preserve"> </w:t>
      </w:r>
      <w:r>
        <w:t xml:space="preserve">model, except species by species correlations are assumed to be</w:t>
      </w:r>
      <w:r>
        <w:t xml:space="preserve"> </w:t>
      </w:r>
      <w:r>
        <w:rPr>
          <w:iCs/>
          <w:i/>
        </w:rPr>
        <w:t xml:space="preserve">iid</w:t>
      </w:r>
      <w:r>
        <w:t xml:space="preserve">. This structure implies that environmental processes affect each species differently, however, there may be carry-over effects from one year to the next.</w:t>
      </w:r>
    </w:p>
    <w:p>
      <w:pPr>
        <w:pStyle w:val="BodyText"/>
      </w:pPr>
      <w:r>
        <w:rPr>
          <w:bCs/>
          <w:b/>
        </w:rPr>
        <w:t xml:space="preserve">No correlation:</w:t>
      </w:r>
      <w:r>
        <w:t xml:space="preserve"> </w:t>
      </w:r>
      <w:r>
        <w:t xml:space="preserve">Model structure is the same as the</w:t>
      </w:r>
      <w:r>
        <w:t xml:space="preserve"> </w:t>
      </w:r>
      <w:r>
        <w:rPr>
          <w:bCs/>
          <w:b/>
        </w:rPr>
        <w:t xml:space="preserve">shared correlation</w:t>
      </w:r>
      <w:r>
        <w:t xml:space="preserve"> </w:t>
      </w:r>
      <w:r>
        <w:t xml:space="preserve">model, except both temporal and species correlations are assumed to be</w:t>
      </w:r>
      <w:r>
        <w:t xml:space="preserve"> </w:t>
      </w:r>
      <w:r>
        <w:rPr>
          <w:iCs/>
          <w:i/>
        </w:rPr>
        <w:t xml:space="preserve">iid</w:t>
      </w:r>
      <w:r>
        <w:t xml:space="preserve">. That is, population dynamics are thought to be affected by a common time-invariant carrying capacity and residual variations not explained by intrinsic growth, inter-specific density-dependent effects or landings are noisy and independent across time and species.</w:t>
      </w:r>
    </w:p>
    <w:p>
      <w:pPr>
        <w:pStyle w:val="BodyText"/>
      </w:pPr>
      <w:r>
        <w:rPr>
          <w:bCs/>
          <w:b/>
        </w:rPr>
        <w:t xml:space="preserve">Single-species:</w:t>
      </w:r>
      <w:r>
        <w:t xml:space="preserve"> </w:t>
      </w:r>
      <w:r>
        <w:t xml:space="preserve">Model structure is the same as the</w:t>
      </w:r>
      <w:r>
        <w:t xml:space="preserve"> </w:t>
      </w:r>
      <w:r>
        <w:rPr>
          <w:bCs/>
          <w:b/>
        </w:rPr>
        <w:t xml:space="preserve">no correlation</w:t>
      </w:r>
      <w:r>
        <w:t xml:space="preserve"> </w:t>
      </w:r>
      <w:r>
        <w:t xml:space="preserve">model, except population dynamics are assumed to be governed by species-specific carrying capacities (i.e., intra-specific density-dependent effects are assumed). This formulation is analogous to standard state-space Schaefer production models.</w:t>
      </w:r>
    </w:p>
    <w:p>
      <w:pPr>
        <w:pStyle w:val="BodyText"/>
      </w:pPr>
      <w:r>
        <w:t xml:space="preserve">The predictive ability of each of these models was tested using two cross-validation approaches: 1) leave-one-out cross-validation (LOO-CV), and 2) hindcast cross-validation (Hindcast-CV). LOO-CV is a form of exhaustive cross-validation where the model is repeatedly conditioned on a training set missing one observation until the number of model folds equal the number of observations in the data. The missing observations are predicted at each fold, permitting assessments of the models’ ability to predict the actual value that was left out at each fold. The hindcast-CV approach is similar, however it focuses on the models’ ability to predict the future. Under the this approach, the model is repeatedly conditioned on a training set missing observations from the terminal year such that each fold excludes an increasing number of years worth of data from the tail of the time series</w:t>
      </w:r>
      <w:r>
        <w:t xml:space="preserve"> </w:t>
      </w:r>
      <w:r>
        <w:t xml:space="preserve">(</w:t>
      </w:r>
      <w:hyperlink w:anchor="ref-kell2016">
        <w:r>
          <w:rPr>
            <w:rStyle w:val="Hyperlink"/>
          </w:rPr>
          <w:t xml:space="preserve">18</w:t>
        </w:r>
      </w:hyperlink>
      <w:r>
        <w:t xml:space="preserve">)</w:t>
      </w:r>
      <w:r>
        <w:t xml:space="preserve">. We folded back 20 years and, for each fold, predicted survey indices were compared to the observed survey indices (e.g., observed indices from 2020 were compared with predicted survey indices for 2020 from the model conditioned on data from 1978-2019). For both approaches, we denote predicted survey indices as</w:t>
      </w:r>
      <w:r>
        <w:t xml:space="preserve"> </w:t>
      </w:r>
      <m:oMath>
        <m:acc>
          <m:accPr>
            <m:chr m:val="̂"/>
          </m:accPr>
          <m:e>
            <m:sSub>
              <m:e>
                <m:r>
                  <m:t>I</m:t>
                </m:r>
              </m:e>
              <m:sub>
                <m:r>
                  <m:t>j</m:t>
                </m:r>
              </m:sub>
            </m:sSub>
          </m:e>
        </m:acc>
      </m:oMath>
      <w:r>
        <w:t xml:space="preserve"> </w:t>
      </w:r>
      <w:r>
        <w:t xml:space="preserve">and the left out observations</w:t>
      </w:r>
      <w:r>
        <w:t xml:space="preserve"> </w:t>
      </w:r>
      <m:oMath>
        <m:sSub>
          <m:e>
            <m:r>
              <m:t>I</m:t>
            </m:r>
          </m:e>
          <m:sub>
            <m:r>
              <m:t>j</m:t>
            </m:r>
          </m:sub>
        </m:sSub>
      </m:oMath>
      <w:r>
        <w:t xml:space="preserve">, where</w:t>
      </w:r>
      <w:r>
        <w:t xml:space="preserve"> </w:t>
      </w:r>
      <m:oMath>
        <m:r>
          <m:t>j</m:t>
        </m:r>
      </m:oMath>
      <w:r>
        <w:t xml:space="preserve"> </w:t>
      </w:r>
      <w:r>
        <w:t xml:space="preserve">represents all unique combinations of years, species, and survey indices present in the left out data. LOO-CV and Hindcast-CV prediction error scores for each model for each region were calculated by taking the mean squared error,</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CV Score</m:t>
                </m:r>
                <m:r>
                  <m:rPr>
                    <m:sty m:val="p"/>
                  </m:rPr>
                  <m:t>=</m:t>
                </m:r>
                <m:f>
                  <m:fPr>
                    <m:type m:val="bar"/>
                  </m:fPr>
                  <m:num>
                    <m:r>
                      <m:t>1</m:t>
                    </m:r>
                  </m:num>
                  <m:den>
                    <m:r>
                      <m:t>n</m:t>
                    </m:r>
                  </m:den>
                </m:f>
                <m:nary>
                  <m:naryPr>
                    <m:chr m:val="∑"/>
                    <m:limLoc m:val="undOvr"/>
                    <m:subHide m:val="0"/>
                    <m:supHide m:val="0"/>
                  </m:naryPr>
                  <m:sub>
                    <m:r>
                      <m:t>j</m:t>
                    </m:r>
                    <m:r>
                      <m:rPr>
                        <m:sty m:val="p"/>
                      </m:rPr>
                      <m:t>=</m:t>
                    </m:r>
                    <m:r>
                      <m:t>1</m:t>
                    </m:r>
                  </m:sub>
                  <m:sup>
                    <m:r>
                      <m:t>n</m:t>
                    </m:r>
                  </m:sup>
                  <m:e>
                    <m:sSup>
                      <m:e>
                        <m:d>
                          <m:dPr>
                            <m:begChr m:val="("/>
                            <m:endChr m:val=")"/>
                            <m:sepChr m:val=""/>
                            <m:grow/>
                          </m:dPr>
                          <m:e>
                            <m:r>
                              <m:t>l</m:t>
                            </m:r>
                            <m:r>
                              <m:t>o</m:t>
                            </m:r>
                            <m:r>
                              <m:t>g</m:t>
                            </m:r>
                            <m:d>
                              <m:dPr>
                                <m:begChr m:val="("/>
                                <m:endChr m:val=")"/>
                                <m:sepChr m:val=""/>
                                <m:grow/>
                              </m:dPr>
                              <m:e>
                                <m:sSub>
                                  <m:e>
                                    <m:r>
                                      <m:t>I</m:t>
                                    </m:r>
                                  </m:e>
                                  <m:sub>
                                    <m:r>
                                      <m:t>j</m:t>
                                    </m:r>
                                  </m:sub>
                                </m:sSub>
                              </m:e>
                            </m:d>
                            <m:r>
                              <m:rPr>
                                <m:sty m:val="p"/>
                              </m:rPr>
                              <m:t>−</m:t>
                            </m:r>
                            <m:r>
                              <m:t>l</m:t>
                            </m:r>
                            <m:r>
                              <m:t>o</m:t>
                            </m:r>
                            <m:r>
                              <m:t>g</m:t>
                            </m:r>
                            <m:d>
                              <m:dPr>
                                <m:begChr m:val="("/>
                                <m:endChr m:val=")"/>
                                <m:sepChr m:val=""/>
                                <m:grow/>
                              </m:dPr>
                              <m:e>
                                <m:sSub>
                                  <m:e>
                                    <m:acc>
                                      <m:accPr>
                                        <m:chr m:val="̂"/>
                                      </m:accPr>
                                      <m:e>
                                        <m:r>
                                          <m:t>I</m:t>
                                        </m:r>
                                      </m:e>
                                    </m:acc>
                                  </m:e>
                                  <m:sub>
                                    <m:r>
                                      <m:t>j</m:t>
                                    </m:r>
                                  </m:sub>
                                </m:sSub>
                              </m:e>
                            </m:d>
                          </m:e>
                        </m:d>
                      </m:e>
                      <m:sup>
                        <m:r>
                          <m:t>2</m:t>
                        </m:r>
                      </m:sup>
                    </m:sSup>
                  </m:e>
                </m:nary>
              </m:e>
              <m:e>
                <m:r>
                  <m:t>  </m:t>
                </m:r>
                <m:d>
                  <m:dPr>
                    <m:begChr m:val="("/>
                    <m:endChr m:val=")"/>
                    <m:sepChr m:val=""/>
                    <m:grow/>
                  </m:dPr>
                  <m:e>
                    <m:r>
                      <m:t>11</m:t>
                    </m:r>
                  </m:e>
                </m:d>
                <m:r>
                  <m:rPr>
                    <m:sty m:val="p"/>
                  </m:rPr>
                  <m:t>.</m:t>
                </m:r>
              </m:e>
            </m:mr>
          </m:m>
        </m:oMath>
      </m:oMathPara>
    </w:p>
    <w:p>
      <w:pPr>
        <w:pStyle w:val="FirstParagraph"/>
      </w:pPr>
      <w:r>
        <w:t xml:space="preserve">These scores were also averaged across methods (LOO-CV, Hindcast-CV) and region (Northeast NL Shelf, Grand Bank, Southern NL) to obtain an overall score of predictive ability of each model. A well-fitting model will result in predicted values that are close to the excluded values and, therefore, result in lower scores. Ultimately, these scores enable a model-comparison approach to hypothesis testing.</w:t>
      </w:r>
    </w:p>
    <w:bookmarkEnd w:id="31"/>
    <w:bookmarkEnd w:id="32"/>
    <w:bookmarkEnd w:id="33"/>
    <w:bookmarkStart w:id="34" w:name="results"/>
    <w:p>
      <w:pPr>
        <w:pStyle w:val="Heading1"/>
      </w:pPr>
      <w:r>
        <w:t xml:space="preserve">Results</w:t>
      </w:r>
    </w:p>
    <w:bookmarkEnd w:id="34"/>
    <w:bookmarkStart w:id="35" w:name="discussion"/>
    <w:p>
      <w:pPr>
        <w:pStyle w:val="Heading1"/>
      </w:pPr>
      <w:r>
        <w:t xml:space="preserve">Discussion</w:t>
      </w:r>
    </w:p>
    <w:bookmarkEnd w:id="35"/>
    <w:bookmarkStart w:id="36"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36"/>
    <w:bookmarkStart w:id="60" w:name="references"/>
    <w:p>
      <w:pPr>
        <w:pStyle w:val="Heading1"/>
      </w:pPr>
      <w:r>
        <w:t xml:space="preserve">References</w:t>
      </w:r>
    </w:p>
    <w:bookmarkStart w:id="59" w:name="refs"/>
    <w:bookmarkStart w:id="37" w:name="ref-schaefer1954"/>
    <w:p>
      <w:pPr>
        <w:pStyle w:val="Bibliography"/>
      </w:pPr>
      <w:r>
        <w:t xml:space="preserve">1.</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37"/>
    <w:bookmarkStart w:id="38" w:name="ref-hutchings2021"/>
    <w:p>
      <w:pPr>
        <w:pStyle w:val="Bibliography"/>
      </w:pPr>
      <w:r>
        <w:t xml:space="preserve">2.</w:t>
      </w:r>
      <w:r>
        <w:t xml:space="preserve"> </w:t>
      </w:r>
      <w:r>
        <w:t xml:space="preserve">	</w:t>
      </w:r>
      <w:r>
        <w:t xml:space="preserve">J. A. Hutchings,</w:t>
      </w:r>
      <w:r>
        <w:t xml:space="preserve"> </w:t>
      </w:r>
      <w:r>
        <w:rPr>
          <w:iCs/>
          <w:i/>
        </w:rPr>
        <w:t xml:space="preserve">A primer of life histories: Ecology, evolution, and application</w:t>
      </w:r>
      <w:r>
        <w:t xml:space="preserve"> </w:t>
      </w:r>
      <w:r>
        <w:t xml:space="preserve">(Oxford University Press, 2021).</w:t>
      </w:r>
    </w:p>
    <w:bookmarkEnd w:id="38"/>
    <w:bookmarkStart w:id="40" w:name="ref-kristensen2015"/>
    <w:p>
      <w:pPr>
        <w:pStyle w:val="Bibliography"/>
      </w:pPr>
      <w:r>
        <w:t xml:space="preserve">3.</w:t>
      </w:r>
      <w:r>
        <w:t xml:space="preserve"> </w:t>
      </w:r>
      <w:r>
        <w:t xml:space="preserve">	</w:t>
      </w:r>
      <w:r>
        <w:t xml:space="preserve">K. Kristensen, A. Nielsen, C. Berg, H. Skaug, B. Bell,</w:t>
      </w:r>
      <w:r>
        <w:t xml:space="preserve"> </w:t>
      </w:r>
      <w:hyperlink r:id="rId39">
        <w:r>
          <w:rPr>
            <w:rStyle w:val="Hyperlink"/>
          </w:rPr>
          <w:t xml:space="preserve">TMB: Automatic differentiation and laplace approximation</w:t>
        </w:r>
      </w:hyperlink>
      <w:r>
        <w:t xml:space="preserve">.</w:t>
      </w:r>
      <w:r>
        <w:t xml:space="preserve"> </w:t>
      </w:r>
      <w:r>
        <w:rPr>
          <w:iCs/>
          <w:i/>
        </w:rPr>
        <w:t xml:space="preserve">Journal of Statistical Software</w:t>
      </w:r>
      <w:r>
        <w:t xml:space="preserve"> </w:t>
      </w:r>
      <w:r>
        <w:rPr>
          <w:bCs/>
          <w:b/>
        </w:rPr>
        <w:t xml:space="preserve">70</w:t>
      </w:r>
      <w:r>
        <w:t xml:space="preserve">, 1–21 (2016).</w:t>
      </w:r>
    </w:p>
    <w:bookmarkEnd w:id="40"/>
    <w:bookmarkStart w:id="42" w:name="ref-R"/>
    <w:p>
      <w:pPr>
        <w:pStyle w:val="Bibliography"/>
      </w:pPr>
      <w:r>
        <w:t xml:space="preserve">4.</w:t>
      </w:r>
      <w:r>
        <w:t xml:space="preserve"> </w:t>
      </w:r>
      <w:r>
        <w:t xml:space="preserve">	</w:t>
      </w:r>
      <w:r>
        <w:t xml:space="preserve">R Core Team,</w:t>
      </w:r>
      <w:r>
        <w:t xml:space="preserve"> </w:t>
      </w:r>
      <w:hyperlink r:id="rId41">
        <w:r>
          <w:rPr>
            <w:rStyle w:val="Hyperlink"/>
            <w:iCs/>
            <w:i/>
          </w:rPr>
          <w:t xml:space="preserve">R: A language and environment for statistical computing</w:t>
        </w:r>
      </w:hyperlink>
      <w:r>
        <w:t xml:space="preserve"> </w:t>
      </w:r>
      <w:r>
        <w:t xml:space="preserve">(R Foundation for Statistical Computing, 2021).</w:t>
      </w:r>
    </w:p>
    <w:bookmarkEnd w:id="42"/>
    <w:bookmarkStart w:id="43" w:name="ref-pedersen2017"/>
    <w:p>
      <w:pPr>
        <w:pStyle w:val="Bibliography"/>
      </w:pPr>
      <w:r>
        <w:t xml:space="preserve">5.</w:t>
      </w:r>
      <w:r>
        <w:t xml:space="preserve"> </w:t>
      </w:r>
      <w:r>
        <w:t xml:space="preserve">	</w:t>
      </w:r>
      <w:r>
        <w:t xml:space="preserve">E. J. Pedersen,</w:t>
      </w:r>
      <w:r>
        <w:t xml:space="preserve"> </w:t>
      </w:r>
      <w:r>
        <w:rPr>
          <w:iCs/>
          <w:i/>
        </w:rPr>
        <w:t xml:space="preserve">et al.</w:t>
      </w:r>
      <w:r>
        <w:t xml:space="preserve">, Signatures of the collapse and incipient recovery of an overexploited marine ecosystem.</w:t>
      </w:r>
      <w:r>
        <w:t xml:space="preserve"> </w:t>
      </w:r>
      <w:r>
        <w:rPr>
          <w:iCs/>
          <w:i/>
        </w:rPr>
        <w:t xml:space="preserve">Royal Society open science</w:t>
      </w:r>
      <w:r>
        <w:t xml:space="preserve"> </w:t>
      </w:r>
      <w:r>
        <w:rPr>
          <w:bCs/>
          <w:b/>
        </w:rPr>
        <w:t xml:space="preserve">4</w:t>
      </w:r>
      <w:r>
        <w:t xml:space="preserve">, 170215 (2017).</w:t>
      </w:r>
    </w:p>
    <w:bookmarkEnd w:id="43"/>
    <w:bookmarkStart w:id="44" w:name="ref-pepin2014"/>
    <w:p>
      <w:pPr>
        <w:pStyle w:val="Bibliography"/>
      </w:pPr>
      <w:r>
        <w:t xml:space="preserve">6.</w:t>
      </w:r>
      <w:r>
        <w:t xml:space="preserve"> </w:t>
      </w:r>
      <w:r>
        <w:t xml:space="preserve">	</w:t>
      </w:r>
      <w:r>
        <w:t xml:space="preserve">P. Pepin, J. Higdon, M. Koen-Alonso, M. Fogarty, N. Ollerhead,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 </w:t>
      </w:r>
      <w:r>
        <w:rPr>
          <w:bCs/>
          <w:b/>
        </w:rPr>
        <w:t xml:space="preserve">14</w:t>
      </w:r>
      <w:r>
        <w:t xml:space="preserve">, 069 (2014).</w:t>
      </w:r>
    </w:p>
    <w:bookmarkEnd w:id="44"/>
    <w:bookmarkStart w:id="45" w:name="ref-chadwick2007"/>
    <w:p>
      <w:pPr>
        <w:pStyle w:val="Bibliography"/>
      </w:pPr>
      <w:r>
        <w:t xml:space="preserve">7.</w:t>
      </w:r>
      <w:r>
        <w:t xml:space="preserve"> </w:t>
      </w:r>
      <w:r>
        <w:t xml:space="preserve">	</w:t>
      </w:r>
      <w:r>
        <w:t xml:space="preserve">E. Chadwick,</w:t>
      </w:r>
      <w:r>
        <w:t xml:space="preserve"> </w:t>
      </w:r>
      <w:r>
        <w:rPr>
          <w:iCs/>
          <w:i/>
        </w:rPr>
        <w:t xml:space="preserve">et al.</w:t>
      </w:r>
      <w:r>
        <w:t xml:space="preserve">,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 </w:t>
      </w:r>
      <w:r>
        <w:rPr>
          <w:bCs/>
          <w:b/>
        </w:rPr>
        <w:t xml:space="preserve">6</w:t>
      </w:r>
      <w:r>
        <w:t xml:space="preserve">, 25–42 (2007).</w:t>
      </w:r>
    </w:p>
    <w:bookmarkEnd w:id="45"/>
    <w:bookmarkStart w:id="46" w:name="ref-smith1981"/>
    <w:p>
      <w:pPr>
        <w:pStyle w:val="Bibliography"/>
      </w:pPr>
      <w:r>
        <w:t xml:space="preserve">8.</w:t>
      </w:r>
      <w:r>
        <w:t xml:space="preserve"> </w:t>
      </w:r>
      <w:r>
        <w:t xml:space="preserve">	</w:t>
      </w:r>
      <w:r>
        <w:t xml:space="preserve">S. Smith, G. Somerton,</w:t>
      </w:r>
      <w:r>
        <w:t xml:space="preserve"> </w:t>
      </w:r>
      <w:r>
        <w:rPr>
          <w:iCs/>
          <w:i/>
        </w:rPr>
        <w:t xml:space="preserve">STRAP: A User-Oriented Computer Analysis System for Groundfish Research Trawl Survey Data</w:t>
      </w:r>
      <w:r>
        <w:t xml:space="preserve"> </w:t>
      </w:r>
      <w:r>
        <w:t xml:space="preserve">(Canadian Technical Report of Fisheries; Aquatic Sciences No. 1030, 1981).</w:t>
      </w:r>
    </w:p>
    <w:bookmarkEnd w:id="46"/>
    <w:bookmarkStart w:id="48" w:name="ref-nafo2019"/>
    <w:p>
      <w:pPr>
        <w:pStyle w:val="Bibliography"/>
      </w:pPr>
      <w:r>
        <w:t xml:space="preserve">9.</w:t>
      </w:r>
      <w:r>
        <w:t xml:space="preserve"> </w:t>
      </w:r>
      <w:r>
        <w:t xml:space="preserve">	</w:t>
      </w:r>
      <w:r>
        <w:t xml:space="preserve">NAFO,</w:t>
      </w:r>
      <w:r>
        <w:t xml:space="preserve"> </w:t>
      </w:r>
      <w:hyperlink r:id="rId47">
        <w:r>
          <w:rPr>
            <w:rStyle w:val="Hyperlink"/>
          </w:rPr>
          <w:t xml:space="preserve">Report of the Scientific Council, 31 May – 13 June 2019, Halifax, Canada</w:t>
        </w:r>
      </w:hyperlink>
      <w:r>
        <w:t xml:space="preserve">.</w:t>
      </w:r>
      <w:r>
        <w:t xml:space="preserve"> </w:t>
      </w:r>
      <w:r>
        <w:rPr>
          <w:iCs/>
          <w:i/>
        </w:rPr>
        <w:t xml:space="preserve">NAFO SCS Doc</w:t>
      </w:r>
      <w:r>
        <w:t xml:space="preserve"> </w:t>
      </w:r>
      <w:r>
        <w:rPr>
          <w:bCs/>
          <w:b/>
        </w:rPr>
        <w:t xml:space="preserve">19/20</w:t>
      </w:r>
      <w:r>
        <w:t xml:space="preserve"> </w:t>
      </w:r>
      <w:r>
        <w:t xml:space="preserve">(2019).</w:t>
      </w:r>
    </w:p>
    <w:bookmarkEnd w:id="48"/>
    <w:bookmarkStart w:id="49" w:name="ref-thorson2020"/>
    <w:p>
      <w:pPr>
        <w:pStyle w:val="Bibliography"/>
      </w:pPr>
      <w:r>
        <w:t xml:space="preserve">10.</w:t>
      </w:r>
      <w:r>
        <w:t xml:space="preserve"> </w:t>
      </w:r>
      <w:r>
        <w:t xml:space="preserve">	</w:t>
      </w:r>
      <w:r>
        <w:t xml:space="preserve">J. T. Thorson, Predicting recruitment density dependence and intrinsic growth rate for all fishes worldwide using a data-integrated life-history model.</w:t>
      </w:r>
      <w:r>
        <w:t xml:space="preserve"> </w:t>
      </w:r>
      <w:r>
        <w:rPr>
          <w:iCs/>
          <w:i/>
        </w:rPr>
        <w:t xml:space="preserve">Fish and Fisheries</w:t>
      </w:r>
      <w:r>
        <w:t xml:space="preserve"> </w:t>
      </w:r>
      <w:r>
        <w:rPr>
          <w:bCs/>
          <w:b/>
        </w:rPr>
        <w:t xml:space="preserve">21</w:t>
      </w:r>
      <w:r>
        <w:t xml:space="preserve">, 237–251 (2020).</w:t>
      </w:r>
    </w:p>
    <w:bookmarkEnd w:id="49"/>
    <w:bookmarkStart w:id="50" w:name="ref-froese2017"/>
    <w:p>
      <w:pPr>
        <w:pStyle w:val="Bibliography"/>
      </w:pPr>
      <w:r>
        <w:t xml:space="preserve">11.</w:t>
      </w:r>
      <w:r>
        <w:t xml:space="preserve"> </w:t>
      </w:r>
      <w:r>
        <w:t xml:space="preserve">	</w:t>
      </w:r>
      <w:r>
        <w:t xml:space="preserve">R. Froese, N. Demirel, G. Coro, K. M. Kleisner, H. Winker, Estimating fisheries reference points from catch and resilience.</w:t>
      </w:r>
      <w:r>
        <w:t xml:space="preserve"> </w:t>
      </w:r>
      <w:r>
        <w:rPr>
          <w:iCs/>
          <w:i/>
        </w:rPr>
        <w:t xml:space="preserve">Fish and Fisheries</w:t>
      </w:r>
      <w:r>
        <w:t xml:space="preserve"> </w:t>
      </w:r>
      <w:r>
        <w:rPr>
          <w:bCs/>
          <w:b/>
        </w:rPr>
        <w:t xml:space="preserve">18</w:t>
      </w:r>
      <w:r>
        <w:t xml:space="preserve">, 506–526 (2017).</w:t>
      </w:r>
    </w:p>
    <w:bookmarkEnd w:id="50"/>
    <w:bookmarkStart w:id="51" w:name="ref-cadigan2022"/>
    <w:p>
      <w:pPr>
        <w:pStyle w:val="Bibliography"/>
      </w:pPr>
      <w:r>
        <w:t xml:space="preserve">12.</w:t>
      </w:r>
      <w:r>
        <w:t xml:space="preserve"> </w:t>
      </w:r>
      <w:r>
        <w:t xml:space="preserve">	</w:t>
      </w:r>
      <w:r>
        <w:t xml:space="preserve">N. G. Cadigan,</w:t>
      </w:r>
      <w:r>
        <w:t xml:space="preserve"> </w:t>
      </w:r>
      <w:r>
        <w:rPr>
          <w:iCs/>
          <w:i/>
        </w:rPr>
        <w:t xml:space="preserve">et al.</w:t>
      </w:r>
      <w:r>
        <w:t xml:space="preserve">, Northwest atlantic redfish science priorities for managing an enigmatic species complex.</w:t>
      </w:r>
      <w:r>
        <w:t xml:space="preserve"> </w:t>
      </w:r>
      <w:r>
        <w:rPr>
          <w:iCs/>
          <w:i/>
        </w:rPr>
        <w:t xml:space="preserve">Canadian Journal of Fisheries and Aquatic Sciences</w:t>
      </w:r>
      <w:r>
        <w:t xml:space="preserve"> </w:t>
      </w:r>
      <w:r>
        <w:t xml:space="preserve">(2022).</w:t>
      </w:r>
    </w:p>
    <w:bookmarkEnd w:id="51"/>
    <w:bookmarkStart w:id="52" w:name="ref-licandeo2020"/>
    <w:p>
      <w:pPr>
        <w:pStyle w:val="Bibliography"/>
      </w:pPr>
      <w:r>
        <w:t xml:space="preserve">13.</w:t>
      </w:r>
      <w:r>
        <w:t xml:space="preserve"> </w:t>
      </w:r>
      <w:r>
        <w:t xml:space="preserve">	</w:t>
      </w:r>
      <w:r>
        <w:t xml:space="preserve">R. Licandeo, D. E. Duplisea, C. Senay, J. R. Marentette, M. K. McAllister, Management strategies for spasmodic stocks: A canadian atlantic redfish fishery case study.</w:t>
      </w:r>
      <w:r>
        <w:t xml:space="preserve"> </w:t>
      </w:r>
      <w:r>
        <w:rPr>
          <w:iCs/>
          <w:i/>
        </w:rPr>
        <w:t xml:space="preserve">Canadian Journal of Fisheries and Aquatic Sciences</w:t>
      </w:r>
      <w:r>
        <w:t xml:space="preserve"> </w:t>
      </w:r>
      <w:r>
        <w:rPr>
          <w:bCs/>
          <w:b/>
        </w:rPr>
        <w:t xml:space="preserve">77</w:t>
      </w:r>
      <w:r>
        <w:t xml:space="preserve">, 684–702 (2020).</w:t>
      </w:r>
    </w:p>
    <w:bookmarkEnd w:id="52"/>
    <w:bookmarkStart w:id="53" w:name="ref-cadigan2015"/>
    <w:p>
      <w:pPr>
        <w:pStyle w:val="Bibliography"/>
      </w:pPr>
      <w:r>
        <w:t xml:space="preserve">14.</w:t>
      </w:r>
      <w:r>
        <w:t xml:space="preserve"> </w:t>
      </w:r>
      <w:r>
        <w:t xml:space="preserve">	</w:t>
      </w:r>
      <w:r>
        <w:t xml:space="preserve">N. G. Cadigan, A state-space stock assessment model for northern cod, including under-reported catches and variable natural mortality rates.</w:t>
      </w:r>
      <w:r>
        <w:t xml:space="preserve"> </w:t>
      </w:r>
      <w:r>
        <w:rPr>
          <w:iCs/>
          <w:i/>
        </w:rPr>
        <w:t xml:space="preserve">Canadian Journal of Fisheries and Aquatic Sciences</w:t>
      </w:r>
      <w:r>
        <w:t xml:space="preserve"> </w:t>
      </w:r>
      <w:r>
        <w:rPr>
          <w:bCs/>
          <w:b/>
        </w:rPr>
        <w:t xml:space="preserve">73</w:t>
      </w:r>
      <w:r>
        <w:t xml:space="preserve">, 296–308 (2015).</w:t>
      </w:r>
    </w:p>
    <w:bookmarkEnd w:id="53"/>
    <w:bookmarkStart w:id="55" w:name="ref-regular2021"/>
    <w:p>
      <w:pPr>
        <w:pStyle w:val="Bibliography"/>
      </w:pPr>
      <w:r>
        <w:t xml:space="preserve">15.</w:t>
      </w:r>
      <w:r>
        <w:t xml:space="preserve"> </w:t>
      </w:r>
      <w:r>
        <w:t xml:space="preserve">	</w:t>
      </w:r>
      <w:r>
        <w:t xml:space="preserve">Paul M. Regular,</w:t>
      </w:r>
      <w:r>
        <w:t xml:space="preserve"> </w:t>
      </w:r>
      <w:r>
        <w:rPr>
          <w:iCs/>
          <w:i/>
        </w:rPr>
        <w:t xml:space="preserve">et al.</w:t>
      </w:r>
      <w:r>
        <w:t xml:space="preserve">,</w:t>
      </w:r>
      <w:r>
        <w:t xml:space="preserve"> </w:t>
      </w:r>
      <w:hyperlink r:id="rId54">
        <w:r>
          <w:rPr>
            <w:rStyle w:val="Hyperlink"/>
          </w:rPr>
          <w:t xml:space="preserve">Indexing starvation mortality to assess its role in the population regulation of northern cod</w:t>
        </w:r>
      </w:hyperlink>
      <w:r>
        <w:t xml:space="preserve">.</w:t>
      </w:r>
      <w:r>
        <w:t xml:space="preserve"> </w:t>
      </w:r>
      <w:r>
        <w:rPr>
          <w:iCs/>
          <w:i/>
        </w:rPr>
        <w:t xml:space="preserve">Fisheries Research</w:t>
      </w:r>
      <w:r>
        <w:t xml:space="preserve"> </w:t>
      </w:r>
      <w:r>
        <w:rPr>
          <w:bCs/>
          <w:b/>
        </w:rPr>
        <w:t xml:space="preserve">247</w:t>
      </w:r>
      <w:r>
        <w:t xml:space="preserve">, 106180 (2021).</w:t>
      </w:r>
    </w:p>
    <w:bookmarkEnd w:id="55"/>
    <w:bookmarkStart w:id="56" w:name="ref-walsh1992"/>
    <w:p>
      <w:pPr>
        <w:pStyle w:val="Bibliography"/>
      </w:pPr>
      <w:r>
        <w:t xml:space="preserve">16.</w:t>
      </w:r>
      <w:r>
        <w:t xml:space="preserve"> </w:t>
      </w:r>
      <w:r>
        <w:t xml:space="preserve">	</w:t>
      </w:r>
      <w:r>
        <w:t xml:space="preserve">S. J. Walsh, Size-dependent selection at the footgear of a groundfish survey trawl.</w:t>
      </w:r>
      <w:r>
        <w:t xml:space="preserve"> </w:t>
      </w:r>
      <w:r>
        <w:rPr>
          <w:iCs/>
          <w:i/>
        </w:rPr>
        <w:t xml:space="preserve">North American Journal of Fisheries Management</w:t>
      </w:r>
      <w:r>
        <w:t xml:space="preserve"> </w:t>
      </w:r>
      <w:r>
        <w:rPr>
          <w:bCs/>
          <w:b/>
        </w:rPr>
        <w:t xml:space="preserve">12</w:t>
      </w:r>
      <w:r>
        <w:t xml:space="preserve">, 625–633 (1992).</w:t>
      </w:r>
    </w:p>
    <w:bookmarkEnd w:id="56"/>
    <w:bookmarkStart w:id="57" w:name="ref-lear1998"/>
    <w:p>
      <w:pPr>
        <w:pStyle w:val="Bibliography"/>
      </w:pPr>
      <w:r>
        <w:t xml:space="preserve">17.</w:t>
      </w:r>
      <w:r>
        <w:t xml:space="preserve"> </w:t>
      </w:r>
      <w:r>
        <w:t xml:space="preserve">	</w:t>
      </w:r>
      <w:r>
        <w:t xml:space="preserve">W. H. Lear, History of fisheries in the northwest atlantic: The 500-year perspective.</w:t>
      </w:r>
      <w:r>
        <w:t xml:space="preserve"> </w:t>
      </w:r>
      <w:r>
        <w:rPr>
          <w:iCs/>
          <w:i/>
        </w:rPr>
        <w:t xml:space="preserve">Journal of Northwest Atlantic Fishery Science</w:t>
      </w:r>
      <w:r>
        <w:t xml:space="preserve"> </w:t>
      </w:r>
      <w:r>
        <w:rPr>
          <w:bCs/>
          <w:b/>
        </w:rPr>
        <w:t xml:space="preserve">23</w:t>
      </w:r>
      <w:r>
        <w:t xml:space="preserve"> </w:t>
      </w:r>
      <w:r>
        <w:t xml:space="preserve">(1998).</w:t>
      </w:r>
    </w:p>
    <w:bookmarkEnd w:id="57"/>
    <w:bookmarkStart w:id="58" w:name="ref-kell2016"/>
    <w:p>
      <w:pPr>
        <w:pStyle w:val="Bibliography"/>
      </w:pPr>
      <w:r>
        <w:t xml:space="preserve">18.</w:t>
      </w:r>
      <w:r>
        <w:t xml:space="preserve"> </w:t>
      </w:r>
      <w:r>
        <w:t xml:space="preserve">	</w:t>
      </w:r>
      <w:r>
        <w:t xml:space="preserve">L. T. Kell, A. Kimoto, T. Kitakado, Evaluation of the prediction skill of stock assessment using hindcasting.</w:t>
      </w:r>
      <w:r>
        <w:t xml:space="preserve"> </w:t>
      </w:r>
      <w:r>
        <w:rPr>
          <w:iCs/>
          <w:i/>
        </w:rPr>
        <w:t xml:space="preserve">Fisheries research</w:t>
      </w:r>
      <w:r>
        <w:t xml:space="preserve"> </w:t>
      </w:r>
      <w:r>
        <w:rPr>
          <w:bCs/>
          <w:b/>
        </w:rPr>
        <w:t xml:space="preserve">183</w:t>
      </w:r>
      <w:r>
        <w:t xml:space="preserve">, 119–127 (2016).</w:t>
      </w:r>
    </w:p>
    <w:bookmarkEnd w:id="58"/>
    <w:bookmarkEnd w:id="59"/>
    <w:p>
      <w:r>
        <w:br w:type="page"/>
      </w:r>
    </w:p>
    <w:bookmarkEnd w:id="60"/>
    <w:bookmarkStart w:id="76" w:name="figures"/>
    <w:p>
      <w:pPr>
        <w:pStyle w:val="Heading1"/>
      </w:pPr>
      <w:r>
        <w:t xml:space="preserve">Figures</w:t>
      </w:r>
    </w:p>
    <w:p>
      <w:pPr>
        <w:pStyle w:val="CaptionedFigure"/>
      </w:pPr>
      <w:r>
        <w:drawing>
          <wp:inline>
            <wp:extent cx="3599999" cy="4092857"/>
            <wp:effectExtent b="0" l="0" r="0" t="0"/>
            <wp:docPr descr="Fig 1: Map of Newfoundland and Labrador (NL) case study area showing the Northeast NL Shelf (purple), Grand Bank (green), and Southern NL (yellow) ecosystem production units." title="" id="62" name="Picture"/>
            <a:graphic>
              <a:graphicData uri="http://schemas.openxmlformats.org/drawingml/2006/picture">
                <pic:pic>
                  <pic:nvPicPr>
                    <pic:cNvPr descr="C:/Users/RegularP/Documents/PROJECTS/multispic/analysis/paper/figures/epu_map.png" id="63" name="Picture"/>
                    <pic:cNvPicPr>
                      <a:picLocks noChangeArrowheads="1" noChangeAspect="1"/>
                    </pic:cNvPicPr>
                  </pic:nvPicPr>
                  <pic:blipFill>
                    <a:blip r:embed="rId61"/>
                    <a:stretch>
                      <a:fillRect/>
                    </a:stretch>
                  </pic:blipFill>
                  <pic:spPr bwMode="auto">
                    <a:xfrm>
                      <a:off x="0" y="0"/>
                      <a:ext cx="3599999" cy="4092857"/>
                    </a:xfrm>
                    <a:prstGeom prst="rect">
                      <a:avLst/>
                    </a:prstGeom>
                    <a:noFill/>
                    <a:ln w="9525">
                      <a:noFill/>
                      <a:headEnd/>
                      <a:tailEnd/>
                    </a:ln>
                  </pic:spPr>
                </pic:pic>
              </a:graphicData>
            </a:graphic>
          </wp:inline>
        </w:drawing>
      </w:r>
    </w:p>
    <w:p>
      <w:pPr>
        <w:pStyle w:val="ImageCaption"/>
      </w:pPr>
      <w:r>
        <w:t xml:space="preserve">Fig 1: Map of Newfoundland and Labrador (NL) case study area showing the Northeast NL Shelf (purple), Grand Bank (green), and Southern NL (yellow) ecosystem production units.</w:t>
      </w:r>
    </w:p>
    <w:p>
      <w:r>
        <w:br w:type="page"/>
      </w:r>
    </w:p>
    <w:p>
      <w:pPr>
        <w:pStyle w:val="CaptionedFigure"/>
      </w:pPr>
      <w:r>
        <w:drawing>
          <wp:inline>
            <wp:extent cx="5943600" cy="2773680"/>
            <wp:effectExtent b="0" l="0" r="0" t="0"/>
            <wp:docPr descr="Fig 2: Scores." title="" id="65" name="Picture"/>
            <a:graphic>
              <a:graphicData uri="http://schemas.openxmlformats.org/drawingml/2006/picture">
                <pic:pic>
                  <pic:nvPicPr>
                    <pic:cNvPr descr="C:/Users/RegularP/Documents/PROJECTS/multispic/analysis/paper/figures/scores.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5943600" cy="2773680"/>
                    </a:xfrm>
                    <a:prstGeom prst="rect">
                      <a:avLst/>
                    </a:prstGeom>
                    <a:noFill/>
                    <a:ln w="9525">
                      <a:noFill/>
                      <a:headEnd/>
                      <a:tailEnd/>
                    </a:ln>
                  </pic:spPr>
                </pic:pic>
              </a:graphicData>
            </a:graphic>
          </wp:inline>
        </w:drawing>
      </w:r>
    </w:p>
    <w:p>
      <w:pPr>
        <w:pStyle w:val="ImageCaption"/>
      </w:pPr>
      <w:r>
        <w:t xml:space="preserve">Fig 2: Scores.</w:t>
      </w:r>
    </w:p>
    <w:p>
      <w:pPr>
        <w:pStyle w:val="CaptionedFigure"/>
      </w:pPr>
      <w:r>
        <w:drawing>
          <wp:inline>
            <wp:extent cx="5943600" cy="4160520"/>
            <wp:effectExtent b="0" l="0" r="0" t="0"/>
            <wp:docPr descr="Fig 3: Survey trends." title="" id="68" name="Picture"/>
            <a:graphic>
              <a:graphicData uri="http://schemas.openxmlformats.org/drawingml/2006/picture">
                <pic:pic>
                  <pic:nvPicPr>
                    <pic:cNvPr descr="C:/Users/RegularP/Documents/PROJECTS/multispic/analysis/paper/figures/survey_trends.svg" id="6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7"/>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 3: Survey trends.</w:t>
      </w:r>
    </w:p>
    <w:p>
      <w:pPr>
        <w:pStyle w:val="CaptionedFigure"/>
      </w:pPr>
      <w:r>
        <w:drawing>
          <wp:inline>
            <wp:extent cx="5943600" cy="4160520"/>
            <wp:effectExtent b="0" l="0" r="0" t="0"/>
            <wp:docPr descr="Fig 4: Population trends." title="" id="71" name="Picture"/>
            <a:graphic>
              <a:graphicData uri="http://schemas.openxmlformats.org/drawingml/2006/picture">
                <pic:pic>
                  <pic:nvPicPr>
                    <pic:cNvPr descr="C:/Users/RegularP/Documents/PROJECTS/multispic/analysis/paper/figures/pop_trends.svg" id="7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0"/>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 4: Population trends.</w:t>
      </w:r>
    </w:p>
    <w:p>
      <w:pPr>
        <w:pStyle w:val="CaptionedFigure"/>
      </w:pPr>
      <w:r>
        <w:drawing>
          <wp:inline>
            <wp:extent cx="5943600" cy="3200400"/>
            <wp:effectExtent b="0" l="0" r="0" t="0"/>
            <wp:docPr descr="Fig 5: Process error correlation." title="" id="74" name="Picture"/>
            <a:graphic>
              <a:graphicData uri="http://schemas.openxmlformats.org/drawingml/2006/picture">
                <pic:pic>
                  <pic:nvPicPr>
                    <pic:cNvPr descr="C:/Users/RegularP/Documents/PROJECTS/multispic/analysis/paper/figures/pe_cor.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5943600" cy="3200400"/>
                    </a:xfrm>
                    <a:prstGeom prst="rect">
                      <a:avLst/>
                    </a:prstGeom>
                    <a:noFill/>
                    <a:ln w="9525">
                      <a:noFill/>
                      <a:headEnd/>
                      <a:tailEnd/>
                    </a:ln>
                  </pic:spPr>
                </pic:pic>
              </a:graphicData>
            </a:graphic>
          </wp:inline>
        </w:drawing>
      </w:r>
    </w:p>
    <w:p>
      <w:pPr>
        <w:pStyle w:val="ImageCaption"/>
      </w:pPr>
      <w:r>
        <w:t xml:space="preserve">Fig 5: Process error correlation.</w:t>
      </w:r>
    </w:p>
    <w:bookmarkEnd w:id="76"/>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73" Target="media/rId73.svg" /><Relationship Type="http://schemas.openxmlformats.org/officeDocument/2006/relationships/image" Id="rId70" Target="media/rId70.svg" /><Relationship Type="http://schemas.openxmlformats.org/officeDocument/2006/relationships/image" Id="rId64" Target="media/rId64.svg" /><Relationship Type="http://schemas.openxmlformats.org/officeDocument/2006/relationships/image" Id="rId67" Target="media/rId67.svg" /><Relationship Type="http://schemas.openxmlformats.org/officeDocument/2006/relationships/hyperlink" Id="rId54" Target="https://doi.org/10.1016/j.fishres.2021.106180" TargetMode="External" /><Relationship Type="http://schemas.openxmlformats.org/officeDocument/2006/relationships/hyperlink" Id="rId39" Target="https://doi.org/10.18637/jss.v070.i05" TargetMode="External" /><Relationship Type="http://schemas.openxmlformats.org/officeDocument/2006/relationships/hyperlink" Id="rId41"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7"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fishres.2021.106180" TargetMode="External" /><Relationship Type="http://schemas.openxmlformats.org/officeDocument/2006/relationships/hyperlink" Id="rId39" Target="https://doi.org/10.18637/jss.v070.i05" TargetMode="External" /><Relationship Type="http://schemas.openxmlformats.org/officeDocument/2006/relationships/hyperlink" Id="rId41"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7"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2022-10-21T14:51:27Z</dcterms:created>
  <dcterms:modified xsi:type="dcterms:W3CDTF">2022-10-21T14:51:27Z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2022-10-21</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