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2022-09-23</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31"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30"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w:t>
      </w:r>
      <w:hyperlink w:anchor="ref-nafo2019">
        <w:r>
          <w:rPr>
            <w:rStyle w:val="Hyperlink"/>
          </w:rPr>
          <w:t xml:space="preserve">9</w:t>
        </w:r>
      </w:hyperlink>
      <w:r>
        <w:t xml:space="preserve">)</w:t>
      </w:r>
      <w:r>
        <w:t xml:space="preserve">]. Finally, species were ranked by cumulative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29" w:name="priors"/>
    <w:p>
      <w:pPr>
        <w:pStyle w:val="Heading3"/>
      </w:pPr>
      <w:r>
        <w:t xml:space="preserve">Priors</w:t>
      </w:r>
    </w:p>
    <w:p>
      <w:pPr>
        <w:pStyle w:val="FirstParagraph"/>
      </w:pPr>
      <w:r>
        <w:t xml:space="preserve">For simplicity, all priors were normally distributed and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predicted intrinsic growth rates for all fishes worldwide</w:t>
      </w:r>
      <w:r>
        <w:t xml:space="preserve"> </w:t>
      </w:r>
      <w:r>
        <w:t xml:space="preserve">(</w:t>
      </w:r>
      <w:hyperlink w:anchor="ref-thorson2020">
        <w:r>
          <w:rPr>
            <w:rStyle w:val="Hyperlink"/>
          </w:rPr>
          <w:t xml:space="preserve">10</w:t>
        </w:r>
      </w:hyperlink>
      <w:r>
        <w:t xml:space="preserve">)</w:t>
      </w:r>
      <w:r>
        <w:t xml:space="preserve">, 0.01 and 0.1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11</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12</w:t>
        </w:r>
      </w:hyperlink>
      <w:r>
        <w:t xml:space="preserve">,</w:t>
      </w:r>
      <w:r>
        <w:t xml:space="preserve"> </w:t>
      </w:r>
      <w:hyperlink w:anchor="ref-licandeo2020">
        <w:r>
          <w:rPr>
            <w:rStyle w:val="Hyperlink"/>
          </w:rPr>
          <w:t xml:space="preserve">13</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14</w:t>
        </w:r>
      </w:hyperlink>
      <w:r>
        <w:t xml:space="preserve">,</w:t>
      </w:r>
      <w:r>
        <w:t xml:space="preserve"> </w:t>
      </w:r>
      <w:hyperlink w:anchor="ref-regular2021">
        <w:r>
          <w:rPr>
            <w:rStyle w:val="Hyperlink"/>
          </w:rPr>
          <w:t xml:space="preserve">15</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End w:id="29"/>
    <w:bookmarkEnd w:id="30"/>
    <w:bookmarkEnd w:id="31"/>
    <w:bookmarkStart w:id="32" w:name="results"/>
    <w:p>
      <w:pPr>
        <w:pStyle w:val="Heading1"/>
      </w:pPr>
      <w:r>
        <w:t xml:space="preserve">Results</w:t>
      </w:r>
    </w:p>
    <w:bookmarkEnd w:id="32"/>
    <w:bookmarkStart w:id="33" w:name="discussion"/>
    <w:p>
      <w:pPr>
        <w:pStyle w:val="Heading1"/>
      </w:pPr>
      <w:r>
        <w:t xml:space="preserve">Discussion</w:t>
      </w:r>
    </w:p>
    <w:bookmarkEnd w:id="33"/>
    <w:bookmarkStart w:id="34"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4"/>
    <w:bookmarkStart w:id="55" w:name="references"/>
    <w:p>
      <w:pPr>
        <w:pStyle w:val="Heading1"/>
      </w:pPr>
      <w:r>
        <w:t xml:space="preserve">References</w:t>
      </w:r>
    </w:p>
    <w:bookmarkStart w:id="54" w:name="refs"/>
    <w:bookmarkStart w:id="35"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5"/>
    <w:bookmarkStart w:id="36"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6"/>
    <w:bookmarkStart w:id="38" w:name="ref-kristensen2015"/>
    <w:p>
      <w:pPr>
        <w:pStyle w:val="Bibliography"/>
      </w:pPr>
      <w:r>
        <w:t xml:space="preserve">3.</w:t>
      </w:r>
      <w:r>
        <w:t xml:space="preserve"> </w:t>
      </w:r>
      <w:r>
        <w:t xml:space="preserve">	</w:t>
      </w:r>
      <w:r>
        <w:t xml:space="preserve">K. Kristensen, A. Nielsen, C. Berg, H. Skaug, B. Bell,</w:t>
      </w:r>
      <w:r>
        <w:t xml:space="preserve"> </w:t>
      </w:r>
      <w:hyperlink r:id="rId37">
        <w:r>
          <w:rPr>
            <w:rStyle w:val="Hyperlink"/>
          </w:rPr>
          <w:t xml:space="preserve">TMB: Automatic differentiation and laplace approximation</w:t>
        </w:r>
      </w:hyperlink>
      <w:r>
        <w:t xml:space="preserve">.</w:t>
      </w:r>
      <w:r>
        <w:t xml:space="preserve"> </w:t>
      </w:r>
      <w:r>
        <w:rPr>
          <w:iCs/>
          <w:i/>
        </w:rPr>
        <w:t xml:space="preserve">Journal of Statistical Software</w:t>
      </w:r>
      <w:r>
        <w:t xml:space="preserve"> </w:t>
      </w:r>
      <w:r>
        <w:rPr>
          <w:bCs/>
          <w:b/>
        </w:rPr>
        <w:t xml:space="preserve">70</w:t>
      </w:r>
      <w:r>
        <w:t xml:space="preserve">, 1–21 (2016).</w:t>
      </w:r>
    </w:p>
    <w:bookmarkEnd w:id="38"/>
    <w:bookmarkStart w:id="40" w:name="ref-R"/>
    <w:p>
      <w:pPr>
        <w:pStyle w:val="Bibliography"/>
      </w:pPr>
      <w:r>
        <w:t xml:space="preserve">4.</w:t>
      </w:r>
      <w:r>
        <w:t xml:space="preserve"> </w:t>
      </w:r>
      <w:r>
        <w:t xml:space="preserve">	</w:t>
      </w:r>
      <w:r>
        <w:t xml:space="preserve">R Core Team,</w:t>
      </w:r>
      <w:r>
        <w:t xml:space="preserve"> </w:t>
      </w:r>
      <w:hyperlink r:id="rId39">
        <w:r>
          <w:rPr>
            <w:rStyle w:val="Hyperlink"/>
            <w:iCs/>
            <w:i/>
          </w:rPr>
          <w:t xml:space="preserve">R: A language and environment for statistical computing</w:t>
        </w:r>
      </w:hyperlink>
      <w:r>
        <w:t xml:space="preserve"> </w:t>
      </w:r>
      <w:r>
        <w:t xml:space="preserve">(R Foundation for Statistical Computing, 2021).</w:t>
      </w:r>
    </w:p>
    <w:bookmarkEnd w:id="40"/>
    <w:bookmarkStart w:id="41" w:name="ref-pedersen2017"/>
    <w:p>
      <w:pPr>
        <w:pStyle w:val="Bibliography"/>
      </w:pPr>
      <w:r>
        <w:t xml:space="preserve">5.</w:t>
      </w:r>
      <w:r>
        <w:t xml:space="preserve"> </w:t>
      </w:r>
      <w:r>
        <w:t xml:space="preserve">	</w:t>
      </w:r>
      <w:r>
        <w:t xml:space="preserve">M. W. Pedersen, C. W. Berg, A stochastic surplus production model in continuous time.</w:t>
      </w:r>
      <w:r>
        <w:t xml:space="preserve"> </w:t>
      </w:r>
      <w:r>
        <w:rPr>
          <w:iCs/>
          <w:i/>
        </w:rPr>
        <w:t xml:space="preserve">Fish and Fisheries</w:t>
      </w:r>
      <w:r>
        <w:t xml:space="preserve"> </w:t>
      </w:r>
      <w:r>
        <w:rPr>
          <w:bCs/>
          <w:b/>
        </w:rPr>
        <w:t xml:space="preserve">18</w:t>
      </w:r>
      <w:r>
        <w:t xml:space="preserve">, 226–243 (2017).</w:t>
      </w:r>
    </w:p>
    <w:bookmarkEnd w:id="41"/>
    <w:bookmarkStart w:id="42"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42"/>
    <w:bookmarkStart w:id="43"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43"/>
    <w:bookmarkStart w:id="44"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44"/>
    <w:bookmarkStart w:id="46" w:name="ref-nafo2019"/>
    <w:p>
      <w:pPr>
        <w:pStyle w:val="Bibliography"/>
      </w:pPr>
      <w:r>
        <w:t xml:space="preserve">9.</w:t>
      </w:r>
      <w:r>
        <w:t xml:space="preserve"> </w:t>
      </w:r>
      <w:r>
        <w:t xml:space="preserve">	</w:t>
      </w:r>
      <w:r>
        <w:t xml:space="preserve">NAFO,</w:t>
      </w:r>
      <w:r>
        <w:t xml:space="preserve"> </w:t>
      </w:r>
      <w:hyperlink r:id="rId45">
        <w:r>
          <w:rPr>
            <w:rStyle w:val="Hyperlink"/>
          </w:rPr>
          <w:t xml:space="preserve">Report of the Scientific Council, 31 May – 13 June 2019, Halifax, Canada</w:t>
        </w:r>
      </w:hyperlink>
      <w:r>
        <w:t xml:space="preserve">.</w:t>
      </w:r>
      <w:r>
        <w:t xml:space="preserve"> </w:t>
      </w:r>
      <w:r>
        <w:rPr>
          <w:iCs/>
          <w:i/>
        </w:rPr>
        <w:t xml:space="preserve">NAFO SCS Doc</w:t>
      </w:r>
      <w:r>
        <w:t xml:space="preserve"> </w:t>
      </w:r>
      <w:r>
        <w:rPr>
          <w:bCs/>
          <w:b/>
        </w:rPr>
        <w:t xml:space="preserve">19/20</w:t>
      </w:r>
      <w:r>
        <w:t xml:space="preserve"> </w:t>
      </w:r>
      <w:r>
        <w:t xml:space="preserve">(2019).</w:t>
      </w:r>
    </w:p>
    <w:bookmarkEnd w:id="46"/>
    <w:bookmarkStart w:id="47" w:name="ref-thorson2020"/>
    <w:p>
      <w:pPr>
        <w:pStyle w:val="Bibliography"/>
      </w:pPr>
      <w:r>
        <w:t xml:space="preserve">10.</w:t>
      </w:r>
      <w:r>
        <w:t xml:space="preserve"> </w:t>
      </w:r>
      <w:r>
        <w:t xml:space="preserve">	</w:t>
      </w:r>
      <w:r>
        <w:t xml:space="preserve">J. T. Thorson, Predicting recruitment density dependence and intrinsic growth rate for all fishes worldwide using a data-integrated life-history model.</w:t>
      </w:r>
      <w:r>
        <w:t xml:space="preserve"> </w:t>
      </w:r>
      <w:r>
        <w:rPr>
          <w:iCs/>
          <w:i/>
        </w:rPr>
        <w:t xml:space="preserve">Fish and Fisheries</w:t>
      </w:r>
      <w:r>
        <w:t xml:space="preserve"> </w:t>
      </w:r>
      <w:r>
        <w:rPr>
          <w:bCs/>
          <w:b/>
        </w:rPr>
        <w:t xml:space="preserve">21</w:t>
      </w:r>
      <w:r>
        <w:t xml:space="preserve">, 237–251 (2020).</w:t>
      </w:r>
    </w:p>
    <w:bookmarkEnd w:id="47"/>
    <w:bookmarkStart w:id="48" w:name="ref-froese2017"/>
    <w:p>
      <w:pPr>
        <w:pStyle w:val="Bibliography"/>
      </w:pPr>
      <w:r>
        <w:t xml:space="preserve">11.</w:t>
      </w:r>
      <w:r>
        <w:t xml:space="preserve"> </w:t>
      </w:r>
      <w:r>
        <w:t xml:space="preserve">	</w:t>
      </w:r>
      <w:r>
        <w:t xml:space="preserve">R. Froese, N. Demirel, G. Coro, K. M. Kleisner, H. Winker, Estimating fisheries reference points from catch and resilience.</w:t>
      </w:r>
      <w:r>
        <w:t xml:space="preserve"> </w:t>
      </w:r>
      <w:r>
        <w:rPr>
          <w:iCs/>
          <w:i/>
        </w:rPr>
        <w:t xml:space="preserve">Fish and Fisheries</w:t>
      </w:r>
      <w:r>
        <w:t xml:space="preserve"> </w:t>
      </w:r>
      <w:r>
        <w:rPr>
          <w:bCs/>
          <w:b/>
        </w:rPr>
        <w:t xml:space="preserve">18</w:t>
      </w:r>
      <w:r>
        <w:t xml:space="preserve">, 506–526 (2017).</w:t>
      </w:r>
    </w:p>
    <w:bookmarkEnd w:id="48"/>
    <w:bookmarkStart w:id="49" w:name="ref-cadigan2022"/>
    <w:p>
      <w:pPr>
        <w:pStyle w:val="Bibliography"/>
      </w:pPr>
      <w:r>
        <w:t xml:space="preserve">12.</w:t>
      </w:r>
      <w:r>
        <w:t xml:space="preserve"> </w:t>
      </w:r>
      <w:r>
        <w:t xml:space="preserve">	</w:t>
      </w:r>
      <w:r>
        <w:t xml:space="preserve">N. G. Cadigan,</w:t>
      </w:r>
      <w:r>
        <w:t xml:space="preserve"> </w:t>
      </w:r>
      <w:r>
        <w:rPr>
          <w:iCs/>
          <w:i/>
        </w:rPr>
        <w:t xml:space="preserve">et al.</w:t>
      </w:r>
      <w:r>
        <w:t xml:space="preserve">, Northwest atlantic redfish science priorities for managing an enigmatic species complex.</w:t>
      </w:r>
      <w:r>
        <w:t xml:space="preserve"> </w:t>
      </w:r>
      <w:r>
        <w:rPr>
          <w:iCs/>
          <w:i/>
        </w:rPr>
        <w:t xml:space="preserve">Canadian Journal of Fisheries and Aquatic Sciences</w:t>
      </w:r>
      <w:r>
        <w:t xml:space="preserve"> </w:t>
      </w:r>
      <w:r>
        <w:t xml:space="preserve">(2022).</w:t>
      </w:r>
    </w:p>
    <w:bookmarkEnd w:id="49"/>
    <w:bookmarkStart w:id="50" w:name="ref-licandeo2020"/>
    <w:p>
      <w:pPr>
        <w:pStyle w:val="Bibliography"/>
      </w:pPr>
      <w:r>
        <w:t xml:space="preserve">13.</w:t>
      </w:r>
      <w:r>
        <w:t xml:space="preserve"> </w:t>
      </w:r>
      <w:r>
        <w:t xml:space="preserve">	</w:t>
      </w:r>
      <w:r>
        <w:t xml:space="preserve">R. Licandeo, D. E. Duplisea, C. Senay, J. R. Marentette, M. K. McAllister, Management strategies for spasmodic stocks: A canadian atlantic redfish fishery case study.</w:t>
      </w:r>
      <w:r>
        <w:t xml:space="preserve"> </w:t>
      </w:r>
      <w:r>
        <w:rPr>
          <w:iCs/>
          <w:i/>
        </w:rPr>
        <w:t xml:space="preserve">Canadian Journal of Fisheries and Aquatic Sciences</w:t>
      </w:r>
      <w:r>
        <w:t xml:space="preserve"> </w:t>
      </w:r>
      <w:r>
        <w:rPr>
          <w:bCs/>
          <w:b/>
        </w:rPr>
        <w:t xml:space="preserve">77</w:t>
      </w:r>
      <w:r>
        <w:t xml:space="preserve">, 684–702 (2020).</w:t>
      </w:r>
    </w:p>
    <w:bookmarkEnd w:id="50"/>
    <w:bookmarkStart w:id="51" w:name="ref-cadigan2015"/>
    <w:p>
      <w:pPr>
        <w:pStyle w:val="Bibliography"/>
      </w:pPr>
      <w:r>
        <w:t xml:space="preserve">14.</w:t>
      </w:r>
      <w:r>
        <w:t xml:space="preserve"> </w:t>
      </w:r>
      <w:r>
        <w:t xml:space="preserve">	</w:t>
      </w:r>
      <w:r>
        <w:t xml:space="preserve">N. G. Cadigan, A state-space stock assessment model for northern cod, including under-reported catches and variable natural mortality rates.</w:t>
      </w:r>
      <w:r>
        <w:t xml:space="preserve"> </w:t>
      </w:r>
      <w:r>
        <w:rPr>
          <w:iCs/>
          <w:i/>
        </w:rPr>
        <w:t xml:space="preserve">Canadian Journal of Fisheries and Aquatic Sciences</w:t>
      </w:r>
      <w:r>
        <w:t xml:space="preserve"> </w:t>
      </w:r>
      <w:r>
        <w:rPr>
          <w:bCs/>
          <w:b/>
        </w:rPr>
        <w:t xml:space="preserve">73</w:t>
      </w:r>
      <w:r>
        <w:t xml:space="preserve">, 296–308 (2015).</w:t>
      </w:r>
    </w:p>
    <w:bookmarkEnd w:id="51"/>
    <w:bookmarkStart w:id="53" w:name="ref-regular2021"/>
    <w:p>
      <w:pPr>
        <w:pStyle w:val="Bibliography"/>
      </w:pPr>
      <w:r>
        <w:t xml:space="preserve">15.</w:t>
      </w:r>
      <w:r>
        <w:t xml:space="preserve"> </w:t>
      </w:r>
      <w:r>
        <w:t xml:space="preserve">	</w:t>
      </w:r>
      <w:r>
        <w:t xml:space="preserve">Paul M. Regular,</w:t>
      </w:r>
      <w:r>
        <w:t xml:space="preserve"> </w:t>
      </w:r>
      <w:r>
        <w:rPr>
          <w:iCs/>
          <w:i/>
        </w:rPr>
        <w:t xml:space="preserve">et al.</w:t>
      </w:r>
      <w:r>
        <w:t xml:space="preserve">,</w:t>
      </w:r>
      <w:r>
        <w:t xml:space="preserve"> </w:t>
      </w:r>
      <w:hyperlink r:id="rId52">
        <w:r>
          <w:rPr>
            <w:rStyle w:val="Hyperlink"/>
          </w:rPr>
          <w:t xml:space="preserve">Indexing starvation mortality to assess its role in the population regulation of northern cod</w:t>
        </w:r>
      </w:hyperlink>
      <w:r>
        <w:t xml:space="preserve">.</w:t>
      </w:r>
      <w:r>
        <w:t xml:space="preserve"> </w:t>
      </w:r>
      <w:r>
        <w:rPr>
          <w:iCs/>
          <w:i/>
        </w:rPr>
        <w:t xml:space="preserve">Fisheries Research</w:t>
      </w:r>
      <w:r>
        <w:t xml:space="preserve"> </w:t>
      </w:r>
      <w:r>
        <w:rPr>
          <w:bCs/>
          <w:b/>
        </w:rPr>
        <w:t xml:space="preserve">247</w:t>
      </w:r>
      <w:r>
        <w:t xml:space="preserve">, 106180 (2021).</w:t>
      </w:r>
    </w:p>
    <w:bookmarkEnd w:id="53"/>
    <w:bookmarkEnd w:id="54"/>
    <w:p>
      <w:r>
        <w:br w:type="page"/>
      </w:r>
    </w:p>
    <w:bookmarkEnd w:id="55"/>
    <w:bookmarkStart w:id="59" w:name="figures"/>
    <w:p>
      <w:pPr>
        <w:pStyle w:val="Heading1"/>
      </w:pPr>
      <w:r>
        <w:t xml:space="preserve">Figures</w:t>
      </w:r>
    </w:p>
    <w:p>
      <w:pPr>
        <w:pStyle w:val="CaptionedFigure"/>
      </w:pPr>
      <w:r>
        <w:drawing>
          <wp:inline>
            <wp:extent cx="4128561" cy="4587290"/>
            <wp:effectExtent b="0" l="0" r="0" t="0"/>
            <wp:docPr descr="Fig 1: Map of Newfoundland and Labrador (NL) case study area showing the Northeast NL Shelf (purple), Grand Bank (green), and Southern NL (yellow) ecosystem production units." title="" id="57" name="Picture"/>
            <a:graphic>
              <a:graphicData uri="http://schemas.openxmlformats.org/drawingml/2006/picture">
                <pic:pic>
                  <pic:nvPicPr>
                    <pic:cNvPr descr="knitr-figs-docx/epu-map-1.png" id="58" name="Picture"/>
                    <pic:cNvPicPr>
                      <a:picLocks noChangeArrowheads="1" noChangeAspect="1"/>
                    </pic:cNvPicPr>
                  </pic:nvPicPr>
                  <pic:blipFill>
                    <a:blip r:embed="rId56"/>
                    <a:stretch>
                      <a:fillRect/>
                    </a:stretch>
                  </pic:blipFill>
                  <pic:spPr bwMode="auto">
                    <a:xfrm>
                      <a:off x="0" y="0"/>
                      <a:ext cx="4128561" cy="4587290"/>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r>
        <w:br w:type="page"/>
      </w:r>
    </w:p>
    <w:bookmarkEnd w:id="59"/>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6" Target="media/rId56.png" /><Relationship Type="http://schemas.openxmlformats.org/officeDocument/2006/relationships/hyperlink" Id="rId52" Target="https://doi.org/10.1016/j.fishres.2021.106180" TargetMode="External" /><Relationship Type="http://schemas.openxmlformats.org/officeDocument/2006/relationships/hyperlink" Id="rId37" Target="https://doi.org/10.18637/jss.v070.i05" TargetMode="External" /><Relationship Type="http://schemas.openxmlformats.org/officeDocument/2006/relationships/hyperlink" Id="rId39"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5"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fishres.2021.106180" TargetMode="External" /><Relationship Type="http://schemas.openxmlformats.org/officeDocument/2006/relationships/hyperlink" Id="rId37" Target="https://doi.org/10.18637/jss.v070.i05" TargetMode="External" /><Relationship Type="http://schemas.openxmlformats.org/officeDocument/2006/relationships/hyperlink" Id="rId39"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5"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2022-09-23T13:16:35Z</dcterms:created>
  <dcterms:modified xsi:type="dcterms:W3CDTF">2022-09-23T13:16:35Z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2022-09-23</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