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2022-04-13</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2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biomass dynamic models of the form</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y</m:t>
                    </m:r>
                  </m:sub>
                </m:sSub>
                <m:r>
                  <m:rPr>
                    <m:sty m:val="p"/>
                  </m:rPr>
                  <m:t>=</m:t>
                </m:r>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e>
                <m:r>
                  <m:t>  </m:t>
                </m:r>
                <m:d>
                  <m:dPr>
                    <m:begChr m:val="("/>
                    <m:endChr m:val=")"/>
                    <m:sepChr m:val=""/>
                    <m:grow/>
                  </m:dPr>
                  <m:e>
                    <m:r>
                      <m:t>1</m:t>
                    </m:r>
                  </m:e>
                </m:d>
              </m:e>
            </m:mr>
          </m:m>
        </m:oMath>
      </m:oMathPara>
    </w:p>
    <w:p>
      <w:pPr>
        <w:pStyle w:val="FirstParagraph"/>
      </w:pPr>
      <w:r>
        <w:t xml:space="preserve">where</w:t>
      </w:r>
      <w:r>
        <w:t xml:space="preserve"> </w:t>
      </w:r>
      <m:oMath>
        <m:sSub>
          <m:e>
            <m:r>
              <m:t>B</m:t>
            </m:r>
          </m:e>
          <m:sub>
            <m:r>
              <m:t>y</m:t>
            </m:r>
          </m:sub>
        </m:sSub>
      </m:oMath>
      <w:r>
        <w:t xml:space="preserve"> </w:t>
      </w:r>
      <w:r>
        <w:t xml:space="preserve">and</w:t>
      </w:r>
      <w:r>
        <w:t xml:space="preserve"> </w:t>
      </w:r>
      <m:oMath>
        <m:sSub>
          <m:e>
            <m:r>
              <m:t>C</m:t>
            </m:r>
          </m:e>
          <m:sub>
            <m:r>
              <m:t>y</m:t>
            </m:r>
          </m:sub>
        </m:sSub>
      </m:oMath>
      <w:r>
        <w:t xml:space="preserve"> </w:t>
      </w:r>
      <w:r>
        <w:t xml:space="preserve">represents biomass and catch at annual intervals</w:t>
      </w:r>
      <w:r>
        <w:t xml:space="preserve"> </w:t>
      </w:r>
      <m:oMath>
        <m:r>
          <m:t>y</m:t>
        </m:r>
      </m:oMath>
      <w:r>
        <w:t xml:space="preserve">, and changes in biomass due to growth, recruitment, and natural mortality are captured via the production function</w:t>
      </w:r>
      <w:r>
        <w:t xml:space="preserve"> </w:t>
      </w:r>
      <m:oMath>
        <m:r>
          <m:t>g</m:t>
        </m:r>
        <m:d>
          <m:dPr>
            <m:begChr m:val="("/>
            <m:endChr m:val=")"/>
            <m:sepChr m:val=""/>
            <m:grow/>
          </m:dPr>
          <m:e>
            <m:r>
              <m:t>B</m:t>
            </m:r>
          </m:e>
        </m:d>
      </m:oMath>
      <w:r>
        <w:t xml:space="preserve"> </w:t>
      </w:r>
      <w:r>
        <w:t xml:space="preserve">(</w:t>
      </w:r>
      <w:hyperlink w:anchor="ref-polacheck1993">
        <w:r>
          <w:rPr>
            <w:rStyle w:val="Hyperlink"/>
          </w:rPr>
          <w:t xml:space="preserve">1</w:t>
        </w:r>
      </w:hyperlink>
      <w:r>
        <w:t xml:space="preserve">)</w:t>
      </w:r>
      <w:r>
        <w:t xml:space="preserve">. An early and influential form for the production function was based on the logistic equation,</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e>
              <m:e>
                <m:r>
                  <m:t>  </m:t>
                </m:r>
                <m:d>
                  <m:dPr>
                    <m:begChr m:val="("/>
                    <m:endChr m:val=")"/>
                    <m:sepChr m:val=""/>
                    <m:grow/>
                  </m:dPr>
                  <m:e>
                    <m:r>
                      <m:t>2</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w:t>
      </w:r>
      <w:r>
        <w:t xml:space="preserve"> </w:t>
      </w:r>
      <w:r>
        <w:t xml:space="preserve">(</w:t>
      </w:r>
      <w:hyperlink w:anchor="ref-schaefer1954">
        <w:r>
          <w:rPr>
            <w:rStyle w:val="Hyperlink"/>
          </w:rPr>
          <w:t xml:space="preserve">2</w:t>
        </w:r>
      </w:hyperlink>
      <w:r>
        <w:t xml:space="preserve">)</w:t>
      </w:r>
      <w:r>
        <w:t xml:space="preserve">.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w:t>
      </w:r>
    </w:p>
    <w:bookmarkEnd w:id="22"/>
    <w:bookmarkEnd w:id="23"/>
    <w:bookmarkStart w:id="24" w:name="results"/>
    <w:p>
      <w:pPr>
        <w:pStyle w:val="Heading1"/>
      </w:pPr>
      <w:r>
        <w:t xml:space="preserve">Results</w:t>
      </w:r>
    </w:p>
    <w:bookmarkEnd w:id="24"/>
    <w:bookmarkStart w:id="25" w:name="discussion"/>
    <w:p>
      <w:pPr>
        <w:pStyle w:val="Heading1"/>
      </w:pPr>
      <w:r>
        <w:t xml:space="preserve">Discussion</w:t>
      </w:r>
    </w:p>
    <w:bookmarkEnd w:id="25"/>
    <w:bookmarkStart w:id="2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26"/>
    <w:bookmarkStart w:id="30" w:name="references"/>
    <w:p>
      <w:pPr>
        <w:pStyle w:val="Heading1"/>
      </w:pPr>
      <w:r>
        <w:t xml:space="preserve">References</w:t>
      </w:r>
    </w:p>
    <w:bookmarkStart w:id="29" w:name="refs"/>
    <w:bookmarkStart w:id="27" w:name="ref-polacheck1993"/>
    <w:p>
      <w:pPr>
        <w:pStyle w:val="Bibliography"/>
      </w:pPr>
      <w:r>
        <w:t xml:space="preserve">1.</w:t>
      </w:r>
      <w:r>
        <w:t xml:space="preserve"> </w:t>
      </w:r>
      <w:r>
        <w:t xml:space="preserve">	</w:t>
      </w:r>
      <w:r>
        <w:t xml:space="preserve">T. Polacheck, R. Hilborn, A. E. Punt, Fitting surplus production models: Comparing methods and measuring uncertainty.</w:t>
      </w:r>
      <w:r>
        <w:t xml:space="preserve"> </w:t>
      </w:r>
      <w:r>
        <w:rPr>
          <w:iCs/>
          <w:i/>
        </w:rPr>
        <w:t xml:space="preserve">Canadian Journal of Fisheries and Aquatic Sciences</w:t>
      </w:r>
      <w:r>
        <w:t xml:space="preserve"> </w:t>
      </w:r>
      <w:r>
        <w:rPr>
          <w:bCs/>
          <w:b/>
        </w:rPr>
        <w:t xml:space="preserve">50</w:t>
      </w:r>
      <w:r>
        <w:t xml:space="preserve">, 2597–2607 (1993).</w:t>
      </w:r>
    </w:p>
    <w:bookmarkEnd w:id="27"/>
    <w:bookmarkStart w:id="28" w:name="ref-schaefer1954"/>
    <w:p>
      <w:pPr>
        <w:pStyle w:val="Bibliography"/>
      </w:pPr>
      <w:r>
        <w:t xml:space="preserve">2.</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28"/>
    <w:bookmarkEnd w:id="29"/>
    <w:p>
      <w:r>
        <w:br w:type="page"/>
      </w:r>
    </w:p>
    <w:bookmarkEnd w:id="30"/>
    <w:bookmarkStart w:id="31" w:name="figures"/>
    <w:p>
      <w:pPr>
        <w:pStyle w:val="Heading1"/>
      </w:pPr>
      <w:r>
        <w:t xml:space="preserve">Figures</w:t>
      </w:r>
    </w:p>
    <w:bookmarkEnd w:id="31"/>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2022-04-13T15:48:41Z</dcterms:created>
  <dcterms:modified xsi:type="dcterms:W3CDTF">2022-04-13T15:48:41Z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2022-04-13</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