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2022-09-22</w:t>
      </w:r>
    </w:p>
    <w:p>
      <w:pPr>
        <w:pStyle w:val="Abstract"/>
      </w:pPr>
      <w:r>
        <w:rPr>
          <w:bCs/>
          <w:b/>
        </w:rPr>
        <w:t xml:space="preserve">Abstract:</w:t>
      </w:r>
      <w:r>
        <w:t xml:space="preserve"> </w:t>
      </w:r>
      <w:r>
        <w:t xml:space="preserve">…</w:t>
      </w:r>
      <w:r>
        <w:br/>
      </w:r>
      <w:r>
        <w:br/>
      </w:r>
      <w:r>
        <w:rPr>
          <w:bCs/>
          <w:b/>
        </w:rPr>
        <w:t xml:space="preserve">Keywords:</w:t>
      </w:r>
      <w:r>
        <w:t xml:space="preserve"> </w:t>
      </w:r>
      <w:r>
        <w:t xml:space="preserve">…</w:t>
      </w:r>
    </w:p>
    <w:bookmarkStart w:id="21" w:name="introduction"/>
    <w:p>
      <w:pPr>
        <w:pStyle w:val="Heading1"/>
      </w:pPr>
      <w:r>
        <w:t xml:space="preserve">Introduction</w:t>
      </w:r>
    </w:p>
    <w:bookmarkEnd w:id="21"/>
    <w:bookmarkStart w:id="30"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population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in observed populations may be described using observation errors, we assume that most covariance stems from population processes. We therefore assume that observation errors are independent and normal distribution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as ecological processes may contribute to species or temporal dependencies.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slowly through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1</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2</m:t>
                    </m:r>
                    <m:r>
                      <m:rPr>
                        <m:sty m:val="p"/>
                      </m:rPr>
                      <m:t>,</m:t>
                    </m:r>
                    <m:r>
                      <m:t>s</m:t>
                    </m:r>
                  </m:sub>
                </m:sSub>
                <m:r>
                  <m:rPr>
                    <m:sty m:val="p"/>
                  </m:rPr>
                  <m:t>=</m:t>
                </m:r>
              </m:e>
              <m:e>
                <m:r>
                  <m:t>ϕ</m:t>
                </m:r>
                <m:sSub>
                  <m:e>
                    <m:r>
                      <m:t>δ</m:t>
                    </m:r>
                  </m:e>
                  <m:sub>
                    <m:r>
                      <m:t>1</m:t>
                    </m:r>
                  </m:sub>
                </m:sSub>
                <m:r>
                  <m:rPr>
                    <m:sty m:val="p"/>
                  </m:rPr>
                  <m:t>+</m:t>
                </m:r>
                <m:sSub>
                  <m:e>
                    <m:r>
                      <m:t>σ</m:t>
                    </m:r>
                  </m:e>
                  <m:sub>
                    <m:r>
                      <m:t>s</m:t>
                    </m:r>
                  </m:sub>
                </m:sSub>
                <m:sSub>
                  <m:e>
                    <m:r>
                      <m:t>ε</m:t>
                    </m:r>
                  </m:e>
                  <m:sub>
                    <m:r>
                      <m:t>2</m:t>
                    </m:r>
                  </m:sub>
                </m:sSub>
                <m:r>
                  <m:rPr>
                    <m:sty m:val="p"/>
                  </m:rPr>
                  <m:t>,</m:t>
                </m:r>
                <m:r>
                  <m:t> </m:t>
                </m:r>
                <m:sSub>
                  <m:e>
                    <m:r>
                      <m:t>ε</m:t>
                    </m:r>
                  </m:e>
                  <m:sub>
                    <m:r>
                      <m:t>2</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are controlled by the species-specific standard deviation parameters,</w:t>
      </w:r>
      <w:r>
        <w:t xml:space="preserve"> </w:t>
      </w:r>
      <m:oMath>
        <m:sSub>
          <m:e>
            <m:r>
              <m:t>σ</m:t>
            </m:r>
          </m:e>
          <m:sub>
            <m:r>
              <m:t>s</m:t>
            </m:r>
          </m:sub>
        </m:sSub>
      </m:oMath>
      <w:r>
        <w:t xml:space="preserve">.</w:t>
      </w:r>
    </w:p>
    <w:p>
      <w:pPr>
        <w:pStyle w:val="BodyText"/>
      </w:pPr>
      <w:r>
        <w:t xml:space="preserve">Minor extensions of the formulation also permits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r>
          <m:t>K</m:t>
        </m:r>
      </m:oMath>
      <w:r>
        <w:t xml:space="preserve"> </w:t>
      </w:r>
      <w:r>
        <w:t xml:space="preserve">in equation (5) with</w:t>
      </w:r>
      <w:r>
        <w:t xml:space="preserve"> </w:t>
      </w:r>
      <m:oMath>
        <m:r>
          <m:t>K</m:t>
        </m:r>
        <m:sSup>
          <m:e>
            <m:r>
              <m:t>e</m:t>
            </m:r>
          </m:e>
          <m:sup>
            <m:sSub>
              <m:e>
                <m:r>
                  <m:t>β</m:t>
                </m:r>
              </m:e>
              <m:sub>
                <m:r>
                  <m:t>K</m:t>
                </m:r>
              </m:sub>
            </m:sSub>
            <m:sSubSup>
              <m:e>
                <m:r>
                  <m:t>X</m:t>
                </m:r>
              </m:e>
              <m:sub>
                <m:r>
                  <m:t>y</m:t>
                </m:r>
              </m:sub>
              <m:sup>
                <m:r>
                  <m:t>K</m:t>
                </m:r>
              </m:sup>
            </m:sSubSup>
          </m:sup>
        </m:sSup>
      </m:oMath>
      <w:r>
        <w:t xml:space="preserve">. The idea is that some factors may affect positive or negative changes in the populations while others may affect change in the total carrying capacity of the system. A covariate option for intrinsic rates of increase was not implemented as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2</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3</w:t>
        </w:r>
      </w:hyperlink>
      <w:r>
        <w:t xml:space="preserve">)</w:t>
      </w:r>
      <w:r>
        <w:t xml:space="preserve">, which is package for R</w:t>
      </w:r>
      <w:r>
        <w:t xml:space="preserve"> </w:t>
      </w:r>
      <w:r>
        <w:t xml:space="preserve">(</w:t>
      </w:r>
      <w:hyperlink w:anchor="ref-R">
        <w:r>
          <w:rPr>
            <w:rStyle w:val="Hyperlink"/>
          </w:rPr>
          <w:t xml:space="preserve">4</w:t>
        </w:r>
      </w:hyperlink>
      <w:r>
        <w:t xml:space="preserve">)</w:t>
      </w:r>
      <w:r>
        <w:t xml:space="preserve"> </w:t>
      </w:r>
      <w:r>
        <w:t xml:space="preserve">that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3</w:t>
        </w:r>
      </w:hyperlink>
      <w:r>
        <w:t xml:space="preserve">)</w:t>
      </w:r>
      <w:r>
        <w:t xml:space="preserve">. Like the production model descried by Pedersen et al.</w:t>
      </w:r>
      <w:r>
        <w:t xml:space="preserve"> </w:t>
      </w:r>
      <w:r>
        <w:t xml:space="preserve">(</w:t>
      </w:r>
      <w:hyperlink w:anchor="ref-pedersen2017">
        <w:r>
          <w:rPr>
            <w:rStyle w:val="Hyperlink"/>
          </w:rPr>
          <w:t xml:space="preserve">5</w:t>
        </w:r>
      </w:hyperlink>
      <w:r>
        <w:t xml:space="preserve">)</w:t>
      </w:r>
      <w:r>
        <w:t xml:space="preserve">, both frequentist and Bayesian inference of model parameters are possible. In development, we found that estimation was generally more successful when vaguely informative priors are specified as parameters were, in some cases, not identifiable when unconstrained.</w:t>
      </w:r>
    </w:p>
    <w:bookmarkEnd w:id="23"/>
    <w:bookmarkStart w:id="29" w:name="case-study"/>
    <w:p>
      <w:pPr>
        <w:pStyle w:val="Heading2"/>
      </w:pPr>
      <w:r>
        <w:t xml:space="preserve">Case study</w:t>
      </w:r>
    </w:p>
    <w:bookmarkStart w:id="25" w:name="data"/>
    <w:p>
      <w:pPr>
        <w:pStyle w:val="Heading3"/>
      </w:pPr>
      <w:r>
        <w:t xml:space="preserve">Data</w:t>
      </w:r>
    </w:p>
    <w:p>
      <w:pPr>
        <w:pStyle w:val="FirstParagraph"/>
      </w:pPr>
      <w:r>
        <w:t xml:space="preserve">The multispecies production model described above requires two basic inputs for one or more species in a region: 1) a time-series of catch (</w:t>
      </w:r>
      <m:oMath>
        <m:sSub>
          <m:e>
            <m:r>
              <m:t>C</m:t>
            </m:r>
          </m:e>
          <m:sub>
            <m:r>
              <m:t>y</m:t>
            </m:r>
            <m:r>
              <m:rPr>
                <m:sty m:val="p"/>
              </m:rPr>
              <m:t>,</m:t>
            </m:r>
            <m:r>
              <m:t>s</m:t>
            </m:r>
          </m:sub>
        </m:sSub>
      </m:oMath>
      <w:r>
        <w:t xml:space="preserve"> </w:t>
      </w:r>
      <w:r>
        <w:t xml:space="preserve">in equation (5)), and 2)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have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w:t>
      </w:r>
      <w:hyperlink w:anchor="ref-pepin2014">
        <w:r>
          <w:rPr>
            <w:rStyle w:val="Hyperlink"/>
          </w:rPr>
          <w:t xml:space="preserve">6</w:t>
        </w:r>
      </w:hyperlink>
      <w:r>
        <w:t xml:space="preserve">)</w:t>
      </w:r>
      <w:r>
        <w:t xml:space="preserve">]. For our case study, we tallied catch data and calculated survey indices of multiple demersal fish populations from three regions: 1) the Northeast NL Shelf (NAFO divisions 2J3K), 2) the Grand Bank (NAFO divisions 3LNO), and 3) Southern NL (NAFO sub-division 3Ps; Figure</w:t>
      </w:r>
      <w:r>
        <w:t xml:space="preserve"> </w:t>
      </w:r>
      <w:r>
        <w:t xml:space="preserve">1</w:t>
      </w:r>
      <w:r>
        <w:t xml:space="preserve">).</w:t>
      </w:r>
    </w:p>
    <w:p>
      <w:pPr>
        <w:pStyle w:val="BodyText"/>
      </w:pPr>
      <w:r>
        <w:t xml:space="preserve">Catch data were extracted from the STATLANT 21A database maintained by NAFO (</w:t>
      </w:r>
      <w:hyperlink r:id="rId24">
        <w:r>
          <w:rPr>
            <w:rStyle w:val="Hyperlink"/>
          </w:rPr>
          <w:t xml:space="preserve">https://www.nafo.int/Data/STATLANT-21A</w:t>
        </w:r>
      </w:hyperlink>
      <w:r>
        <w:t xml:space="preserve">, accessed 2022-01-21) and aggregated by region, species, and year. Survey indices were derived from the standardized, stratified random bottom-trawl surveys conducted each spring and fall by DFO. Since the inception of this program in 1971, survey protocol have undergone a series of changes that affect the continuity of the data collected in each region and season. A Yankee then Engel otter trawl, with nets designed to catch large demersal fish, were used between 1971 to 1994. Since 1995, a Campelen shrimp trawl has been used and, because of its smaller mesh size, a broader range of species and size groups have been captured</w:t>
      </w:r>
      <w:r>
        <w:t xml:space="preserve"> </w:t>
      </w:r>
      <w:r>
        <w:t xml:space="preserve">(</w:t>
      </w:r>
      <w:hyperlink w:anchor="ref-chadwick2007">
        <w:r>
          <w:rPr>
            <w:rStyle w:val="Hyperlink"/>
          </w:rPr>
          <w:t xml:space="preserve">7</w:t>
        </w:r>
      </w:hyperlink>
      <w:r>
        <w:t xml:space="preserve">)</w:t>
      </w:r>
      <w:r>
        <w:t xml:space="preserve">. Within each era of the survey (Yankee, Engel, or Campelen) and for each season and region, samples were limited to strata that were covered most years (&gt; 80%) and to species found across more than 10% of these core strata. Stratified analyses</w:t>
      </w:r>
      <w:r>
        <w:t xml:space="preserve"> </w:t>
      </w:r>
      <w:r>
        <w:t xml:space="preserve">(</w:t>
      </w:r>
      <w:hyperlink w:anchor="ref-smith1981">
        <w:r>
          <w:rPr>
            <w:rStyle w:val="Hyperlink"/>
          </w:rPr>
          <w:t xml:space="preserve">8</w:t>
        </w:r>
      </w:hyperlink>
      <w:r>
        <w:t xml:space="preserve">)</w:t>
      </w:r>
      <w:r>
        <w:t xml:space="preserve"> </w:t>
      </w:r>
      <w:r>
        <w:t xml:space="preserve">were then conducted on the remaining species to obtain indices of total biomass. To minimize bias introduced by inconsistent survey coverage, indices from years where more than 20% of the biomass was likely missed, inferred from time averaged percent occupancy within strata, were excluded from our analysis [</w:t>
      </w:r>
      <w:r>
        <w:rPr>
          <w:iCs/>
          <w:i/>
        </w:rPr>
        <w:t xml:space="preserve">sensu</w:t>
      </w:r>
      <w:r>
        <w:t xml:space="preserve"> </w:t>
      </w:r>
      <w:r>
        <w:t xml:space="preserve">NAFO guidelines; page 10,</w:t>
      </w:r>
      <w:r>
        <w:t xml:space="preserve"> </w:t>
      </w:r>
      <w:r>
        <w:t xml:space="preserve">(</w:t>
      </w:r>
      <w:hyperlink w:anchor="ref-nafo2019">
        <w:r>
          <w:rPr>
            <w:rStyle w:val="Hyperlink"/>
          </w:rPr>
          <w:t xml:space="preserve">9</w:t>
        </w:r>
      </w:hyperlink>
      <w:r>
        <w:t xml:space="preserve">)</w:t>
      </w:r>
      <w:r>
        <w:t xml:space="preserve">]. Finally, species were ranked by cumulative catch and limited to the the seven most commonly caught species, or species group when catch was not consistently distinguished, within each region. On the Northeast NL Shelf, species include Redfish spp. (</w:t>
      </w:r>
      <w:r>
        <w:rPr>
          <w:iCs/>
          <w:i/>
        </w:rPr>
        <w:t xml:space="preserve">Sebastes fasciatus</w:t>
      </w:r>
      <w:r>
        <w:t xml:space="preserve"> </w:t>
      </w:r>
      <w:r>
        <w:t xml:space="preserve">or</w:t>
      </w:r>
      <w:r>
        <w:t xml:space="preserve"> </w:t>
      </w:r>
      <w:r>
        <w:rPr>
          <w:iCs/>
          <w:i/>
        </w:rPr>
        <w:t xml:space="preserve">S. mentella</w:t>
      </w:r>
      <w:r>
        <w:t xml:space="preserve">), Wolffish spp. (</w:t>
      </w:r>
      <w:r>
        <w:rPr>
          <w:iCs/>
          <w:i/>
        </w:rPr>
        <w:t xml:space="preserve">Anarhichas lupus</w:t>
      </w:r>
      <w:r>
        <w:t xml:space="preserve"> </w:t>
      </w:r>
      <w:r>
        <w:t xml:space="preserve">or</w:t>
      </w:r>
      <w:r>
        <w:t xml:space="preserve"> </w:t>
      </w:r>
      <w:r>
        <w:rPr>
          <w:iCs/>
          <w:i/>
        </w:rPr>
        <w:t xml:space="preserve">A. minor</w:t>
      </w:r>
      <w:r>
        <w:t xml:space="preserve">), Witch Flounder (</w:t>
      </w:r>
      <w:r>
        <w:rPr>
          <w:iCs/>
          <w:i/>
        </w:rPr>
        <w:t xml:space="preserve">Glyptocephalus cynoglossus</w:t>
      </w:r>
      <w:r>
        <w:t xml:space="preserve">), American Plaice (</w:t>
      </w:r>
      <w:r>
        <w:rPr>
          <w:iCs/>
          <w:i/>
        </w:rPr>
        <w:t xml:space="preserve">Hippoglossoides platessoides</w:t>
      </w:r>
      <w:r>
        <w:t xml:space="preserve">), Greenland Halibut (</w:t>
      </w:r>
      <w:r>
        <w:rPr>
          <w:iCs/>
          <w:i/>
        </w:rPr>
        <w:t xml:space="preserve">Reinhardtius hippoglossoides</w:t>
      </w:r>
      <w:r>
        <w:t xml:space="preserve">), Atlantic Cod (</w:t>
      </w:r>
      <w:r>
        <w:rPr>
          <w:iCs/>
          <w:i/>
        </w:rPr>
        <w:t xml:space="preserve">Gadus morhua</w:t>
      </w:r>
      <w:r>
        <w:t xml:space="preserve">), and Skate spp. (</w:t>
      </w:r>
      <w:r>
        <w:rPr>
          <w:iCs/>
          <w:i/>
        </w:rPr>
        <w:t xml:space="preserve">Amblyraja radiata</w:t>
      </w:r>
      <w:r>
        <w:t xml:space="preserve"> </w:t>
      </w:r>
      <w:r>
        <w:t xml:space="preserve">or</w:t>
      </w:r>
      <w:r>
        <w:t xml:space="preserve"> </w:t>
      </w:r>
      <w:r>
        <w:rPr>
          <w:iCs/>
          <w:i/>
        </w:rPr>
        <w:t xml:space="preserve">Malacoraja senta</w:t>
      </w:r>
      <w:r>
        <w:t xml:space="preserve">). On the Grand Bank, species include Redfish spp., Yellowtail Flounder (</w:t>
      </w:r>
      <w:r>
        <w:rPr>
          <w:iCs/>
          <w:i/>
        </w:rPr>
        <w:t xml:space="preserve">Limanda ferruginea</w:t>
      </w:r>
      <w:r>
        <w:t xml:space="preserve">), American Plaice, Greenland Halibut, Haddock (</w:t>
      </w:r>
      <w:r>
        <w:rPr>
          <w:iCs/>
          <w:i/>
        </w:rPr>
        <w:t xml:space="preserve">Melanogrammus aeglefinus</w:t>
      </w:r>
      <w:r>
        <w:t xml:space="preserve">), and Atlantic Cod. Finally, along Sourthern NL, species include Redfish spp., Witch Flounder, American Plaice, White hake (</w:t>
      </w:r>
      <w:r>
        <w:rPr>
          <w:iCs/>
          <w:i/>
        </w:rPr>
        <w:t xml:space="preserve">Urophycis tenuis</w:t>
      </w:r>
      <w:r>
        <w:t xml:space="preserve">), Haddock, Atlantic Cod, and Skate spp.</w:t>
      </w:r>
    </w:p>
    <w:bookmarkEnd w:id="25"/>
    <w:bookmarkStart w:id="28" w:name="priors"/>
    <w:p>
      <w:pPr>
        <w:pStyle w:val="Heading3"/>
      </w:pPr>
      <w:r>
        <w:t xml:space="preserve">Priors</w:t>
      </w:r>
    </w:p>
    <w:p>
      <w:pPr>
        <w:pStyle w:val="FirstParagraph"/>
      </w:pPr>
      <w:r>
        <w:t xml:space="preserve">For simplicity, all priors were normally distributed and upper and lower inflection points (</w:t>
      </w:r>
      <m:oMath>
        <m:r>
          <m:t>μ</m:t>
        </m:r>
        <m:r>
          <m:rPr>
            <m:sty m:val="p"/>
          </m:rPr>
          <m:t>±</m:t>
        </m:r>
        <m:r>
          <m:t>σ</m:t>
        </m:r>
      </m:oMath>
      <w:r>
        <w:t xml:space="preserve">; ~68% of the total area under the curve) of each normal prior were defined using values in log or logit space. Upper and lower values were based on previous research or knowledge to impose fairly generic and vaguely informative priors.</w:t>
      </w:r>
    </w:p>
    <w:bookmarkStart w:id="26" w:name="Xe2c06d4e394bc9e9fe771990bd7efb8518aca55"/>
    <w:p>
      <w:pPr>
        <w:pStyle w:val="Heading4"/>
      </w:pPr>
      <w:r>
        <w:rPr>
          <w:iCs/>
          <w:i/>
        </w:rPr>
        <w:t xml:space="preserve">Intrinsic growth rate,</w:t>
      </w:r>
      <w:r>
        <w:rPr>
          <w:iCs/>
          <w:i/>
        </w:rPr>
        <w:t xml:space="preserve"> </w:t>
      </w:r>
      <m:oMath>
        <m:sSub>
          <m:e>
            <m:r>
              <m:t>r</m:t>
            </m:r>
          </m:e>
          <m:sub>
            <m:r>
              <m:t>s</m:t>
            </m:r>
          </m:sub>
        </m:sSub>
      </m:oMath>
      <w:r>
        <w:rPr>
          <w:iCs/>
          <w:i/>
        </w:rPr>
        <w:t xml:space="preserve">, and carrying capacity,</w:t>
      </w:r>
      <w:r>
        <w:rPr>
          <w:iCs/>
          <w:i/>
        </w:rPr>
        <w:t xml:space="preserve"> </w:t>
      </w:r>
      <m:oMath>
        <m:r>
          <m:t>K</m:t>
        </m:r>
      </m:oMath>
    </w:p>
    <w:p>
      <w:pPr>
        <w:pStyle w:val="FirstParagraph"/>
      </w:pPr>
      <w:r>
        <w:t xml:space="preserve">To capture a broad range of predicted intrinsic growth rates for all fishes worldwide</w:t>
      </w:r>
      <w:r>
        <w:t xml:space="preserve"> </w:t>
      </w:r>
      <w:r>
        <w:t xml:space="preserve">(</w:t>
      </w:r>
      <w:hyperlink w:anchor="ref-thorson2020">
        <w:r>
          <w:rPr>
            <w:rStyle w:val="Hyperlink"/>
          </w:rPr>
          <w:t xml:space="preserve">10</w:t>
        </w:r>
      </w:hyperlink>
      <w:r>
        <w:t xml:space="preserve">)</w:t>
      </w:r>
      <w:r>
        <w:t xml:space="preserve">, 0.01 and 0.1 were chosen as the lower,</w:t>
      </w:r>
      <w:r>
        <w:t xml:space="preserve"> </w:t>
      </w:r>
      <m:oMath>
        <m:sSub>
          <m:e>
            <m:r>
              <m:t>r</m:t>
            </m:r>
          </m:e>
          <m:sub>
            <m:r>
              <m:t>l</m:t>
            </m:r>
          </m:sub>
        </m:sSub>
      </m:oMath>
      <w:r>
        <w:t xml:space="preserve">, and upper,</w:t>
      </w:r>
      <w:r>
        <w:t xml:space="preserve"> </w:t>
      </w:r>
      <m:oMath>
        <m:sSub>
          <m:e>
            <m:r>
              <m:t>r</m:t>
            </m:r>
          </m:e>
          <m:sub>
            <m:r>
              <m:t>u</m:t>
            </m:r>
          </m:sub>
        </m:sSub>
      </m:oMath>
      <w:r>
        <w:t xml:space="preserve">, values; this translate to a normal prior with a mean of -1.15 and a standard deviation of 1.15 on the log-scale. The log-scale</w:t>
      </w:r>
      <w:r>
        <w:t xml:space="preserve"> </w:t>
      </w:r>
      <m:oMath>
        <m:r>
          <m:t>K</m:t>
        </m:r>
      </m:oMath>
      <w:r>
        <w:t xml:space="preserve"> </w:t>
      </w:r>
      <w:r>
        <w:t xml:space="preserve">prior was informed by total levels of catch and</w:t>
      </w:r>
      <w:r>
        <w:t xml:space="preserve"> </w:t>
      </w:r>
      <m:oMath>
        <m:sSub>
          <m:e>
            <m:r>
              <m:t>r</m:t>
            </m:r>
          </m:e>
          <m:sub>
            <m:r>
              <m:t>l</m:t>
            </m:r>
          </m:sub>
        </m:sSub>
      </m:oMath>
      <w:r>
        <w:t xml:space="preserve"> </w:t>
      </w:r>
      <w:r>
        <w:t xml:space="preserve">and</w:t>
      </w:r>
      <w:r>
        <w:t xml:space="preserve"> </w:t>
      </w:r>
      <m:oMath>
        <m:sSub>
          <m:e>
            <m:r>
              <m:t>r</m:t>
            </m:r>
          </m:e>
          <m:sub>
            <m:r>
              <m:t>u</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K</m:t>
                    </m:r>
                  </m:e>
                  <m:sub>
                    <m:r>
                      <m:t>l</m:t>
                    </m:r>
                  </m:sub>
                </m:sSub>
                <m:r>
                  <m:rPr>
                    <m:sty m:val="p"/>
                  </m:rPr>
                  <m:t>=</m:t>
                </m:r>
                <m:f>
                  <m:fPr>
                    <m:type m:val="bar"/>
                  </m:fPr>
                  <m:num>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u</m:t>
                        </m:r>
                      </m:sub>
                    </m:sSub>
                  </m:den>
                </m:f>
                <m:r>
                  <m:rPr>
                    <m:sty m:val="p"/>
                  </m:rPr>
                  <m:t>,</m:t>
                </m:r>
                <m:sSub>
                  <m:e>
                    <m:r>
                      <m:t>K</m:t>
                    </m:r>
                  </m:e>
                  <m:sub>
                    <m:r>
                      <m:t>u</m:t>
                    </m:r>
                  </m:sub>
                </m:sSub>
                <m:r>
                  <m:rPr>
                    <m:sty m:val="p"/>
                  </m:rPr>
                  <m:t>=</m:t>
                </m:r>
                <m:f>
                  <m:fPr>
                    <m:type m:val="bar"/>
                  </m:fPr>
                  <m:num>
                    <m:r>
                      <m:t>4</m:t>
                    </m:r>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l</m:t>
                        </m:r>
                      </m:sub>
                    </m:sSub>
                  </m:den>
                </m:f>
              </m:e>
              <m:e>
                <m:r>
                  <m:t>  </m:t>
                </m:r>
                <m:d>
                  <m:dPr>
                    <m:begChr m:val="("/>
                    <m:endChr m:val=")"/>
                    <m:sepChr m:val=""/>
                    <m:grow/>
                  </m:dPr>
                  <m:e>
                    <m:r>
                      <m:t>9</m:t>
                    </m:r>
                  </m:e>
                </m:d>
              </m:e>
            </m:mr>
          </m:m>
        </m:oMath>
      </m:oMathPara>
    </w:p>
    <w:p>
      <w:pPr>
        <w:pStyle w:val="FirstParagraph"/>
      </w:pPr>
      <w:r>
        <w:t xml:space="preserve">where</w:t>
      </w:r>
      <w:r>
        <w:t xml:space="preserve"> </w:t>
      </w:r>
      <m:oMath>
        <m:sSub>
          <m:e>
            <m:r>
              <m:t>K</m:t>
            </m:r>
          </m:e>
          <m:sub>
            <m:r>
              <m:t>l</m:t>
            </m:r>
          </m:sub>
        </m:sSub>
      </m:oMath>
      <w:r>
        <w:t xml:space="preserve"> </w:t>
      </w:r>
      <w:r>
        <w:t xml:space="preserve">and</w:t>
      </w:r>
      <w:r>
        <w:t xml:space="preserve"> </w:t>
      </w:r>
      <m:oMath>
        <m:sSub>
          <m:e>
            <m:r>
              <m:t>K</m:t>
            </m:r>
          </m:e>
          <m:sub>
            <m:r>
              <m:t>u</m:t>
            </m:r>
          </m:sub>
        </m:sSub>
      </m:oMath>
      <w:r>
        <w:t xml:space="preserve"> </w:t>
      </w:r>
      <w:r>
        <w:t xml:space="preserve">are the lower and upper values. On the lower end, this prior imposes the assumption that the fishery is unlikely to have caught more fish in a single year than the system is capable of supporting and, on the upper end, it assumes that the maximum observed catch represents a portion of the true carrying capacity of the system</w:t>
      </w:r>
      <w:r>
        <w:t xml:space="preserve"> </w:t>
      </w:r>
      <w:r>
        <w:t xml:space="preserve">(</w:t>
      </w:r>
      <w:r>
        <w:rPr>
          <w:iCs/>
          <w:i/>
        </w:rPr>
        <w:t xml:space="preserve">sensu</w:t>
      </w:r>
      <w:r>
        <w:t xml:space="preserve"> </w:t>
      </w:r>
      <w:hyperlink w:anchor="ref-froese2017">
        <w:r>
          <w:rPr>
            <w:rStyle w:val="Hyperlink"/>
          </w:rPr>
          <w:t xml:space="preserve">11</w:t>
        </w:r>
      </w:hyperlink>
      <w:r>
        <w:t xml:space="preserve">)</w:t>
      </w:r>
      <w:r>
        <w:t xml:space="preserve">. The division by the lower and upper values for</w:t>
      </w:r>
      <w:r>
        <w:t xml:space="preserve"> </w:t>
      </w:r>
      <m:oMath>
        <m:r>
          <m:t>r</m:t>
        </m:r>
      </m:oMath>
      <w:r>
        <w:t xml:space="preserve"> </w:t>
      </w:r>
      <w:r>
        <w:t xml:space="preserve">also accounts for the potential range of productivity. Note that the maximum time-series catches are species specific when estimating species-specific carrying capacities.</w:t>
      </w:r>
    </w:p>
    <w:bookmarkEnd w:id="26"/>
    <w:bookmarkStart w:id="27" w:name="starting-biomass-b_1s"/>
    <w:p>
      <w:pPr>
        <w:pStyle w:val="Heading4"/>
      </w:pPr>
      <w:r>
        <w:rPr>
          <w:iCs/>
          <w:i/>
        </w:rPr>
        <w:t xml:space="preserve">Starting biomass,</w:t>
      </w:r>
      <w:r>
        <w:rPr>
          <w:iCs/>
          <w:i/>
        </w:rPr>
        <w:t xml:space="preserve"> </w:t>
      </w:r>
      <m:oMath>
        <m:sSub>
          <m:e>
            <m:r>
              <m:t>B</m:t>
            </m:r>
          </m:e>
          <m:sub>
            <m:r>
              <m:t>1</m:t>
            </m:r>
            <m:r>
              <m:rPr>
                <m:sty m:val="p"/>
              </m:rPr>
              <m:t>,</m:t>
            </m:r>
            <m:r>
              <m:t>s</m:t>
            </m:r>
          </m:sub>
        </m:sSub>
      </m:oMath>
    </w:p>
    <w:p>
      <w:pPr>
        <w:pStyle w:val="FirstParagraph"/>
      </w:pPr>
      <w:r>
        <w:t xml:space="preserve">Like</w:t>
      </w:r>
      <w:r>
        <w:t xml:space="preserve"> </w:t>
      </w:r>
      <m:oMath>
        <m:r>
          <m:t>K</m:t>
        </m:r>
      </m:oMath>
      <w:r>
        <w:t xml:space="preserve">, catch was used to constrain the plausible range of the biomass at the beginning of the time series,</w:t>
      </w:r>
      <w:r>
        <w:t xml:space="preserve"> </w:t>
      </w:r>
      <m:oMath>
        <m:sSub>
          <m:e>
            <m:r>
              <m:t>B</m:t>
            </m:r>
          </m:e>
          <m:sub>
            <m:r>
              <m:t>1</m:t>
            </m:r>
            <m:r>
              <m:rPr>
                <m:sty m:val="p"/>
              </m:rPr>
              <m:t>,</m:t>
            </m:r>
            <m:r>
              <m:t>s</m:t>
            </m:r>
          </m:sub>
        </m:sSub>
      </m:oMath>
      <w:r>
        <w:t xml:space="preserve">, which we will denote as</w:t>
      </w:r>
      <w:r>
        <w:t xml:space="preserve"> </w:t>
      </w:r>
      <m:oMath>
        <m:r>
          <m:t>B</m:t>
        </m:r>
        <m:r>
          <m:t>0</m:t>
        </m:r>
      </m:oMath>
      <w:r>
        <w:t xml:space="preserve"> </w:t>
      </w:r>
      <w:r>
        <w:t xml:space="preserve">to simplify notation.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B</m:t>
                </m:r>
                <m:sSub>
                  <m:e>
                    <m:r>
                      <m:t>0</m:t>
                    </m:r>
                  </m:e>
                  <m:sub>
                    <m:r>
                      <m:t>l</m:t>
                    </m:r>
                  </m:sub>
                </m:sSub>
                <m:r>
                  <m:rPr>
                    <m:sty m:val="p"/>
                  </m:rPr>
                  <m:t>=</m:t>
                </m:r>
                <m:f>
                  <m:fPr>
                    <m:type m:val="bar"/>
                  </m:fPr>
                  <m:num>
                    <m:sSub>
                      <m:e>
                        <m:r>
                          <m:t>C</m:t>
                        </m:r>
                      </m:e>
                      <m:sub>
                        <m:r>
                          <m:t>1</m:t>
                        </m:r>
                        <m:r>
                          <m:rPr>
                            <m:sty m:val="p"/>
                          </m:rPr>
                          <m:t>,</m:t>
                        </m:r>
                        <m:r>
                          <m:t>s</m:t>
                        </m:r>
                      </m:sub>
                    </m:sSub>
                  </m:num>
                  <m:den>
                    <m:sSub>
                      <m:e>
                        <m:r>
                          <m:t>r</m:t>
                        </m:r>
                      </m:e>
                      <m:sub>
                        <m:r>
                          <m:t>u</m:t>
                        </m:r>
                      </m:sub>
                    </m:sSub>
                  </m:den>
                </m:f>
                <m:r>
                  <m:rPr>
                    <m:sty m:val="p"/>
                  </m:rPr>
                  <m:t>,</m:t>
                </m:r>
                <m:r>
                  <m:t>B</m:t>
                </m:r>
                <m:sSub>
                  <m:e>
                    <m:r>
                      <m:t>0</m:t>
                    </m:r>
                  </m:e>
                  <m:sub>
                    <m:r>
                      <m:t>u</m:t>
                    </m:r>
                  </m:sub>
                </m:sSub>
                <m:r>
                  <m:rPr>
                    <m:sty m:val="p"/>
                  </m:rPr>
                  <m:t>=</m:t>
                </m:r>
                <m:f>
                  <m:fPr>
                    <m:type m:val="bar"/>
                  </m:fPr>
                  <m:num>
                    <m:r>
                      <m:t>4</m:t>
                    </m:r>
                    <m:sSub>
                      <m:e>
                        <m:r>
                          <m:t>C</m:t>
                        </m:r>
                      </m:e>
                      <m:sub>
                        <m:r>
                          <m:t>1</m:t>
                        </m:r>
                        <m:r>
                          <m:rPr>
                            <m:sty m:val="p"/>
                          </m:rPr>
                          <m:t>,</m:t>
                        </m:r>
                        <m:r>
                          <m:t>s</m:t>
                        </m:r>
                      </m:sub>
                    </m:sSub>
                  </m:num>
                  <m:den>
                    <m:sSub>
                      <m:e>
                        <m:r>
                          <m:t>r</m:t>
                        </m:r>
                      </m:e>
                      <m:sub>
                        <m:r>
                          <m:t>l</m:t>
                        </m:r>
                      </m:sub>
                    </m:sSub>
                  </m:den>
                </m:f>
              </m:e>
              <m:e>
                <m:r>
                  <m:t>  </m:t>
                </m:r>
                <m:d>
                  <m:dPr>
                    <m:begChr m:val="("/>
                    <m:endChr m:val=")"/>
                    <m:sepChr m:val=""/>
                    <m:grow/>
                  </m:dPr>
                  <m:e>
                    <m:r>
                      <m:t>10</m:t>
                    </m:r>
                  </m:e>
                </m:d>
              </m:e>
            </m:mr>
          </m:m>
        </m:oMath>
      </m:oMathPara>
    </w:p>
    <w:p>
      <w:pPr>
        <w:pStyle w:val="FirstParagraph"/>
      </w:pPr>
      <w:r>
        <w:t xml:space="preserve">where</w:t>
      </w:r>
      <w:r>
        <w:t xml:space="preserve"> </w:t>
      </w:r>
      <m:oMath>
        <m:r>
          <m:t>B</m:t>
        </m:r>
        <m:sSub>
          <m:e>
            <m:r>
              <m:t>0</m:t>
            </m:r>
          </m:e>
          <m:sub>
            <m:r>
              <m:t>l</m:t>
            </m:r>
          </m:sub>
        </m:sSub>
      </m:oMath>
      <w:r>
        <w:t xml:space="preserve"> </w:t>
      </w:r>
      <w:r>
        <w:t xml:space="preserve">and</w:t>
      </w:r>
      <w:r>
        <w:t xml:space="preserve"> </w:t>
      </w:r>
      <m:oMath>
        <m:r>
          <m:t>B</m:t>
        </m:r>
        <m:sSub>
          <m:e>
            <m:r>
              <m:t>0</m:t>
            </m:r>
          </m:e>
          <m:sub>
            <m:r>
              <m:t>u</m:t>
            </m:r>
          </m:sub>
        </m:sSub>
      </m:oMath>
      <w:r>
        <w:t xml:space="preserve"> </w:t>
      </w:r>
      <w:r>
        <w:t xml:space="preserve">are the lower and upper values that are log transformed to define the normal prior for</w:t>
      </w:r>
      <w:r>
        <w:t xml:space="preserve"> </w:t>
      </w:r>
      <m:oMath>
        <m:r>
          <m:rPr>
            <m:sty m:val="p"/>
          </m:rPr>
          <m:t>log</m:t>
        </m:r>
        <m:d>
          <m:dPr>
            <m:begChr m:val="("/>
            <m:endChr m:val=")"/>
            <m:sepChr m:val=""/>
            <m:grow/>
          </m:dPr>
          <m:e>
            <m:r>
              <m:t>B</m:t>
            </m:r>
            <m:r>
              <m:t>0</m:t>
            </m:r>
          </m:e>
        </m:d>
      </m:oMath>
      <w:r>
        <w:t xml:space="preserve">. Again, adjusting for the potential range of productivity from</w:t>
      </w:r>
      <w:r>
        <w:t xml:space="preserve"> </w:t>
      </w:r>
      <m:oMath>
        <m:sSub>
          <m:e>
            <m:r>
              <m:t>r</m:t>
            </m:r>
          </m:e>
          <m:sub>
            <m:r>
              <m:t>l</m:t>
            </m:r>
          </m:sub>
        </m:sSub>
      </m:oMath>
      <w:r>
        <w:t xml:space="preserve"> </w:t>
      </w:r>
      <w:r>
        <w:t xml:space="preserve">to</w:t>
      </w:r>
      <w:r>
        <w:t xml:space="preserve"> </w:t>
      </w:r>
      <m:oMath>
        <m:sSub>
          <m:e>
            <m:r>
              <m:t>r</m:t>
            </m:r>
          </m:e>
          <m:sub>
            <m:r>
              <m:t>u</m:t>
            </m:r>
          </m:sub>
        </m:sSub>
      </m:oMath>
      <w:r>
        <w:t xml:space="preserve">, this assumes that the fishery did not catch all of the biomass in the first year and it assumes that the catch represents a portion of the biomass in the first year. A flaw with the upper value for this prior is that a lack of market demand or conservation concerns may contradict the assumption that landings are coarsely proportional to stock size. However, the upper range chosen was considered reasonable for this case study as there was an active fishery for each species at the start of the time series.</w:t>
      </w:r>
    </w:p>
    <w:bookmarkEnd w:id="27"/>
    <w:bookmarkEnd w:id="28"/>
    <w:bookmarkEnd w:id="29"/>
    <w:bookmarkEnd w:id="30"/>
    <w:bookmarkStart w:id="31" w:name="results"/>
    <w:p>
      <w:pPr>
        <w:pStyle w:val="Heading1"/>
      </w:pPr>
      <w:r>
        <w:t xml:space="preserve">Results</w:t>
      </w:r>
    </w:p>
    <w:bookmarkEnd w:id="31"/>
    <w:bookmarkStart w:id="32" w:name="discussion"/>
    <w:p>
      <w:pPr>
        <w:pStyle w:val="Heading1"/>
      </w:pPr>
      <w:r>
        <w:t xml:space="preserve">Discussion</w:t>
      </w:r>
    </w:p>
    <w:bookmarkEnd w:id="32"/>
    <w:bookmarkStart w:id="33"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w:t>
      </w:r>
    </w:p>
    <w:bookmarkEnd w:id="33"/>
    <w:bookmarkStart w:id="49" w:name="references"/>
    <w:p>
      <w:pPr>
        <w:pStyle w:val="Heading1"/>
      </w:pPr>
      <w:r>
        <w:t xml:space="preserve">References</w:t>
      </w:r>
    </w:p>
    <w:bookmarkStart w:id="48" w:name="refs"/>
    <w:bookmarkStart w:id="34" w:name="ref-schaefer1954"/>
    <w:p>
      <w:pPr>
        <w:pStyle w:val="Bibliography"/>
      </w:pPr>
      <w:r>
        <w:t xml:space="preserve">1.</w:t>
      </w:r>
      <w:r>
        <w:t xml:space="preserve"> </w:t>
      </w:r>
      <w:r>
        <w:t xml:space="preserve">	</w:t>
      </w:r>
      <w:r>
        <w:t xml:space="preserve">M. B. Schaefer, Some aspects of the dynamics of populations important to the management of the commercial marine fisheries.</w:t>
      </w:r>
      <w:r>
        <w:t xml:space="preserve"> </w:t>
      </w:r>
      <w:r>
        <w:rPr>
          <w:iCs/>
          <w:i/>
        </w:rPr>
        <w:t xml:space="preserve">Inter-American Tropical Tuna Commission Bulletin</w:t>
      </w:r>
      <w:r>
        <w:t xml:space="preserve"> </w:t>
      </w:r>
      <w:r>
        <w:rPr>
          <w:bCs/>
          <w:b/>
        </w:rPr>
        <w:t xml:space="preserve">1</w:t>
      </w:r>
      <w:r>
        <w:t xml:space="preserve">, 23–56 (1954).</w:t>
      </w:r>
    </w:p>
    <w:bookmarkEnd w:id="34"/>
    <w:bookmarkStart w:id="35" w:name="ref-hutchings2021"/>
    <w:p>
      <w:pPr>
        <w:pStyle w:val="Bibliography"/>
      </w:pPr>
      <w:r>
        <w:t xml:space="preserve">2.</w:t>
      </w:r>
      <w:r>
        <w:t xml:space="preserve"> </w:t>
      </w:r>
      <w:r>
        <w:t xml:space="preserve">	</w:t>
      </w:r>
      <w:r>
        <w:t xml:space="preserve">J. A. Hutchings,</w:t>
      </w:r>
      <w:r>
        <w:t xml:space="preserve"> </w:t>
      </w:r>
      <w:r>
        <w:rPr>
          <w:iCs/>
          <w:i/>
        </w:rPr>
        <w:t xml:space="preserve">A primer of life histories: Ecology, evolution, and application</w:t>
      </w:r>
      <w:r>
        <w:t xml:space="preserve"> </w:t>
      </w:r>
      <w:r>
        <w:t xml:space="preserve">(Oxford University Press, 2021).</w:t>
      </w:r>
    </w:p>
    <w:bookmarkEnd w:id="35"/>
    <w:bookmarkStart w:id="37" w:name="ref-kristensen2015"/>
    <w:p>
      <w:pPr>
        <w:pStyle w:val="Bibliography"/>
      </w:pPr>
      <w:r>
        <w:t xml:space="preserve">3.</w:t>
      </w:r>
      <w:r>
        <w:t xml:space="preserve"> </w:t>
      </w:r>
      <w:r>
        <w:t xml:space="preserve">	</w:t>
      </w:r>
      <w:r>
        <w:t xml:space="preserve">K. Kristensen, A. Nielsen, C. Berg, H. Skaug, B. Bell,</w:t>
      </w:r>
      <w:r>
        <w:t xml:space="preserve"> </w:t>
      </w:r>
      <w:hyperlink r:id="rId36">
        <w:r>
          <w:rPr>
            <w:rStyle w:val="Hyperlink"/>
          </w:rPr>
          <w:t xml:space="preserve">TMB: Automatic differentiation and laplace approximation</w:t>
        </w:r>
      </w:hyperlink>
      <w:r>
        <w:t xml:space="preserve">.</w:t>
      </w:r>
      <w:r>
        <w:t xml:space="preserve"> </w:t>
      </w:r>
      <w:r>
        <w:rPr>
          <w:iCs/>
          <w:i/>
        </w:rPr>
        <w:t xml:space="preserve">Journal of Statistical Software</w:t>
      </w:r>
      <w:r>
        <w:t xml:space="preserve"> </w:t>
      </w:r>
      <w:r>
        <w:rPr>
          <w:bCs/>
          <w:b/>
        </w:rPr>
        <w:t xml:space="preserve">70</w:t>
      </w:r>
      <w:r>
        <w:t xml:space="preserve">, 1–21 (2016).</w:t>
      </w:r>
    </w:p>
    <w:bookmarkEnd w:id="37"/>
    <w:bookmarkStart w:id="39" w:name="ref-R"/>
    <w:p>
      <w:pPr>
        <w:pStyle w:val="Bibliography"/>
      </w:pPr>
      <w:r>
        <w:t xml:space="preserve">4.</w:t>
      </w:r>
      <w:r>
        <w:t xml:space="preserve"> </w:t>
      </w:r>
      <w:r>
        <w:t xml:space="preserve">	</w:t>
      </w:r>
      <w:r>
        <w:t xml:space="preserve">R Core Team,</w:t>
      </w:r>
      <w:r>
        <w:t xml:space="preserve"> </w:t>
      </w:r>
      <w:hyperlink r:id="rId38">
        <w:r>
          <w:rPr>
            <w:rStyle w:val="Hyperlink"/>
            <w:iCs/>
            <w:i/>
          </w:rPr>
          <w:t xml:space="preserve">R: A language and environment for statistical computing</w:t>
        </w:r>
      </w:hyperlink>
      <w:r>
        <w:t xml:space="preserve"> </w:t>
      </w:r>
      <w:r>
        <w:t xml:space="preserve">(R Foundation for Statistical Computing, 2021).</w:t>
      </w:r>
    </w:p>
    <w:bookmarkEnd w:id="39"/>
    <w:bookmarkStart w:id="40" w:name="ref-pedersen2017"/>
    <w:p>
      <w:pPr>
        <w:pStyle w:val="Bibliography"/>
      </w:pPr>
      <w:r>
        <w:t xml:space="preserve">5.</w:t>
      </w:r>
      <w:r>
        <w:t xml:space="preserve"> </w:t>
      </w:r>
      <w:r>
        <w:t xml:space="preserve">	</w:t>
      </w:r>
      <w:r>
        <w:t xml:space="preserve">M. W. Pedersen, C. W. Berg, A stochastic surplus production model in continuous time.</w:t>
      </w:r>
      <w:r>
        <w:t xml:space="preserve"> </w:t>
      </w:r>
      <w:r>
        <w:rPr>
          <w:iCs/>
          <w:i/>
        </w:rPr>
        <w:t xml:space="preserve">Fish and Fisheries</w:t>
      </w:r>
      <w:r>
        <w:t xml:space="preserve"> </w:t>
      </w:r>
      <w:r>
        <w:rPr>
          <w:bCs/>
          <w:b/>
        </w:rPr>
        <w:t xml:space="preserve">18</w:t>
      </w:r>
      <w:r>
        <w:t xml:space="preserve">, 226–243 (2017).</w:t>
      </w:r>
    </w:p>
    <w:bookmarkEnd w:id="40"/>
    <w:bookmarkStart w:id="41" w:name="ref-pepin2014"/>
    <w:p>
      <w:pPr>
        <w:pStyle w:val="Bibliography"/>
      </w:pPr>
      <w:r>
        <w:t xml:space="preserve">6.</w:t>
      </w:r>
      <w:r>
        <w:t xml:space="preserve"> </w:t>
      </w:r>
      <w:r>
        <w:t xml:space="preserve">	</w:t>
      </w:r>
      <w:r>
        <w:t xml:space="preserve">P. Pepin, J. Higdon, M. Koen-Alonso, M. Fogarty, N. Ollerhead,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Cs/>
          <w:i/>
        </w:rPr>
        <w:t xml:space="preserve">NAFO Sci. Counc. Res. Doc</w:t>
      </w:r>
      <w:r>
        <w:t xml:space="preserve"> </w:t>
      </w:r>
      <w:r>
        <w:rPr>
          <w:bCs/>
          <w:b/>
        </w:rPr>
        <w:t xml:space="preserve">14</w:t>
      </w:r>
      <w:r>
        <w:t xml:space="preserve">, 069 (2014).</w:t>
      </w:r>
    </w:p>
    <w:bookmarkEnd w:id="41"/>
    <w:bookmarkStart w:id="42" w:name="ref-chadwick2007"/>
    <w:p>
      <w:pPr>
        <w:pStyle w:val="Bibliography"/>
      </w:pPr>
      <w:r>
        <w:t xml:space="preserve">7.</w:t>
      </w:r>
      <w:r>
        <w:t xml:space="preserve"> </w:t>
      </w:r>
      <w:r>
        <w:t xml:space="preserve">	</w:t>
      </w:r>
      <w:r>
        <w:t xml:space="preserve">E. Chadwick,</w:t>
      </w:r>
      <w:r>
        <w:t xml:space="preserve"> </w:t>
      </w:r>
      <w:r>
        <w:rPr>
          <w:iCs/>
          <w:i/>
        </w:rPr>
        <w:t xml:space="preserve">et al.</w:t>
      </w:r>
      <w:r>
        <w:t xml:space="preserve">,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Cs/>
          <w:i/>
        </w:rPr>
        <w:t xml:space="preserve">Atlantic Zonal Monitoring Program Bulletin</w:t>
      </w:r>
      <w:r>
        <w:t xml:space="preserve"> </w:t>
      </w:r>
      <w:r>
        <w:rPr>
          <w:bCs/>
          <w:b/>
        </w:rPr>
        <w:t xml:space="preserve">6</w:t>
      </w:r>
      <w:r>
        <w:t xml:space="preserve">, 25–42 (2007).</w:t>
      </w:r>
    </w:p>
    <w:bookmarkEnd w:id="42"/>
    <w:bookmarkStart w:id="43" w:name="ref-smith1981"/>
    <w:p>
      <w:pPr>
        <w:pStyle w:val="Bibliography"/>
      </w:pPr>
      <w:r>
        <w:t xml:space="preserve">8.</w:t>
      </w:r>
      <w:r>
        <w:t xml:space="preserve"> </w:t>
      </w:r>
      <w:r>
        <w:t xml:space="preserve">	</w:t>
      </w:r>
      <w:r>
        <w:t xml:space="preserve">S. Smith, G. Somerton,</w:t>
      </w:r>
      <w:r>
        <w:t xml:space="preserve"> </w:t>
      </w:r>
      <w:r>
        <w:rPr>
          <w:iCs/>
          <w:i/>
        </w:rPr>
        <w:t xml:space="preserve">STRAP: A User-Oriented Computer Analysis System for Groundfish Research Trawl Survey Data</w:t>
      </w:r>
      <w:r>
        <w:t xml:space="preserve"> </w:t>
      </w:r>
      <w:r>
        <w:t xml:space="preserve">(Canadian Technical Report of Fisheries; Aquatic Sciences No. 1030, 1981).</w:t>
      </w:r>
    </w:p>
    <w:bookmarkEnd w:id="43"/>
    <w:bookmarkStart w:id="45" w:name="ref-nafo2019"/>
    <w:p>
      <w:pPr>
        <w:pStyle w:val="Bibliography"/>
      </w:pPr>
      <w:r>
        <w:t xml:space="preserve">9.</w:t>
      </w:r>
      <w:r>
        <w:t xml:space="preserve"> </w:t>
      </w:r>
      <w:r>
        <w:t xml:space="preserve">	</w:t>
      </w:r>
      <w:r>
        <w:t xml:space="preserve">NAFO,</w:t>
      </w:r>
      <w:r>
        <w:t xml:space="preserve"> </w:t>
      </w:r>
      <w:hyperlink r:id="rId44">
        <w:r>
          <w:rPr>
            <w:rStyle w:val="Hyperlink"/>
          </w:rPr>
          <w:t xml:space="preserve">Report of the Scientific Council, 31 May – 13 June 2019, Halifax, Canada</w:t>
        </w:r>
      </w:hyperlink>
      <w:r>
        <w:t xml:space="preserve">.</w:t>
      </w:r>
      <w:r>
        <w:t xml:space="preserve"> </w:t>
      </w:r>
      <w:r>
        <w:rPr>
          <w:iCs/>
          <w:i/>
        </w:rPr>
        <w:t xml:space="preserve">NAFO SCS Doc</w:t>
      </w:r>
      <w:r>
        <w:t xml:space="preserve"> </w:t>
      </w:r>
      <w:r>
        <w:rPr>
          <w:bCs/>
          <w:b/>
        </w:rPr>
        <w:t xml:space="preserve">19/20</w:t>
      </w:r>
      <w:r>
        <w:t xml:space="preserve"> </w:t>
      </w:r>
      <w:r>
        <w:t xml:space="preserve">(2019).</w:t>
      </w:r>
    </w:p>
    <w:bookmarkEnd w:id="45"/>
    <w:bookmarkStart w:id="46" w:name="ref-thorson2020"/>
    <w:p>
      <w:pPr>
        <w:pStyle w:val="Bibliography"/>
      </w:pPr>
      <w:r>
        <w:t xml:space="preserve">10.</w:t>
      </w:r>
      <w:r>
        <w:t xml:space="preserve"> </w:t>
      </w:r>
      <w:r>
        <w:t xml:space="preserve">	</w:t>
      </w:r>
      <w:r>
        <w:t xml:space="preserve">J. T. Thorson, Predicting recruitment density dependence and intrinsic growth rate for all fishes worldwide using a data-integrated life-history model.</w:t>
      </w:r>
      <w:r>
        <w:t xml:space="preserve"> </w:t>
      </w:r>
      <w:r>
        <w:rPr>
          <w:iCs/>
          <w:i/>
        </w:rPr>
        <w:t xml:space="preserve">Fish and Fisheries</w:t>
      </w:r>
      <w:r>
        <w:t xml:space="preserve"> </w:t>
      </w:r>
      <w:r>
        <w:rPr>
          <w:bCs/>
          <w:b/>
        </w:rPr>
        <w:t xml:space="preserve">21</w:t>
      </w:r>
      <w:r>
        <w:t xml:space="preserve">, 237–251 (2020).</w:t>
      </w:r>
    </w:p>
    <w:bookmarkEnd w:id="46"/>
    <w:bookmarkStart w:id="47" w:name="ref-froese2017"/>
    <w:p>
      <w:pPr>
        <w:pStyle w:val="Bibliography"/>
      </w:pPr>
      <w:r>
        <w:t xml:space="preserve">11.</w:t>
      </w:r>
      <w:r>
        <w:t xml:space="preserve"> </w:t>
      </w:r>
      <w:r>
        <w:t xml:space="preserve">	</w:t>
      </w:r>
      <w:r>
        <w:t xml:space="preserve">R. Froese, N. Demirel, G. Coro, K. M. Kleisner, H. Winker, Estimating fisheries reference points from catch and resilience.</w:t>
      </w:r>
      <w:r>
        <w:t xml:space="preserve"> </w:t>
      </w:r>
      <w:r>
        <w:rPr>
          <w:iCs/>
          <w:i/>
        </w:rPr>
        <w:t xml:space="preserve">Fish and Fisheries</w:t>
      </w:r>
      <w:r>
        <w:t xml:space="preserve"> </w:t>
      </w:r>
      <w:r>
        <w:rPr>
          <w:bCs/>
          <w:b/>
        </w:rPr>
        <w:t xml:space="preserve">18</w:t>
      </w:r>
      <w:r>
        <w:t xml:space="preserve">, 506–526 (2017).</w:t>
      </w:r>
    </w:p>
    <w:bookmarkEnd w:id="47"/>
    <w:bookmarkEnd w:id="48"/>
    <w:p>
      <w:r>
        <w:br w:type="page"/>
      </w:r>
    </w:p>
    <w:bookmarkEnd w:id="49"/>
    <w:bookmarkStart w:id="53" w:name="figures"/>
    <w:p>
      <w:pPr>
        <w:pStyle w:val="Heading1"/>
      </w:pPr>
      <w:r>
        <w:t xml:space="preserve">Figures</w:t>
      </w:r>
    </w:p>
    <w:p>
      <w:pPr>
        <w:pStyle w:val="CaptionedFigure"/>
      </w:pPr>
      <w:r>
        <w:drawing>
          <wp:inline>
            <wp:extent cx="4128561" cy="4587290"/>
            <wp:effectExtent b="0" l="0" r="0" t="0"/>
            <wp:docPr descr="Fig 1: Map of Newfoundland and Labrador (NL) case study area showing the Northeast NL Shelf (purple), Grand Bank (green), and Southern NL (yellow) ecosystem production units." title="" id="51" name="Picture"/>
            <a:graphic>
              <a:graphicData uri="http://schemas.openxmlformats.org/drawingml/2006/picture">
                <pic:pic>
                  <pic:nvPicPr>
                    <pic:cNvPr descr="knitr-figs-docx/epu-map-1.png" id="52" name="Picture"/>
                    <pic:cNvPicPr>
                      <a:picLocks noChangeArrowheads="1" noChangeAspect="1"/>
                    </pic:cNvPicPr>
                  </pic:nvPicPr>
                  <pic:blipFill>
                    <a:blip r:embed="rId50"/>
                    <a:stretch>
                      <a:fillRect/>
                    </a:stretch>
                  </pic:blipFill>
                  <pic:spPr bwMode="auto">
                    <a:xfrm>
                      <a:off x="0" y="0"/>
                      <a:ext cx="4128561" cy="4587290"/>
                    </a:xfrm>
                    <a:prstGeom prst="rect">
                      <a:avLst/>
                    </a:prstGeom>
                    <a:noFill/>
                    <a:ln w="9525">
                      <a:noFill/>
                      <a:headEnd/>
                      <a:tailEnd/>
                    </a:ln>
                  </pic:spPr>
                </pic:pic>
              </a:graphicData>
            </a:graphic>
          </wp:inline>
        </w:drawing>
      </w:r>
    </w:p>
    <w:p>
      <w:pPr>
        <w:pStyle w:val="ImageCaption"/>
      </w:pPr>
      <w:r>
        <w:t xml:space="preserve">Fig 1: Map of Newfoundland and Labrador (NL) case study area showing the Northeast NL Shelf (purple), Grand Bank (green), and Southern NL (yellow) ecosystem production units.</w:t>
      </w:r>
    </w:p>
    <w:p>
      <w:r>
        <w:br w:type="page"/>
      </w:r>
    </w:p>
    <w:bookmarkEnd w:id="53"/>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50" Target="media/rId50.png" /><Relationship Type="http://schemas.openxmlformats.org/officeDocument/2006/relationships/hyperlink" Id="rId36" Target="https://doi.org/10.18637/jss.v070.i05" TargetMode="External" /><Relationship Type="http://schemas.openxmlformats.org/officeDocument/2006/relationships/hyperlink" Id="rId38"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4" Target="https://www.nafo.int/Portals/0/PDFs/sc/2019/scs19-20.pdf" TargetMode="External"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8637/jss.v070.i05" TargetMode="External" /><Relationship Type="http://schemas.openxmlformats.org/officeDocument/2006/relationships/hyperlink" Id="rId38"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4" Target="https://www.nafo.int/Portals/0/PDFs/sc/2019/scs19-20.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2022-09-22T12:06:41Z</dcterms:created>
  <dcterms:modified xsi:type="dcterms:W3CDTF">2022-09-22T12:06:41Z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csl/pnas.csl</vt:lpwstr>
  </property>
  <property fmtid="{D5CDD505-2E9C-101B-9397-08002B2CF9AE}" pid="6" name="date">
    <vt:lpwstr>1 Fisheries and Oceans Canada, Northwest Atlantic Fisheries Center, 80 East White Hills, St. John’s, Newfoundland and Labrador, A1C 5X1, Canada  *Corresponding author E-mail: Paul.Regular@dfo-mpo.gc.ca  2022-09-22</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