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2022-10-20</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aerial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value was set to 1 as it is unlikely that the survey indices represent overestimates of the true population size. The lower range is widened, especially for deep-water species, to account for gear selectivity issues [e.g., escapement under the footgear;</w:t>
      </w:r>
      <w:r>
        <w:t xml:space="preserve"> </w:t>
      </w:r>
      <w:r>
        <w:t xml:space="preserve">(</w:t>
      </w:r>
      <w:hyperlink w:anchor="ref-walsh1992">
        <w:r>
          <w:rPr>
            <w:rStyle w:val="Hyperlink"/>
          </w:rPr>
          <w:t xml:space="preserve">16</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8</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It is unknown whether density-dependence of the demersal fish community inhabiting the NL shelves is primarily driven by intra and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17</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5</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 for this and subsequent hypotheses.</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 out at each fold. The hindcast-CV approach is similar, however it focuses on the models’ ability to predict the future. Under the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18</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6"/>
    <w:bookmarkStart w:id="60" w:name="references"/>
    <w:p>
      <w:pPr>
        <w:pStyle w:val="Heading1"/>
      </w:pPr>
      <w:r>
        <w:t xml:space="preserve">References</w:t>
      </w:r>
    </w:p>
    <w:bookmarkStart w:id="59" w:name="refs"/>
    <w:bookmarkStart w:id="3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7"/>
    <w:bookmarkStart w:id="38"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8"/>
    <w:bookmarkStart w:id="40" w:name="ref-kristensen2015"/>
    <w:p>
      <w:pPr>
        <w:pStyle w:val="Bibliography"/>
      </w:pPr>
      <w:r>
        <w:t xml:space="preserve">3.</w:t>
      </w:r>
      <w:r>
        <w:t xml:space="preserve"> </w:t>
      </w:r>
      <w:r>
        <w:t xml:space="preserve">	</w:t>
      </w:r>
      <w:r>
        <w:t xml:space="preserve">K. Kristensen, A. Nielsen, C. Berg, H. Skaug, B. Bell,</w:t>
      </w:r>
      <w:r>
        <w:t xml:space="preserve"> </w:t>
      </w:r>
      <w:hyperlink r:id="rId39">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40"/>
    <w:bookmarkStart w:id="42" w:name="ref-R"/>
    <w:p>
      <w:pPr>
        <w:pStyle w:val="Bibliography"/>
      </w:pPr>
      <w:r>
        <w:t xml:space="preserve">4.</w:t>
      </w:r>
      <w:r>
        <w:t xml:space="preserve"> </w:t>
      </w:r>
      <w:r>
        <w:t xml:space="preserve">	</w:t>
      </w:r>
      <w:r>
        <w:t xml:space="preserve">R Core Team,</w:t>
      </w:r>
      <w:r>
        <w:t xml:space="preserve"> </w:t>
      </w:r>
      <w:hyperlink r:id="rId41">
        <w:r>
          <w:rPr>
            <w:rStyle w:val="Hyperlink"/>
            <w:iCs/>
            <w:i/>
          </w:rPr>
          <w:t xml:space="preserve">R: A language and environment for statistical computing</w:t>
        </w:r>
      </w:hyperlink>
      <w:r>
        <w:t xml:space="preserve"> </w:t>
      </w:r>
      <w:r>
        <w:t xml:space="preserve">(R Foundation for Statistical Computing, 2021).</w:t>
      </w:r>
    </w:p>
    <w:bookmarkEnd w:id="42"/>
    <w:bookmarkStart w:id="43" w:name="ref-pedersen2017"/>
    <w:p>
      <w:pPr>
        <w:pStyle w:val="Bibliography"/>
      </w:pPr>
      <w:r>
        <w:t xml:space="preserve">5.</w:t>
      </w:r>
      <w:r>
        <w:t xml:space="preserve"> </w:t>
      </w:r>
      <w:r>
        <w:t xml:space="preserve">	</w:t>
      </w:r>
      <w:r>
        <w:t xml:space="preserve">E. J. Pedersen,</w:t>
      </w:r>
      <w:r>
        <w:t xml:space="preserve"> </w:t>
      </w:r>
      <w:r>
        <w:rPr>
          <w:iCs/>
          <w:i/>
        </w:rPr>
        <w:t xml:space="preserve">et al.</w:t>
      </w:r>
      <w:r>
        <w:t xml:space="preserve">, Signatures of the collapse and incipient recovery of an overexploited marine ecosystem.</w:t>
      </w:r>
      <w:r>
        <w:t xml:space="preserve"> </w:t>
      </w:r>
      <w:r>
        <w:rPr>
          <w:iCs/>
          <w:i/>
        </w:rPr>
        <w:t xml:space="preserve">Royal Society open science</w:t>
      </w:r>
      <w:r>
        <w:t xml:space="preserve"> </w:t>
      </w:r>
      <w:r>
        <w:rPr>
          <w:bCs/>
          <w:b/>
        </w:rPr>
        <w:t xml:space="preserve">4</w:t>
      </w:r>
      <w:r>
        <w:t xml:space="preserve">, 170215 (2017).</w:t>
      </w:r>
    </w:p>
    <w:bookmarkEnd w:id="43"/>
    <w:bookmarkStart w:id="44"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4"/>
    <w:bookmarkStart w:id="45"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5"/>
    <w:bookmarkStart w:id="46"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6"/>
    <w:bookmarkStart w:id="48" w:name="ref-nafo2019"/>
    <w:p>
      <w:pPr>
        <w:pStyle w:val="Bibliography"/>
      </w:pPr>
      <w:r>
        <w:t xml:space="preserve">9.</w:t>
      </w:r>
      <w:r>
        <w:t xml:space="preserve"> </w:t>
      </w:r>
      <w:r>
        <w:t xml:space="preserve">	</w:t>
      </w:r>
      <w:r>
        <w:t xml:space="preserve">NAFO,</w:t>
      </w:r>
      <w:r>
        <w:t xml:space="preserve"> </w:t>
      </w:r>
      <w:hyperlink r:id="rId47">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8"/>
    <w:bookmarkStart w:id="49"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9"/>
    <w:bookmarkStart w:id="50"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50"/>
    <w:bookmarkStart w:id="51"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51"/>
    <w:bookmarkStart w:id="52"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2"/>
    <w:bookmarkStart w:id="53"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3"/>
    <w:bookmarkStart w:id="55"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4">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5"/>
    <w:bookmarkStart w:id="56" w:name="ref-walsh1992"/>
    <w:p>
      <w:pPr>
        <w:pStyle w:val="Bibliography"/>
      </w:pPr>
      <w:r>
        <w:t xml:space="preserve">16.</w:t>
      </w:r>
      <w:r>
        <w:t xml:space="preserve"> </w:t>
      </w:r>
      <w:r>
        <w:t xml:space="preserve">	</w:t>
      </w:r>
      <w:r>
        <w:t xml:space="preserve">S. J. Walsh, Size-dependent selection at the footgear of a groundfish survey trawl.</w:t>
      </w:r>
      <w:r>
        <w:t xml:space="preserve"> </w:t>
      </w:r>
      <w:r>
        <w:rPr>
          <w:iCs/>
          <w:i/>
        </w:rPr>
        <w:t xml:space="preserve">North American Journal of Fisheries Management</w:t>
      </w:r>
      <w:r>
        <w:t xml:space="preserve"> </w:t>
      </w:r>
      <w:r>
        <w:rPr>
          <w:bCs/>
          <w:b/>
        </w:rPr>
        <w:t xml:space="preserve">12</w:t>
      </w:r>
      <w:r>
        <w:t xml:space="preserve">, 625–633 (1992).</w:t>
      </w:r>
    </w:p>
    <w:bookmarkEnd w:id="56"/>
    <w:bookmarkStart w:id="57" w:name="ref-lear1998"/>
    <w:p>
      <w:pPr>
        <w:pStyle w:val="Bibliography"/>
      </w:pPr>
      <w:r>
        <w:t xml:space="preserve">17.</w:t>
      </w:r>
      <w:r>
        <w:t xml:space="preserve"> </w:t>
      </w:r>
      <w:r>
        <w:t xml:space="preserve">	</w:t>
      </w:r>
      <w:r>
        <w:t xml:space="preserve">W. H. Lear, History of fisheries in the northwest atlantic: The 500-year perspective.</w:t>
      </w:r>
      <w:r>
        <w:t xml:space="preserve"> </w:t>
      </w:r>
      <w:r>
        <w:rPr>
          <w:iCs/>
          <w:i/>
        </w:rPr>
        <w:t xml:space="preserve">Journal of Northwest Atlantic Fishery Science</w:t>
      </w:r>
      <w:r>
        <w:t xml:space="preserve"> </w:t>
      </w:r>
      <w:r>
        <w:rPr>
          <w:bCs/>
          <w:b/>
        </w:rPr>
        <w:t xml:space="preserve">23</w:t>
      </w:r>
      <w:r>
        <w:t xml:space="preserve"> </w:t>
      </w:r>
      <w:r>
        <w:t xml:space="preserve">(1998).</w:t>
      </w:r>
    </w:p>
    <w:bookmarkEnd w:id="57"/>
    <w:bookmarkStart w:id="58" w:name="ref-kell2016"/>
    <w:p>
      <w:pPr>
        <w:pStyle w:val="Bibliography"/>
      </w:pPr>
      <w:r>
        <w:t xml:space="preserve">18.</w:t>
      </w:r>
      <w:r>
        <w:t xml:space="preserve"> </w:t>
      </w:r>
      <w:r>
        <w:t xml:space="preserve">	</w:t>
      </w:r>
      <w:r>
        <w:t xml:space="preserve">L. T. Kell, A. Kimoto, T. Kitakado, Evaluation of the prediction skill of stock assessment using hindcasting.</w:t>
      </w:r>
      <w:r>
        <w:t xml:space="preserve"> </w:t>
      </w:r>
      <w:r>
        <w:rPr>
          <w:iCs/>
          <w:i/>
        </w:rPr>
        <w:t xml:space="preserve">Fisheries research</w:t>
      </w:r>
      <w:r>
        <w:t xml:space="preserve"> </w:t>
      </w:r>
      <w:r>
        <w:rPr>
          <w:bCs/>
          <w:b/>
        </w:rPr>
        <w:t xml:space="preserve">183</w:t>
      </w:r>
      <w:r>
        <w:t xml:space="preserve">, 119–127 (2016).</w:t>
      </w:r>
    </w:p>
    <w:bookmarkEnd w:id="58"/>
    <w:bookmarkEnd w:id="59"/>
    <w:p>
      <w:r>
        <w:br w:type="page"/>
      </w:r>
    </w:p>
    <w:bookmarkEnd w:id="60"/>
    <w:bookmarkStart w:id="64" w:name="figures"/>
    <w:p>
      <w:pPr>
        <w:pStyle w:val="Heading1"/>
      </w:pPr>
      <w:r>
        <w:t xml:space="preserve">Figures</w:t>
      </w:r>
    </w:p>
    <w:p>
      <w:pPr>
        <w:pStyle w:val="CaptionedFigure"/>
      </w:pPr>
      <w:r>
        <w:drawing>
          <wp:inline>
            <wp:extent cx="4128561" cy="4587290"/>
            <wp:effectExtent b="0" l="0" r="0" t="0"/>
            <wp:docPr descr="Fig 1: Map of Newfoundland and Labrador (NL) case study area showing the Northeast NL Shelf (purple), Grand Bank (green), and Southern NL (yellow) ecosystem production units." title="" id="62" name="Picture"/>
            <a:graphic>
              <a:graphicData uri="http://schemas.openxmlformats.org/drawingml/2006/picture">
                <pic:pic>
                  <pic:nvPicPr>
                    <pic:cNvPr descr="knitr-figs-docx/epu-map-1.png" id="63" name="Picture"/>
                    <pic:cNvPicPr>
                      <a:picLocks noChangeArrowheads="1" noChangeAspect="1"/>
                    </pic:cNvPicPr>
                  </pic:nvPicPr>
                  <pic:blipFill>
                    <a:blip r:embed="rId61"/>
                    <a:stretch>
                      <a:fillRect/>
                    </a:stretch>
                  </pic:blipFill>
                  <pic:spPr bwMode="auto">
                    <a:xfrm>
                      <a:off x="0" y="0"/>
                      <a:ext cx="4128561" cy="4587290"/>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bookmarkEnd w:id="64"/>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1" Target="media/rId61.png" /><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2022-10-20T12:44:06Z</dcterms:created>
  <dcterms:modified xsi:type="dcterms:W3CDTF">2022-10-20T12:44:06Z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2022-10-20</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