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0.png" ContentType="image/png"/>
  <Override PartName="/word/media/rId116.svgz" ContentType="image/svg+xml"/>
  <Override PartName="/word/media/rId112.svgz" ContentType="image/svg+xml"/>
  <Override PartName="/word/media/rId104.svgz" ContentType="image/svg+xml"/>
  <Override PartName="/word/media/rId108.svgz"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M.</w:t>
      </w:r>
      <w:r>
        <w:t xml:space="preserve"> </w:t>
      </w:r>
      <w:r>
        <w:t xml:space="preserve">Joanne</w:t>
      </w:r>
      <w:r>
        <w:t xml:space="preserve"> </w:t>
      </w:r>
      <w:r>
        <w:t xml:space="preserve">Morgan,</w:t>
      </w:r>
      <w:r>
        <w:t xml:space="preserve"> </w:t>
      </w:r>
      <w:r>
        <w:t xml:space="preserve">Pierre</w:t>
      </w:r>
      <w:r>
        <w:t xml:space="preserve"> </w:t>
      </w:r>
      <w:r>
        <w:t xml:space="preserve">Pepin,</w:t>
      </w:r>
      <w:r>
        <w:t xml:space="preserve"> </w:t>
      </w:r>
      <w:r>
        <w:t xml:space="preserve">Rick</w:t>
      </w:r>
      <w:r>
        <w:t xml:space="preserve"> </w:t>
      </w:r>
      <w:r>
        <w:t xml:space="preserve">M.</w:t>
      </w:r>
      <w:r>
        <w:t xml:space="preserve"> </w:t>
      </w:r>
      <w:r>
        <w:t xml:space="preserve">Rideout</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2024-12-12</w:t>
      </w:r>
    </w:p>
    <w:p>
      <w:pPr>
        <w:pStyle w:val="Abstract"/>
      </w:pPr>
      <w:r>
        <w:rPr>
          <w:bCs/>
          <w:b/>
        </w:rPr>
        <w:t xml:space="preserve">Abstract: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ecology</w:t>
      </w:r>
      <w:r>
        <w:t xml:space="preserve"> </w:t>
      </w:r>
      <w:r>
        <w:t xml:space="preserve">that</w:t>
      </w:r>
      <w:r>
        <w:t xml:space="preserve"> </w:t>
      </w:r>
      <w:r>
        <w:t xml:space="preserve">has</w:t>
      </w:r>
      <w:r>
        <w:t xml:space="preserve"> </w:t>
      </w:r>
      <w:r>
        <w:t xml:space="preserve">inspired</w:t>
      </w:r>
      <w:r>
        <w:t xml:space="preserve"> </w:t>
      </w:r>
      <w:r>
        <w:t xml:space="preserve">the</w:t>
      </w:r>
      <w:r>
        <w:t xml:space="preserve"> </w:t>
      </w:r>
      <w:r>
        <w:t xml:space="preserve">development</w:t>
      </w:r>
      <w:r>
        <w:t xml:space="preserve"> </w:t>
      </w:r>
      <w:r>
        <w:t xml:space="preserve">and</w:t>
      </w:r>
      <w:r>
        <w:t xml:space="preserve"> </w:t>
      </w:r>
      <w:r>
        <w:t xml:space="preserve">application</w:t>
      </w:r>
      <w:r>
        <w:t xml:space="preserve"> </w:t>
      </w:r>
      <w:r>
        <w:t xml:space="preserve">of</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population</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fisheries</w:t>
      </w:r>
      <w:r>
        <w:t xml:space="preserve"> </w:t>
      </w:r>
      <w:r>
        <w:t xml:space="preserve">science,</w:t>
      </w:r>
      <w:r>
        <w:t xml:space="preserve"> </w:t>
      </w:r>
      <w:r>
        <w:t xml:space="preserve">production</w:t>
      </w:r>
      <w:r>
        <w:t xml:space="preserve"> </w:t>
      </w:r>
      <w:r>
        <w:t xml:space="preserve">models</w:t>
      </w:r>
      <w:r>
        <w:t xml:space="preserve"> </w:t>
      </w:r>
      <w:r>
        <w:t xml:space="preserve">have</w:t>
      </w:r>
      <w:r>
        <w:t xml:space="preserve"> </w:t>
      </w:r>
      <w:r>
        <w:t xml:space="preserve">been</w:t>
      </w:r>
      <w:r>
        <w:t xml:space="preserve"> </w:t>
      </w:r>
      <w:r>
        <w:t xml:space="preserve">employed</w:t>
      </w:r>
      <w:r>
        <w:t xml:space="preserve"> </w:t>
      </w:r>
      <w:r>
        <w:t xml:space="preserve">globally</w:t>
      </w:r>
      <w:r>
        <w:t xml:space="preserve"> </w:t>
      </w:r>
      <w:r>
        <w:t xml:space="preserve">to</w:t>
      </w:r>
      <w:r>
        <w:t xml:space="preserve"> </w:t>
      </w:r>
      <w:r>
        <w:t xml:space="preserve">calculate</w:t>
      </w:r>
      <w:r>
        <w:t xml:space="preserve"> </w:t>
      </w:r>
      <w:r>
        <w:t xml:space="preserve">carrying</w:t>
      </w:r>
      <w:r>
        <w:t xml:space="preserve"> </w:t>
      </w:r>
      <w:r>
        <w:t xml:space="preserve">capacity</w:t>
      </w:r>
      <w:r>
        <w:t xml:space="preserve"> </w:t>
      </w:r>
      <w:r>
        <w:t xml:space="preserve">and</w:t>
      </w:r>
      <w:r>
        <w:t xml:space="preserve"> </w:t>
      </w:r>
      <w:r>
        <w:t xml:space="preserve">guide</w:t>
      </w:r>
      <w:r>
        <w:t xml:space="preserve"> </w:t>
      </w:r>
      <w:r>
        <w:t xml:space="preserve">the</w:t>
      </w:r>
      <w:r>
        <w:t xml:space="preserve"> </w:t>
      </w:r>
      <w:r>
        <w:t xml:space="preserve">sustainable</w:t>
      </w:r>
      <w:r>
        <w:t xml:space="preserve"> </w:t>
      </w:r>
      <w:r>
        <w:t xml:space="preserve">use</w:t>
      </w:r>
      <w:r>
        <w:t xml:space="preserve"> </w:t>
      </w:r>
      <w:r>
        <w:t xml:space="preserve">of</w:t>
      </w:r>
      <w:r>
        <w:t xml:space="preserve"> </w:t>
      </w:r>
      <w:r>
        <w:t xml:space="preserve">fish</w:t>
      </w:r>
      <w:r>
        <w:t xml:space="preserve"> </w:t>
      </w:r>
      <w:r>
        <w:t xml:space="preserve">populations.</w:t>
      </w:r>
      <w:r>
        <w:t xml:space="preserve"> </w:t>
      </w:r>
      <w:r>
        <w:t xml:space="preserve">Production</w:t>
      </w:r>
      <w:r>
        <w:t xml:space="preserve"> </w:t>
      </w:r>
      <w:r>
        <w:t xml:space="preserve">models</w:t>
      </w:r>
      <w:r>
        <w:t xml:space="preserve"> </w:t>
      </w:r>
      <w:r>
        <w:t xml:space="preserve">have,</w:t>
      </w:r>
      <w:r>
        <w:t xml:space="preserve"> </w:t>
      </w:r>
      <w:r>
        <w:t xml:space="preserve">however,</w:t>
      </w:r>
      <w:r>
        <w:t xml:space="preserve"> </w:t>
      </w:r>
      <w:r>
        <w:t xml:space="preserve">been</w:t>
      </w:r>
      <w:r>
        <w:t xml:space="preserve"> </w:t>
      </w:r>
      <w:r>
        <w:t xml:space="preserve">criticized</w:t>
      </w:r>
      <w:r>
        <w:t xml:space="preserve"> </w:t>
      </w:r>
      <w:r>
        <w:t xml:space="preserve">for</w:t>
      </w:r>
      <w:r>
        <w:t xml:space="preserve"> </w:t>
      </w:r>
      <w:r>
        <w:t xml:space="preserve">failing</w:t>
      </w:r>
      <w:r>
        <w:t xml:space="preserve"> </w:t>
      </w:r>
      <w:r>
        <w:t xml:space="preserve">to</w:t>
      </w:r>
      <w:r>
        <w:t xml:space="preserve"> </w:t>
      </w:r>
      <w:r>
        <w:t xml:space="preserve">account</w:t>
      </w:r>
      <w:r>
        <w:t xml:space="preserve"> </w:t>
      </w:r>
      <w:r>
        <w:t xml:space="preserve">for</w:t>
      </w:r>
      <w:r>
        <w:t xml:space="preserve"> </w:t>
      </w:r>
      <w:r>
        <w:t xml:space="preserve">species</w:t>
      </w:r>
      <w:r>
        <w:t xml:space="preserve"> </w:t>
      </w:r>
      <w:r>
        <w:t xml:space="preserve">interactions</w:t>
      </w:r>
      <w:r>
        <w:t xml:space="preserve"> </w:t>
      </w:r>
      <w:r>
        <w:t xml:space="preserve">and</w:t>
      </w:r>
      <w:r>
        <w:t xml:space="preserve"> </w:t>
      </w:r>
      <w:r>
        <w:t xml:space="preserve">environmental</w:t>
      </w:r>
      <w:r>
        <w:t xml:space="preserve"> </w:t>
      </w:r>
      <w:r>
        <w:t xml:space="preserve">effects.</w:t>
      </w:r>
      <w:r>
        <w:t xml:space="preserve"> </w:t>
      </w:r>
      <w:r>
        <w:t xml:space="preserve">We</w:t>
      </w:r>
      <w:r>
        <w:t xml:space="preserve"> </w:t>
      </w:r>
      <w:r>
        <w:t xml:space="preserve">aim</w:t>
      </w:r>
      <w:r>
        <w:t xml:space="preserve"> </w:t>
      </w:r>
      <w:r>
        <w:t xml:space="preserve">to</w:t>
      </w:r>
      <w:r>
        <w:t xml:space="preserve"> </w:t>
      </w:r>
      <w:r>
        <w:t xml:space="preserve">fill</w:t>
      </w:r>
      <w:r>
        <w:t xml:space="preserve"> </w:t>
      </w:r>
      <w:r>
        <w:t xml:space="preserve">some</w:t>
      </w:r>
      <w:r>
        <w:t xml:space="preserve"> </w:t>
      </w:r>
      <w:r>
        <w:t xml:space="preserve">of</w:t>
      </w:r>
      <w:r>
        <w:t xml:space="preserve"> </w:t>
      </w:r>
      <w:r>
        <w:t xml:space="preserve">these</w:t>
      </w:r>
      <w:r>
        <w:t xml:space="preserve"> </w:t>
      </w:r>
      <w:r>
        <w:t xml:space="preserve">gaps</w:t>
      </w:r>
      <w:r>
        <w:t xml:space="preserve"> </w:t>
      </w:r>
      <w:r>
        <w:t xml:space="preserve">by</w:t>
      </w:r>
      <w:r>
        <w:t xml:space="preserve"> </w:t>
      </w:r>
      <w:r>
        <w:t xml:space="preserve">introducing</w:t>
      </w:r>
      <w:r>
        <w:t xml:space="preserve"> </w:t>
      </w:r>
      <w:r>
        <w:t xml:space="preserve">a</w:t>
      </w:r>
      <w:r>
        <w:t xml:space="preserve"> </w:t>
      </w:r>
      <w:r>
        <w:t xml:space="preserve">novel</w:t>
      </w:r>
      <w:r>
        <w:t xml:space="preserve"> </w:t>
      </w:r>
      <w:r>
        <w:t xml:space="preserve">state-space</w:t>
      </w:r>
      <w:r>
        <w:t xml:space="preserve"> </w:t>
      </w:r>
      <w:r>
        <w:t xml:space="preserve">multispecies</w:t>
      </w:r>
      <w:r>
        <w:t xml:space="preserve"> </w:t>
      </w:r>
      <w:r>
        <w:t xml:space="preserve">production</w:t>
      </w:r>
      <w:r>
        <w:t xml:space="preserve"> </w:t>
      </w:r>
      <w:r>
        <w:t xml:space="preserve">model.</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effects.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species</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The</w:t>
      </w:r>
      <w:r>
        <w:t xml:space="preserve"> </w:t>
      </w:r>
      <w:r>
        <w:t xml:space="preserve">model</w:t>
      </w:r>
      <w:r>
        <w:t xml:space="preserve"> </w:t>
      </w:r>
      <w:r>
        <w:t xml:space="preserve">also</w:t>
      </w:r>
      <w:r>
        <w:t xml:space="preserve"> </w:t>
      </w:r>
      <w:r>
        <w:t xml:space="preserve">revealed</w:t>
      </w:r>
      <w:r>
        <w:t xml:space="preserve"> </w:t>
      </w:r>
      <w:r>
        <w:t xml:space="preserve">strongly</w:t>
      </w:r>
      <w:r>
        <w:t xml:space="preserve"> </w:t>
      </w:r>
      <w:r>
        <w:t xml:space="preserve">correlated</w:t>
      </w:r>
      <w:r>
        <w:t xml:space="preserve"> </w:t>
      </w:r>
      <w:r>
        <w:t xml:space="preserve">process</w:t>
      </w:r>
      <w:r>
        <w:t xml:space="preserve"> </w:t>
      </w:r>
      <w:r>
        <w:t xml:space="preserve">deviations,</w:t>
      </w:r>
      <w:r>
        <w:t xml:space="preserve"> </w:t>
      </w:r>
      <w:r>
        <w:t xml:space="preserve">unrelated</w:t>
      </w:r>
      <w:r>
        <w:t xml:space="preserve"> </w:t>
      </w:r>
      <w:r>
        <w:t xml:space="preserve">to</w:t>
      </w:r>
      <w:r>
        <w:t xml:space="preserve"> </w:t>
      </w:r>
      <w:r>
        <w:t xml:space="preserve">fishing</w:t>
      </w:r>
      <w:r>
        <w:t xml:space="preserve"> </w:t>
      </w:r>
      <w:r>
        <w:t xml:space="preserve">or</w:t>
      </w:r>
      <w:r>
        <w:t xml:space="preserve"> </w:t>
      </w:r>
      <w:r>
        <w:t xml:space="preserve">density-dependent</w:t>
      </w:r>
      <w:r>
        <w:t xml:space="preserve"> </w:t>
      </w:r>
      <w:r>
        <w:t xml:space="preserve">effects,</w:t>
      </w:r>
      <w:r>
        <w:t xml:space="preserve"> </w:t>
      </w:r>
      <w:r>
        <w:t xml:space="preserve">which</w:t>
      </w:r>
      <w:r>
        <w:t xml:space="preserve"> </w:t>
      </w:r>
      <w:r>
        <w:t xml:space="preserve">unexpectidly</w:t>
      </w:r>
      <w:r>
        <w:t xml:space="preserve"> </w:t>
      </w:r>
      <w:r>
        <w:t xml:space="preserve">indicates</w:t>
      </w:r>
      <w:r>
        <w:t xml:space="preserve"> </w:t>
      </w:r>
      <w:r>
        <w:t xml:space="preserve">that</w:t>
      </w:r>
      <w:r>
        <w:t xml:space="preserve"> </w:t>
      </w:r>
      <w:r>
        <w:t xml:space="preserve">widespread</w:t>
      </w:r>
      <w:r>
        <w:t xml:space="preserve"> </w:t>
      </w:r>
      <w:r>
        <w:t xml:space="preserve">collapses</w:t>
      </w:r>
      <w:r>
        <w:t xml:space="preserve"> </w:t>
      </w:r>
      <w:r>
        <w:t xml:space="preserve">were</w:t>
      </w:r>
      <w:r>
        <w:t xml:space="preserve"> </w:t>
      </w:r>
      <w:r>
        <w:t xml:space="preserve">primarily</w:t>
      </w:r>
      <w:r>
        <w:t xml:space="preserve"> </w:t>
      </w:r>
      <w:r>
        <w:t xml:space="preserve">driven</w:t>
      </w:r>
      <w:r>
        <w:t xml:space="preserve"> </w:t>
      </w:r>
      <w:r>
        <w:t xml:space="preserve">by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rather</w:t>
      </w:r>
      <w:r>
        <w:t xml:space="preserve"> </w:t>
      </w:r>
      <w:r>
        <w:t xml:space="preserve">than</w:t>
      </w:r>
      <w:r>
        <w:t xml:space="preserve"> </w:t>
      </w:r>
      <w:r>
        <w:t xml:space="preserve">fishing.</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promising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holistic</w:t>
      </w:r>
      <w:r>
        <w:t xml:space="preserve"> </w:t>
      </w:r>
      <w:r>
        <w:t xml:space="preserve">and</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requirements</w:t>
      </w:r>
      <w:r>
        <w:t xml:space="preserve"> </w:t>
      </w:r>
      <w:r>
        <w:t xml:space="preserve">(time-series</w:t>
      </w:r>
      <w:r>
        <w:t xml:space="preserve"> </w:t>
      </w:r>
      <w:r>
        <w:t xml:space="preserve">of</w:t>
      </w:r>
      <w:r>
        <w:t xml:space="preserve"> </w:t>
      </w:r>
      <w:r>
        <w:t xml:space="preserve">landings</w:t>
      </w:r>
      <w:r>
        <w:t xml:space="preserve"> </w:t>
      </w:r>
      <w:r>
        <w:t xml:space="preserve">and</w:t>
      </w:r>
      <w:r>
        <w:t xml:space="preserve"> </w:t>
      </w:r>
      <w:r>
        <w:t xml:space="preserve">fisheries-independent</w:t>
      </w:r>
      <w:r>
        <w:t xml:space="preserve"> </w:t>
      </w:r>
      <w:r>
        <w:t xml:space="preserve">indices).</w:t>
      </w:r>
      <w:r>
        <w:t xml:space="preserve"> </w:t>
      </w:r>
      <w:r>
        <w:t xml:space="preserve">Finally,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&amp;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produce more offspring than an environment can sustain led to the notion that the</w:t>
      </w:r>
      <w:r>
        <w:t xml:space="preserve"> </w:t>
      </w:r>
      <w:r>
        <w:t xml:space="preserve">‘</w:t>
      </w:r>
      <w:r>
        <w:t xml:space="preserve">surplus</w:t>
      </w:r>
      <w:r>
        <w:t xml:space="preserve">’</w:t>
      </w:r>
      <w:r>
        <w:t xml:space="preserve"> </w:t>
      </w:r>
      <w:r>
        <w:t xml:space="preserve">can be harvested sustainably</w:t>
      </w:r>
      <w:r>
        <w:t xml:space="preserve"> </w:t>
      </w:r>
      <w:r>
        <w:t xml:space="preserve">(</w:t>
      </w:r>
      <w:hyperlink w:anchor="ref-pauly2021">
        <w:r>
          <w:rPr>
            <w:rStyle w:val="Hyperlink"/>
          </w:rPr>
          <w:t xml:space="preserve">Pauly &amp;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&amp;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(e.g.,</w:t>
      </w:r>
      <w:r>
        <w:t xml:space="preserve"> </w:t>
      </w:r>
      <w:hyperlink w:anchor="ref-bundy2012">
        <w:r>
          <w:rPr>
            <w:rStyle w:val="Hyperlink"/>
          </w:rPr>
          <w:t xml:space="preserve">Bundy et al., 2012</w:t>
        </w:r>
      </w:hyperlink>
      <w:r>
        <w:t xml:space="preserve">;</w:t>
      </w:r>
      <w:r>
        <w:t xml:space="preserve"> </w:t>
      </w:r>
      <w:hyperlink w:anchor="ref-gamble2009">
        <w:r>
          <w:rPr>
            <w:rStyle w:val="Hyperlink"/>
          </w:rPr>
          <w:t xml:space="preserve">Gamble &amp; Link, 2009</w:t>
        </w:r>
      </w:hyperlink>
      <w:r>
        <w:t xml:space="preserve">;</w:t>
      </w:r>
      <w:r>
        <w:t xml:space="preserve"> </w:t>
      </w:r>
      <w:hyperlink w:anchor="ref-mueter2006">
        <w:r>
          <w:rPr>
            <w:rStyle w:val="Hyperlink"/>
          </w:rPr>
          <w:t xml:space="preserve">Mueter &amp;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&amp;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germane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Using this case study, we aim to reveal species interactions, distinguish the impacts of fishing from environmental effects, and demonstrate the utility of this modeling approach. The subsequent sections of this paper will present the conceptual framework of our model, describe its application, and discuss the implications of our findings for ecosystem-based fisheries management.</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r>
                  <m:rPr>
                    <m:sty m:val="p"/>
                  </m:rPr>
                  <m:t>,</m:t>
                </m:r>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r>
                  <m:rPr>
                    <m:sty m:val="p"/>
                  </m:rPr>
                  <m:t>,</m:t>
                </m:r>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r>
        <w:t xml:space="preserve"> </w:t>
      </w:r>
      <m:oMath>
        <m:sSub>
          <m:e>
            <m:r>
              <m:t>K</m:t>
            </m:r>
          </m:e>
          <m:sub>
            <m:r>
              <m:t>Σ</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sSub>
                          <m:e>
                            <m:r>
                              <m:t>K</m:t>
                            </m:r>
                          </m:e>
                          <m:sub>
                            <m:r>
                              <m:t>Σ</m:t>
                            </m:r>
                          </m:sub>
                        </m:sSub>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sSub>
          <m:e>
            <m:r>
              <m:t>K</m:t>
            </m:r>
          </m:e>
          <m:sub>
            <m:r>
              <m:t>Σ</m:t>
            </m:r>
          </m:sub>
        </m:sSub>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sSub>
                              <m:e>
                                <m:r>
                                  <m:t>K</m:t>
                                </m:r>
                              </m:e>
                              <m:sub>
                                <m:r>
                                  <m:t>Σ</m:t>
                                </m:r>
                              </m:sub>
                            </m:sSub>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r>
                  <m:rPr>
                    <m:sty m:val="p"/>
                  </m:rPr>
                  <m:t>,</m:t>
                </m:r>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may be apparent in the observations, we assume that most covariance stems from ecosystem processes. We therefore treat observation errors as independent and normally distributed deviations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to account for temporal dependencies driven by as ecological processes. For instance, species interactions may drive positive or negative population responses resulting from direct or indirect associations.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sSub>
          <m:e>
            <m:r>
              <m:t>K</m:t>
            </m:r>
          </m:e>
          <m:sub>
            <m:r>
              <m:t>Σ</m:t>
            </m:r>
          </m:sub>
        </m:sSub>
      </m:oMath>
      <w:r>
        <w:t xml:space="preserve"> </w:t>
      </w:r>
      <w:r>
        <w:t xml:space="preserve">in equation (5) with</w:t>
      </w:r>
      <w:r>
        <w:t xml:space="preserve"> </w:t>
      </w:r>
      <m:oMath>
        <m:sSub>
          <m:e>
            <m:r>
              <m:t>K</m:t>
            </m:r>
          </m:e>
          <m:sub>
            <m:r>
              <m:t>Σ</m:t>
            </m:r>
          </m:sub>
        </m:sSub>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rather than a system level carrying capacity,</w:t>
      </w:r>
      <w:r>
        <w:t xml:space="preserve"> </w:t>
      </w:r>
      <m:oMath>
        <m:sSub>
          <m:e>
            <m:r>
              <m:t>K</m:t>
            </m:r>
          </m:e>
          <m:sub>
            <m:r>
              <m:t>Σ</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database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Starting in the fall of 1995 survey gear was changed to a Campelen shrimp trawl with a small mesh codend, which allowed a broader range of species and size groups to be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by species, within each region. On the Northeast NL Shelf, the included species were Redfish spp. (</w:t>
      </w:r>
      <w:r>
        <w:rPr>
          <w:iCs/>
          <w:i/>
        </w:rPr>
        <w:t xml:space="preserve">Sebastes fasciatus</w:t>
      </w:r>
      <w:r>
        <w:t xml:space="preserve"> </w:t>
      </w:r>
      <w:r>
        <w:t xml:space="preserve">and</w:t>
      </w:r>
      <w:r>
        <w:t xml:space="preserve"> </w:t>
      </w:r>
      <w:r>
        <w:rPr>
          <w:iCs/>
          <w:i/>
        </w:rPr>
        <w:t xml:space="preserve">S. mentella</w:t>
      </w:r>
      <w:r>
        <w:t xml:space="preserve"> </w:t>
      </w:r>
      <w:r>
        <w:t xml:space="preserve">combined), Wolffish spp. (</w:t>
      </w:r>
      <w:r>
        <w:rPr>
          <w:iCs/>
          <w:i/>
        </w:rPr>
        <w:t xml:space="preserve">Anarhichas lupus</w:t>
      </w:r>
      <w:r>
        <w:t xml:space="preserve"> </w:t>
      </w:r>
      <w:r>
        <w:t xml:space="preserve">and</w:t>
      </w:r>
      <w:r>
        <w:t xml:space="preserve"> </w:t>
      </w:r>
      <w:r>
        <w:rPr>
          <w:iCs/>
          <w:i/>
        </w:rPr>
        <w:t xml:space="preserve">A. minor</w:t>
      </w:r>
      <w:r>
        <w:t xml:space="preserve"> </w:t>
      </w:r>
      <w:r>
        <w:t xml:space="preserve">combined),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and</w:t>
      </w:r>
      <w:r>
        <w:t xml:space="preserve"> </w:t>
      </w:r>
      <w:r>
        <w:rPr>
          <w:iCs/>
          <w:i/>
        </w:rPr>
        <w:t xml:space="preserve">Malacoraja senta</w:t>
      </w:r>
      <w:r>
        <w:t xml:space="preserve"> </w:t>
      </w:r>
      <w:r>
        <w:t xml:space="preserve">combined). On the Grand Bank, the included species were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the included species were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sSub>
          <m:e>
            <m:r>
              <m:t>K</m:t>
            </m:r>
          </m:e>
          <m:sub>
            <m:r>
              <m:t>Σ</m:t>
            </m:r>
          </m:sub>
        </m:sSub>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Σ</m:t>
                    </m:r>
                    <m:r>
                      <m:rPr>
                        <m:sty m:val="p"/>
                      </m:rPr>
                      <m:t>,</m:t>
                    </m:r>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Σ</m:t>
                    </m:r>
                    <m:r>
                      <m:rPr>
                        <m:sty m:val="p"/>
                      </m:rPr>
                      <m:t>,</m:t>
                    </m:r>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r>
                  <m:rPr>
                    <m:sty m:val="p"/>
                  </m:rPr>
                  <m:t>,</m:t>
                </m:r>
              </m:e>
              <m:e>
                <m:r>
                  <m:t>  </m:t>
                </m:r>
                <m:d>
                  <m:dPr>
                    <m:begChr m:val="("/>
                    <m:endChr m:val=")"/>
                    <m:sepChr m:val=""/>
                    <m:grow/>
                  </m:dPr>
                  <m:e>
                    <m:r>
                      <m:t>9</m:t>
                    </m:r>
                  </m:e>
                </m:d>
              </m:e>
            </m:mr>
          </m:m>
        </m:oMath>
      </m:oMathPara>
    </w:p>
    <w:p>
      <w:pPr>
        <w:pStyle w:val="FirstParagraph"/>
      </w:pPr>
      <w:r>
        <w:t xml:space="preserve">where</w:t>
      </w:r>
      <w:r>
        <w:t xml:space="preserve"> </w:t>
      </w:r>
      <m:oMath>
        <m:sSub>
          <m:e>
            <m:r>
              <m:t>K</m:t>
            </m:r>
          </m:e>
          <m:sub>
            <m:r>
              <m:t>Σ</m:t>
            </m:r>
            <m:r>
              <m:rPr>
                <m:sty m:val="p"/>
              </m:rPr>
              <m:t>,</m:t>
            </m:r>
            <m:r>
              <m:t>l</m:t>
            </m:r>
          </m:sub>
        </m:sSub>
      </m:oMath>
      <w:r>
        <w:t xml:space="preserve"> </w:t>
      </w:r>
      <w:r>
        <w:t xml:space="preserve">and</w:t>
      </w:r>
      <w:r>
        <w:t xml:space="preserve"> </w:t>
      </w:r>
      <m:oMath>
        <m:sSub>
          <m:e>
            <m:r>
              <m:t>K</m:t>
            </m:r>
          </m:e>
          <m:sub>
            <m:r>
              <m:t>Σ</m:t>
            </m:r>
            <m:r>
              <m:rPr>
                <m:sty m:val="p"/>
              </m:rPr>
              <m:t>,</m:t>
            </m:r>
            <m:r>
              <m:t>u</m:t>
            </m:r>
          </m:sub>
        </m:sSub>
      </m:oMath>
      <w:r>
        <w:t xml:space="preserve"> </w:t>
      </w:r>
      <w:r>
        <w:t xml:space="preserve">are the lower and upper values. On the lower end, this prior imposes the assumption that the fishery is unlikely to have caught the equivalent of</w:t>
      </w:r>
      <w:r>
        <w:t xml:space="preserve"> </w:t>
      </w:r>
      <m:oMath>
        <m:sSub>
          <m:e>
            <m:r>
              <m:t>K</m:t>
            </m:r>
          </m:e>
          <m:sub>
            <m:r>
              <m:t>Σ</m:t>
            </m:r>
          </m:sub>
        </m:sSub>
      </m:oMath>
      <w:r>
        <w:t xml:space="preserve"> </w:t>
      </w:r>
      <w:r>
        <w:t xml:space="preserve">and, on the upper end, it assumes that the maximum observed catch represents a portion of</w:t>
      </w:r>
      <w:r>
        <w:t xml:space="preserve"> </w:t>
      </w:r>
      <m:oMath>
        <m:sSub>
          <m:e>
            <m:r>
              <m:t>K</m:t>
            </m:r>
          </m:e>
          <m:sub>
            <m:r>
              <m:t>Σ</m:t>
            </m:r>
          </m:sub>
        </m:sSub>
      </m:oMath>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sSub>
          <m:e>
            <m:r>
              <m:t>K</m:t>
            </m:r>
          </m:e>
          <m:sub>
            <m:r>
              <m:t>Σ</m:t>
            </m:r>
          </m:sub>
        </m:sSub>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r>
                  <m:rPr>
                    <m:sty m:val="p"/>
                  </m:rPr>
                  <m:t>,</m:t>
                </m:r>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potential flaw with the upper value for this prior is that a lack of market demand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potential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not 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tends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on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84% (53 of 63) of pairs were positively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from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First, we found general support for models with a system-level carrying capacity, consistent with the expectation that species within the same ecosystem production unit are constrained by a finite amount of available energy</w:t>
      </w:r>
      <w:r>
        <w:t xml:space="preserve"> </w:t>
      </w:r>
      <w:r>
        <w:t xml:space="preserve">(</w:t>
      </w:r>
      <w:hyperlink w:anchor="ref-pepin2014">
        <w:r>
          <w:rPr>
            <w:rStyle w:val="Hyperlink"/>
          </w:rPr>
          <w:t xml:space="preserve">Pepin et al., 2014</w:t>
        </w:r>
      </w:hyperlink>
      <w:r>
        <w:t xml:space="preserve">)</w:t>
      </w:r>
      <w:r>
        <w:t xml:space="preserve">. Second,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Cs/>
          <w:i/>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Koen-Alonso, &amp; Stenson, 2014</w:t>
        </w:r>
      </w:hyperlink>
      <w:r>
        <w:t xml:space="preserve">;</w:t>
      </w:r>
      <w:r>
        <w:t xml:space="preserve"> </w:t>
      </w:r>
      <w:hyperlink w:anchor="ref-buren2014b">
        <w:r>
          <w:rPr>
            <w:rStyle w:val="Hyperlink"/>
          </w:rPr>
          <w:t xml:space="preserve">Buren, Koen-Alonso, Pepin, et al., 2014</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compelling narrative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w:t>
      </w:r>
      <w:r>
        <w:t xml:space="preserve">. Since our model utilizes</w:t>
      </w:r>
      <w:r>
        <w:t xml:space="preserve"> </w:t>
      </w:r>
      <w:r>
        <w:rPr>
          <w:iCs/>
          <w:i/>
        </w:rPr>
        <w:t xml:space="preserve">reported</w:t>
      </w:r>
      <w:r>
        <w:t xml:space="preserve"> </w:t>
      </w:r>
      <w:r>
        <w:t xml:space="preserve">fisheries landings, a portion of these losses may be attributed to illegal fishing activity. However, it seems unlikely that the industry had the capacity to extract the amount needed to match the estimated losses. For instance, annual catches in the late 1980s across the Northeast NL Shelf and the Grand Bank totaled ~450 kt while residual losses estimated by the model in the early 1990s was ~1000 kt. The fishing industry would have had to covertly double its efforts to explain the declines. It follows that the decline must at least in part, if not primarily, be due to an unknown environmental driver. This contention is not new</w:t>
      </w:r>
      <w:r>
        <w:t xml:space="preserve"> </w:t>
      </w:r>
      <w:r>
        <w:t xml:space="preserve">(</w:t>
      </w:r>
      <w:hyperlink w:anchor="ref-atkinson1994">
        <w:r>
          <w:rPr>
            <w:rStyle w:val="Hyperlink"/>
          </w:rPr>
          <w:t xml:space="preserve">Atkinson, 1994</w:t>
        </w:r>
      </w:hyperlink>
      <w:r>
        <w:t xml:space="preserve">; see, for example,</w:t>
      </w:r>
      <w:r>
        <w:t xml:space="preserve"> </w:t>
      </w:r>
      <w:hyperlink w:anchor="ref-morgan2002">
        <w:r>
          <w:rPr>
            <w:rStyle w:val="Hyperlink"/>
          </w:rPr>
          <w:t xml:space="preserve">Morgan et al., 2002</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Robertson et al. (</w:t>
      </w:r>
      <w:hyperlink w:anchor="ref-robertson2021">
        <w:r>
          <w:rPr>
            <w:rStyle w:val="Hyperlink"/>
          </w:rPr>
          <w:t xml:space="preserve">2021</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Cs/>
          <w:i/>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Yet, a recent study found no evidence of genetic diversity loss in heavily exploited species like Atlantic cod</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w:t>
      </w:r>
      <w:r>
        <w:t xml:space="preserve">paradox of plankton</w:t>
      </w:r>
      <w:r>
        <w:t xml:space="preserve">”</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through the 1980s.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which implies that the carrying capacity should be higher than estimated by the model presented here.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5"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5"/>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____________. An earlier draft version of the abstract, introduction, and discussion sections were written with the assistance of ChatGPT (March 14, 2023 version).</w:t>
      </w:r>
    </w:p>
    <w:bookmarkEnd w:id="37"/>
    <w:bookmarkStart w:id="99" w:name="references"/>
    <w:p>
      <w:pPr>
        <w:pStyle w:val="Heading1"/>
      </w:pPr>
      <w:r>
        <w:t xml:space="preserve">References</w:t>
      </w:r>
    </w:p>
    <w:bookmarkStart w:id="98" w:name="refs"/>
    <w:bookmarkStart w:id="38" w:name="ref-albertsen2018"/>
    <w:p>
      <w:pPr>
        <w:pStyle w:val="Bibliography"/>
      </w:pPr>
      <w:r>
        <w:t xml:space="preserve">Albertsen, C. M., Nielsen, A., &amp; Thygesen, U. H. (2018). Connecting single-stock assessment models through correlated survival.</w:t>
      </w:r>
      <w:r>
        <w:t xml:space="preserve"> </w:t>
      </w:r>
      <w:r>
        <w:rPr>
          <w:iCs/>
          <w:i/>
        </w:rPr>
        <w:t xml:space="preserve">ICES Journal of Marine Science</w:t>
      </w:r>
      <w:r>
        <w:t xml:space="preserve">,</w:t>
      </w:r>
      <w:r>
        <w:t xml:space="preserve"> </w:t>
      </w:r>
      <w:r>
        <w:rPr>
          <w:iCs/>
          <w:i/>
        </w:rPr>
        <w:t xml:space="preserve">75</w:t>
      </w:r>
      <w:r>
        <w:t xml:space="preserve">(1), 235–244.</w:t>
      </w:r>
    </w:p>
    <w:bookmarkEnd w:id="38"/>
    <w:bookmarkStart w:id="39" w:name="ref-anderson2019"/>
    <w:p>
      <w:pPr>
        <w:pStyle w:val="Bibliography"/>
      </w:pPr>
      <w:r>
        <w:t xml:space="preserve">Anderson, S. C., &amp; Ward, E. J. (2019). Black swans in space: Modeling spatiotemporal processes with extremes.</w:t>
      </w:r>
      <w:r>
        <w:t xml:space="preserve"> </w:t>
      </w:r>
      <w:r>
        <w:rPr>
          <w:iCs/>
          <w:i/>
        </w:rPr>
        <w:t xml:space="preserve">Ecology</w:t>
      </w:r>
      <w:r>
        <w:t xml:space="preserve">,</w:t>
      </w:r>
      <w:r>
        <w:t xml:space="preserve"> </w:t>
      </w:r>
      <w:r>
        <w:rPr>
          <w:iCs/>
          <w:i/>
        </w:rPr>
        <w:t xml:space="preserve">100</w:t>
      </w:r>
      <w:r>
        <w:t xml:space="preserve">(1), e02403.</w:t>
      </w:r>
    </w:p>
    <w:bookmarkEnd w:id="39"/>
    <w:bookmarkStart w:id="40"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Cs/>
          <w:i/>
        </w:rPr>
        <w:t xml:space="preserve">NAFO Sci. Coun. Stud.</w:t>
      </w:r>
      <w:r>
        <w:t xml:space="preserve">,</w:t>
      </w:r>
      <w:r>
        <w:t xml:space="preserve"> </w:t>
      </w:r>
      <w:r>
        <w:rPr>
          <w:iCs/>
          <w:i/>
        </w:rPr>
        <w:t xml:space="preserve">21</w:t>
      </w:r>
      <w:r>
        <w:t xml:space="preserve">, 1–12.</w:t>
      </w:r>
    </w:p>
    <w:bookmarkEnd w:id="40"/>
    <w:bookmarkStart w:id="41" w:name="ref-brown2022"/>
    <w:p>
      <w:pPr>
        <w:pStyle w:val="Bibliography"/>
      </w:pPr>
      <w:r>
        <w:t xml:space="preserve">Brown-Vuillemin, S., Chabot, D., Nozères, C., Tremblay, R., Sirois, P., &amp; Robert, D. (2022). Diet composition of redfish (</w:t>
      </w:r>
      <w:r>
        <w:rPr>
          <w:iCs/>
          <w:i/>
        </w:rPr>
        <w:t xml:space="preserve">S</w:t>
      </w:r>
      <w:r>
        <w:rPr>
          <w:iCs/>
          <w:i/>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Cs/>
          <w:i/>
        </w:rPr>
        <w:t xml:space="preserve">Frontiers in Marine Science</w:t>
      </w:r>
      <w:r>
        <w:t xml:space="preserve">,</w:t>
      </w:r>
      <w:r>
        <w:t xml:space="preserve"> </w:t>
      </w:r>
      <w:r>
        <w:rPr>
          <w:iCs/>
          <w:i/>
        </w:rPr>
        <w:t xml:space="preserve">9</w:t>
      </w:r>
      <w:r>
        <w:t xml:space="preserve">(e963039).</w:t>
      </w:r>
    </w:p>
    <w:bookmarkEnd w:id="41"/>
    <w:bookmarkStart w:id="42"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Cs/>
          <w:i/>
        </w:rPr>
        <w:t xml:space="preserve">Marine Ecology Progress Series</w:t>
      </w:r>
      <w:r>
        <w:t xml:space="preserve">,</w:t>
      </w:r>
      <w:r>
        <w:t xml:space="preserve"> </w:t>
      </w:r>
      <w:r>
        <w:rPr>
          <w:iCs/>
          <w:i/>
        </w:rPr>
        <w:t xml:space="preserve">459</w:t>
      </w:r>
      <w:r>
        <w:t xml:space="preserve">, 203–218.</w:t>
      </w:r>
    </w:p>
    <w:bookmarkEnd w:id="42"/>
    <w:bookmarkStart w:id="43" w:name="ref-buren2014b"/>
    <w:p>
      <w:pPr>
        <w:pStyle w:val="Bibliography"/>
      </w:pPr>
      <w:r>
        <w:t xml:space="preserve">Buren, A. D., Koen-Alonso, M., Pepin, P., Mowbray, F., Nakashima, B., Stenson, G., Ollerhead, N., &amp; Montevecchi, W. A. (2014). Bottom-up regulation of capelin, a keystone forage species.</w:t>
      </w:r>
      <w:r>
        <w:t xml:space="preserve"> </w:t>
      </w:r>
      <w:r>
        <w:rPr>
          <w:iCs/>
          <w:i/>
        </w:rPr>
        <w:t xml:space="preserve">PLoS One</w:t>
      </w:r>
      <w:r>
        <w:t xml:space="preserve">,</w:t>
      </w:r>
      <w:r>
        <w:t xml:space="preserve"> </w:t>
      </w:r>
      <w:r>
        <w:rPr>
          <w:iCs/>
          <w:i/>
        </w:rPr>
        <w:t xml:space="preserve">9</w:t>
      </w:r>
      <w:r>
        <w:t xml:space="preserve">(2), e87589.</w:t>
      </w:r>
    </w:p>
    <w:bookmarkEnd w:id="43"/>
    <w:bookmarkStart w:id="44" w:name="ref-buren2014a"/>
    <w:p>
      <w:pPr>
        <w:pStyle w:val="Bibliography"/>
      </w:pPr>
      <w:r>
        <w:t xml:space="preserve">Buren, A. D., Koen-Alonso, M., &amp; Stenson, G. B. (2014). The role of harp seals, fisheries and food availability in driving the dynamics of northern cod.</w:t>
      </w:r>
      <w:r>
        <w:t xml:space="preserve"> </w:t>
      </w:r>
      <w:r>
        <w:rPr>
          <w:iCs/>
          <w:i/>
        </w:rPr>
        <w:t xml:space="preserve">Marine Ecology Progress Series</w:t>
      </w:r>
      <w:r>
        <w:t xml:space="preserve">,</w:t>
      </w:r>
      <w:r>
        <w:t xml:space="preserve"> </w:t>
      </w:r>
      <w:r>
        <w:rPr>
          <w:iCs/>
          <w:i/>
        </w:rPr>
        <w:t xml:space="preserve">511</w:t>
      </w:r>
      <w:r>
        <w:t xml:space="preserve">, 265–284.</w:t>
      </w:r>
    </w:p>
    <w:bookmarkEnd w:id="44"/>
    <w:bookmarkStart w:id="45"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45"/>
    <w:bookmarkStart w:id="46"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79</w:t>
      </w:r>
      <w:r>
        <w:t xml:space="preserve">(9), 1572–1589.</w:t>
      </w:r>
    </w:p>
    <w:bookmarkEnd w:id="46"/>
    <w:bookmarkStart w:id="47"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7"/>
    <w:bookmarkStart w:id="48" w:name="ref-chapman2018"/>
    <w:p>
      <w:pPr>
        <w:pStyle w:val="Bibliography"/>
      </w:pPr>
      <w:r>
        <w:t xml:space="preserve">Chapman, E. J., &amp; Byron, C. J. (2018). The flexible application of carrying capacity in ecology.</w:t>
      </w:r>
      <w:r>
        <w:t xml:space="preserve"> </w:t>
      </w:r>
      <w:r>
        <w:rPr>
          <w:iCs/>
          <w:i/>
        </w:rPr>
        <w:t xml:space="preserve">Global Ecology and Conservation</w:t>
      </w:r>
      <w:r>
        <w:t xml:space="preserve">,</w:t>
      </w:r>
      <w:r>
        <w:t xml:space="preserve"> </w:t>
      </w:r>
      <w:r>
        <w:rPr>
          <w:iCs/>
          <w:i/>
        </w:rPr>
        <w:t xml:space="preserve">13</w:t>
      </w:r>
      <w:r>
        <w:t xml:space="preserve">, e00365.</w:t>
      </w:r>
    </w:p>
    <w:bookmarkEnd w:id="48"/>
    <w:bookmarkStart w:id="49"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Cs/>
          <w:i/>
        </w:rPr>
        <w:t xml:space="preserve">Marine Ecology Progress Series</w:t>
      </w:r>
      <w:r>
        <w:t xml:space="preserve">,</w:t>
      </w:r>
      <w:r>
        <w:t xml:space="preserve"> </w:t>
      </w:r>
      <w:r>
        <w:rPr>
          <w:iCs/>
          <w:i/>
        </w:rPr>
        <w:t xml:space="preserve">469</w:t>
      </w:r>
      <w:r>
        <w:t xml:space="preserve">, 233–248.</w:t>
      </w:r>
    </w:p>
    <w:bookmarkEnd w:id="49"/>
    <w:bookmarkStart w:id="50" w:name="ref-del2004"/>
    <w:p>
      <w:pPr>
        <w:pStyle w:val="Bibliography"/>
      </w:pPr>
      <w:r>
        <w:t xml:space="preserve">Del Monte-Luna, P., Brook, B. W., Zetina-Rejón, M. J., &amp; Cruz-Escalona, V. H. (2004). The carrying capacity of ecosystems.</w:t>
      </w:r>
      <w:r>
        <w:t xml:space="preserve"> </w:t>
      </w:r>
      <w:r>
        <w:rPr>
          <w:iCs/>
          <w:i/>
        </w:rPr>
        <w:t xml:space="preserve">Global Ecology and Biogeography</w:t>
      </w:r>
      <w:r>
        <w:t xml:space="preserve">,</w:t>
      </w:r>
      <w:r>
        <w:t xml:space="preserve"> </w:t>
      </w:r>
      <w:r>
        <w:rPr>
          <w:iCs/>
          <w:i/>
        </w:rPr>
        <w:t xml:space="preserve">13</w:t>
      </w:r>
      <w:r>
        <w:t xml:space="preserve">(6), 485–495.</w:t>
      </w:r>
    </w:p>
    <w:bookmarkEnd w:id="50"/>
    <w:bookmarkStart w:id="51" w:name="ref-fogarty2012"/>
    <w:p>
      <w:pPr>
        <w:pStyle w:val="Bibliography"/>
      </w:pPr>
      <w:r>
        <w:t xml:space="preserve">Fogarty, M., Overholtz, W., &amp; Link, J. (2012). Aggregate surplus production models for demersal fishery resources of the gulf of maine.</w:t>
      </w:r>
      <w:r>
        <w:t xml:space="preserve"> </w:t>
      </w:r>
      <w:r>
        <w:rPr>
          <w:iCs/>
          <w:i/>
        </w:rPr>
        <w:t xml:space="preserve">Marine Ecology Progress Series</w:t>
      </w:r>
      <w:r>
        <w:t xml:space="preserve">,</w:t>
      </w:r>
      <w:r>
        <w:t xml:space="preserve"> </w:t>
      </w:r>
      <w:r>
        <w:rPr>
          <w:iCs/>
          <w:i/>
        </w:rPr>
        <w:t xml:space="preserve">459</w:t>
      </w:r>
      <w:r>
        <w:t xml:space="preserve">, 247–258.</w:t>
      </w:r>
    </w:p>
    <w:bookmarkEnd w:id="51"/>
    <w:bookmarkStart w:id="52"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52"/>
    <w:bookmarkStart w:id="53" w:name="ref-fulton2011"/>
    <w:p>
      <w:pPr>
        <w:pStyle w:val="Bibliography"/>
      </w:pPr>
      <w:r>
        <w:t xml:space="preserve">Fulton, E. A., Link, J. S., Kaplan, I. C., Savina-Rolland, M., Johnson, P., Ainsworth, C., Horne, P., Gorton, R., Gamble, R. J., Smith, A. D., et al. (2011). Lessons in modelling and management of marine ecosystems: The atlantis experience.</w:t>
      </w:r>
      <w:r>
        <w:t xml:space="preserve"> </w:t>
      </w:r>
      <w:r>
        <w:rPr>
          <w:iCs/>
          <w:i/>
        </w:rPr>
        <w:t xml:space="preserve">Fish and Fisheries</w:t>
      </w:r>
      <w:r>
        <w:t xml:space="preserve">,</w:t>
      </w:r>
      <w:r>
        <w:t xml:space="preserve"> </w:t>
      </w:r>
      <w:r>
        <w:rPr>
          <w:iCs/>
          <w:i/>
        </w:rPr>
        <w:t xml:space="preserve">12</w:t>
      </w:r>
      <w:r>
        <w:t xml:space="preserve">(2), 171–188.</w:t>
      </w:r>
    </w:p>
    <w:bookmarkEnd w:id="53"/>
    <w:bookmarkStart w:id="54"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Cs/>
          <w:i/>
        </w:rPr>
        <w:t xml:space="preserve">Ecological Modelling</w:t>
      </w:r>
      <w:r>
        <w:t xml:space="preserve">,</w:t>
      </w:r>
      <w:r>
        <w:t xml:space="preserve"> </w:t>
      </w:r>
      <w:r>
        <w:rPr>
          <w:iCs/>
          <w:i/>
        </w:rPr>
        <w:t xml:space="preserve">220</w:t>
      </w:r>
      <w:r>
        <w:t xml:space="preserve">(19), 2570–2582.</w:t>
      </w:r>
    </w:p>
    <w:bookmarkEnd w:id="54"/>
    <w:bookmarkStart w:id="55"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Cs/>
          <w:i/>
        </w:rPr>
        <w:t xml:space="preserve">Fisheries Oceanography</w:t>
      </w:r>
      <w:r>
        <w:t xml:space="preserve">,</w:t>
      </w:r>
      <w:r>
        <w:t xml:space="preserve"> </w:t>
      </w:r>
      <w:r>
        <w:rPr>
          <w:iCs/>
          <w:i/>
        </w:rPr>
        <w:t xml:space="preserve">4</w:t>
      </w:r>
      <w:r>
        <w:t xml:space="preserve">(2), 85–101.</w:t>
      </w:r>
    </w:p>
    <w:bookmarkEnd w:id="55"/>
    <w:bookmarkStart w:id="56" w:name="ref-hilborn1995"/>
    <w:p>
      <w:pPr>
        <w:pStyle w:val="Bibliography"/>
      </w:pPr>
      <w:r>
        <w:t xml:space="preserve">Hilborn, R., Walters, C. J., &amp; Ludwig, D. (1995). Sustainable exploitation of renewable resources.</w:t>
      </w:r>
      <w:r>
        <w:t xml:space="preserve"> </w:t>
      </w:r>
      <w:r>
        <w:rPr>
          <w:iCs/>
          <w:i/>
        </w:rPr>
        <w:t xml:space="preserve">Annual Review of Ecology and Systematics</w:t>
      </w:r>
      <w:r>
        <w:t xml:space="preserve">,</w:t>
      </w:r>
      <w:r>
        <w:t xml:space="preserve"> </w:t>
      </w:r>
      <w:r>
        <w:rPr>
          <w:iCs/>
          <w:i/>
        </w:rPr>
        <w:t xml:space="preserve">26</w:t>
      </w:r>
      <w:r>
        <w:t xml:space="preserve">(1), 45–67.</w:t>
      </w:r>
    </w:p>
    <w:bookmarkEnd w:id="56"/>
    <w:bookmarkStart w:id="57" w:name="ref-hutchings1996"/>
    <w:p>
      <w:pPr>
        <w:pStyle w:val="Bibliography"/>
      </w:pPr>
      <w:r>
        <w:t xml:space="preserve">Hutchings, J. A. (1996). Spatial and temporal variation in the density of northern cod and a review of hypotheses for the stock’s collapse.</w:t>
      </w:r>
      <w:r>
        <w:t xml:space="preserve"> </w:t>
      </w:r>
      <w:r>
        <w:rPr>
          <w:iCs/>
          <w:i/>
        </w:rPr>
        <w:t xml:space="preserve">Canadian Journal of Fisheries and Aquatic Sciences</w:t>
      </w:r>
      <w:r>
        <w:t xml:space="preserve">,</w:t>
      </w:r>
      <w:r>
        <w:t xml:space="preserve"> </w:t>
      </w:r>
      <w:r>
        <w:rPr>
          <w:iCs/>
          <w:i/>
        </w:rPr>
        <w:t xml:space="preserve">53</w:t>
      </w:r>
      <w:r>
        <w:t xml:space="preserve">(5), 943–962.</w:t>
      </w:r>
    </w:p>
    <w:bookmarkEnd w:id="57"/>
    <w:bookmarkStart w:id="58"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58"/>
    <w:bookmarkStart w:id="59"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59"/>
    <w:bookmarkStart w:id="60" w:name="ref-koen2021"/>
    <w:p>
      <w:pPr>
        <w:pStyle w:val="Bibliography"/>
      </w:pPr>
      <w:r>
        <w:t xml:space="preserve">Koen-Alonso, M., Lindstrøm, U., &amp; Cuff, A. (2021). Comparative modeling of cod-capelin dynamics in the newfoundland-labrador shelves and barents sea ecosystems.</w:t>
      </w:r>
      <w:r>
        <w:t xml:space="preserve"> </w:t>
      </w:r>
      <w:r>
        <w:rPr>
          <w:iCs/>
          <w:i/>
        </w:rPr>
        <w:t xml:space="preserve">Frontiers in Marine Science</w:t>
      </w:r>
      <w:r>
        <w:t xml:space="preserve">,</w:t>
      </w:r>
      <w:r>
        <w:t xml:space="preserve"> </w:t>
      </w:r>
      <w:r>
        <w:rPr>
          <w:iCs/>
          <w:i/>
        </w:rPr>
        <w:t xml:space="preserve">8</w:t>
      </w:r>
      <w:r>
        <w:t xml:space="preserve">, 579946.</w:t>
      </w:r>
    </w:p>
    <w:bookmarkEnd w:id="60"/>
    <w:bookmarkStart w:id="62"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61">
        <w:r>
          <w:rPr>
            <w:rStyle w:val="Hyperlink"/>
          </w:rPr>
          <w:t xml:space="preserve">https://doi.org/10.18637/jss.v070.i05</w:t>
        </w:r>
      </w:hyperlink>
    </w:p>
    <w:bookmarkEnd w:id="62"/>
    <w:bookmarkStart w:id="63" w:name="ref-latour2003"/>
    <w:p>
      <w:pPr>
        <w:pStyle w:val="Bibliography"/>
      </w:pPr>
      <w:r>
        <w:t xml:space="preserve">Latour, R. J., Brush, M. J., &amp; Bonzek, C. F. (2003). Toward ecosystem-based fisheries management: Strategies for multispecies modeling and associated data requirements.</w:t>
      </w:r>
      <w:r>
        <w:t xml:space="preserve"> </w:t>
      </w:r>
      <w:r>
        <w:rPr>
          <w:iCs/>
          <w:i/>
        </w:rPr>
        <w:t xml:space="preserve">Fisheries</w:t>
      </w:r>
      <w:r>
        <w:t xml:space="preserve">,</w:t>
      </w:r>
      <w:r>
        <w:t xml:space="preserve"> </w:t>
      </w:r>
      <w:r>
        <w:rPr>
          <w:iCs/>
          <w:i/>
        </w:rPr>
        <w:t xml:space="preserve">28</w:t>
      </w:r>
      <w:r>
        <w:t xml:space="preserve">(9), 10–22.</w:t>
      </w:r>
    </w:p>
    <w:bookmarkEnd w:id="63"/>
    <w:bookmarkStart w:id="64"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64"/>
    <w:bookmarkStart w:id="65"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65"/>
    <w:bookmarkStart w:id="66" w:name="ref-link2019"/>
    <w:p>
      <w:pPr>
        <w:pStyle w:val="Bibliography"/>
      </w:pPr>
      <w:r>
        <w:t xml:space="preserve">Link, J., &amp; Sherwood, G. (2019). Feeding, growth, and trophic ecology. In G. A. Rose (Ed.),</w:t>
      </w:r>
      <w:r>
        <w:t xml:space="preserve"> </w:t>
      </w:r>
      <w:r>
        <w:rPr>
          <w:iCs/>
          <w:i/>
        </w:rPr>
        <w:t xml:space="preserve">Atlantic cod: A bio-ecology</w:t>
      </w:r>
      <w:r>
        <w:t xml:space="preserve"> </w:t>
      </w:r>
      <w:r>
        <w:t xml:space="preserve">(pp. 219–286). John Wiley &amp; Sons.</w:t>
      </w:r>
    </w:p>
    <w:bookmarkEnd w:id="66"/>
    <w:bookmarkStart w:id="67" w:name="ref-lotka1925"/>
    <w:p>
      <w:pPr>
        <w:pStyle w:val="Bibliography"/>
      </w:pPr>
      <w:r>
        <w:t xml:space="preserve">Lotka, A. J. (1925).</w:t>
      </w:r>
      <w:r>
        <w:t xml:space="preserve"> </w:t>
      </w:r>
      <w:r>
        <w:rPr>
          <w:iCs/>
          <w:i/>
        </w:rPr>
        <w:t xml:space="preserve">Elements of physical biology</w:t>
      </w:r>
      <w:r>
        <w:t xml:space="preserve">. Williams &amp; Wilkins.</w:t>
      </w:r>
    </w:p>
    <w:bookmarkEnd w:id="67"/>
    <w:bookmarkStart w:id="68" w:name="ref-millar2000"/>
    <w:p>
      <w:pPr>
        <w:pStyle w:val="Bibliography"/>
      </w:pPr>
      <w:r>
        <w:t xml:space="preserve">Millar, R. B., &amp; Meyer, R. (2000). Non-linear state space modelling of fisheries biomass dynamics by using metropolis-hastings within-gibbs sampling.</w:t>
      </w:r>
      <w:r>
        <w:t xml:space="preserve"> </w:t>
      </w:r>
      <w:r>
        <w:rPr>
          <w:iCs/>
          <w:i/>
        </w:rPr>
        <w:t xml:space="preserve">Journal of the Royal Statistical Society: Series C (Applied Statistics)</w:t>
      </w:r>
      <w:r>
        <w:t xml:space="preserve">,</w:t>
      </w:r>
      <w:r>
        <w:t xml:space="preserve"> </w:t>
      </w:r>
      <w:r>
        <w:rPr>
          <w:iCs/>
          <w:i/>
        </w:rPr>
        <w:t xml:space="preserve">49</w:t>
      </w:r>
      <w:r>
        <w:t xml:space="preserve">(3), 327–342.</w:t>
      </w:r>
    </w:p>
    <w:bookmarkEnd w:id="68"/>
    <w:bookmarkStart w:id="69" w:name="ref-montevecchi1997"/>
    <w:p>
      <w:pPr>
        <w:pStyle w:val="Bibliography"/>
      </w:pPr>
      <w:r>
        <w:t xml:space="preserve">Montevecchi, W., &amp; Myers, R. (1997). Centurial and decadal oceanographic influences on changes in northern gannet populations and diets in the north-west atlantic: Implications for climate change.</w:t>
      </w:r>
      <w:r>
        <w:t xml:space="preserve"> </w:t>
      </w:r>
      <w:r>
        <w:rPr>
          <w:iCs/>
          <w:i/>
        </w:rPr>
        <w:t xml:space="preserve">ICES Journal of Marine Science</w:t>
      </w:r>
      <w:r>
        <w:t xml:space="preserve">,</w:t>
      </w:r>
      <w:r>
        <w:t xml:space="preserve"> </w:t>
      </w:r>
      <w:r>
        <w:rPr>
          <w:iCs/>
          <w:i/>
        </w:rPr>
        <w:t xml:space="preserve">54</w:t>
      </w:r>
      <w:r>
        <w:t xml:space="preserve">(4), 608–614.</w:t>
      </w:r>
    </w:p>
    <w:bookmarkEnd w:id="69"/>
    <w:bookmarkStart w:id="70" w:name="ref-morgan2002"/>
    <w:p>
      <w:pPr>
        <w:pStyle w:val="Bibliography"/>
      </w:pPr>
      <w:r>
        <w:t xml:space="preserve">Morgan, M., Brodie, W., &amp; Kulka, D. (2002). Was over-exploitation the cause of the decline of the american plaice stock off labrador and northeast newfoundland?</w:t>
      </w:r>
      <w:r>
        <w:t xml:space="preserve"> </w:t>
      </w:r>
      <w:r>
        <w:rPr>
          <w:iCs/>
          <w:i/>
        </w:rPr>
        <w:t xml:space="preserve">Fisheries Research</w:t>
      </w:r>
      <w:r>
        <w:t xml:space="preserve">,</w:t>
      </w:r>
      <w:r>
        <w:t xml:space="preserve"> </w:t>
      </w:r>
      <w:r>
        <w:rPr>
          <w:iCs/>
          <w:i/>
        </w:rPr>
        <w:t xml:space="preserve">57</w:t>
      </w:r>
      <w:r>
        <w:t xml:space="preserve">(1), 39–49.</w:t>
      </w:r>
    </w:p>
    <w:bookmarkEnd w:id="70"/>
    <w:bookmarkStart w:id="71" w:name="ref-mueter2006"/>
    <w:p>
      <w:pPr>
        <w:pStyle w:val="Bibliography"/>
      </w:pPr>
      <w:r>
        <w:t xml:space="preserve">Mueter, F. J., &amp; Megrey, B. A. (2006). Using multi-species surplus production models to estimate ecosystem-level maximum sustainable yields.</w:t>
      </w:r>
      <w:r>
        <w:t xml:space="preserve"> </w:t>
      </w:r>
      <w:r>
        <w:rPr>
          <w:iCs/>
          <w:i/>
        </w:rPr>
        <w:t xml:space="preserve">Fisheries Research</w:t>
      </w:r>
      <w:r>
        <w:t xml:space="preserve">,</w:t>
      </w:r>
      <w:r>
        <w:t xml:space="preserve"> </w:t>
      </w:r>
      <w:r>
        <w:rPr>
          <w:iCs/>
          <w:i/>
        </w:rPr>
        <w:t xml:space="preserve">81</w:t>
      </w:r>
      <w:r>
        <w:t xml:space="preserve">(2-3), 189–201.</w:t>
      </w:r>
    </w:p>
    <w:bookmarkEnd w:id="71"/>
    <w:bookmarkStart w:id="72" w:name="ref-mullowney2014"/>
    <w:p>
      <w:pPr>
        <w:pStyle w:val="Bibliography"/>
      </w:pPr>
      <w:r>
        <w:t xml:space="preserve">Mullowney, D. R., &amp; Rose, G. A. (2014). Is recovery of northern cod limited by poor feeding? The capelin hypothesis revisited.</w:t>
      </w:r>
      <w:r>
        <w:t xml:space="preserve"> </w:t>
      </w:r>
      <w:r>
        <w:rPr>
          <w:iCs/>
          <w:i/>
        </w:rPr>
        <w:t xml:space="preserve">ICES Journal of Marine Science</w:t>
      </w:r>
      <w:r>
        <w:t xml:space="preserve">,</w:t>
      </w:r>
      <w:r>
        <w:t xml:space="preserve"> </w:t>
      </w:r>
      <w:r>
        <w:rPr>
          <w:iCs/>
          <w:i/>
        </w:rPr>
        <w:t xml:space="preserve">71</w:t>
      </w:r>
      <w:r>
        <w:t xml:space="preserve">(4), 784–793.</w:t>
      </w:r>
    </w:p>
    <w:bookmarkEnd w:id="72"/>
    <w:bookmarkStart w:id="74"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73">
        <w:r>
          <w:rPr>
            <w:rStyle w:val="Hyperlink"/>
          </w:rPr>
          <w:t xml:space="preserve">https://www.nafo.int/Portals/0/PDFs/sc/2019/scs19-20.pdf</w:t>
        </w:r>
      </w:hyperlink>
    </w:p>
    <w:bookmarkEnd w:id="74"/>
    <w:bookmarkStart w:id="75" w:name="ref-pauly2021"/>
    <w:p>
      <w:pPr>
        <w:pStyle w:val="Bibliography"/>
      </w:pPr>
      <w:r>
        <w:t xml:space="preserve">Pauly, D., &amp; Froese, R. (2021). MSY needs no epitaph—but it was abused.</w:t>
      </w:r>
      <w:r>
        <w:t xml:space="preserve"> </w:t>
      </w:r>
      <w:r>
        <w:rPr>
          <w:iCs/>
          <w:i/>
        </w:rPr>
        <w:t xml:space="preserve">ICES Journal of Marine Science</w:t>
      </w:r>
      <w:r>
        <w:t xml:space="preserve">,</w:t>
      </w:r>
      <w:r>
        <w:t xml:space="preserve"> </w:t>
      </w:r>
      <w:r>
        <w:rPr>
          <w:iCs/>
          <w:i/>
        </w:rPr>
        <w:t xml:space="preserve">78</w:t>
      </w:r>
      <w:r>
        <w:t xml:space="preserve">(6), 2204–2210.</w:t>
      </w:r>
    </w:p>
    <w:bookmarkEnd w:id="75"/>
    <w:bookmarkStart w:id="76"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76"/>
    <w:bookmarkStart w:id="77"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77"/>
    <w:bookmarkStart w:id="78" w:name="ref-pikitch2004"/>
    <w:p>
      <w:pPr>
        <w:pStyle w:val="Bibliography"/>
      </w:pPr>
      <w:r>
        <w:t xml:space="preserve">Pikitch, E. K., Santora, C., Babcock, E. A., Bakun, A., Bonfil, R., Conover, D. O., Dayton, P., Doukakis, P., Fluharty, D., Heneman, B., et al. (2004). Ecosystem-based fishery management. In</w:t>
      </w:r>
      <w:r>
        <w:t xml:space="preserve"> </w:t>
      </w:r>
      <w:r>
        <w:rPr>
          <w:iCs/>
          <w:i/>
        </w:rPr>
        <w:t xml:space="preserve">Science</w:t>
      </w:r>
      <w:r>
        <w:t xml:space="preserve"> </w:t>
      </w:r>
      <w:r>
        <w:t xml:space="preserve">(5682; Vol. 305, pp. 346–347). American Association for the Advancement of Science.</w:t>
      </w:r>
    </w:p>
    <w:bookmarkEnd w:id="78"/>
    <w:bookmarkStart w:id="79"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Cs/>
          <w:i/>
        </w:rPr>
        <w:t xml:space="preserve">Proceedings of the National Academy of Sciences</w:t>
      </w:r>
      <w:r>
        <w:t xml:space="preserve">,</w:t>
      </w:r>
      <w:r>
        <w:t xml:space="preserve"> </w:t>
      </w:r>
      <w:r>
        <w:rPr>
          <w:iCs/>
          <w:i/>
        </w:rPr>
        <w:t xml:space="preserve">118</w:t>
      </w:r>
      <w:r>
        <w:t xml:space="preserve">(15), e2025453118.</w:t>
      </w:r>
    </w:p>
    <w:bookmarkEnd w:id="79"/>
    <w:bookmarkStart w:id="81"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ular2022"/>
    <w:p>
      <w:pPr>
        <w:pStyle w:val="Bibliography"/>
      </w:pPr>
      <w:r>
        <w:t xml:space="preserve">Regular, P. M., Buren, A. D., Dwyer, K. S., Cadigan, N. G., Gregory, R. S., Koen-Alonso, M., Rideout, R. M., Robertson, G. J., Robertson, M. D., Stenson, G. B., Wheeland, L. J., &amp; Zhang, F. (2022).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82">
        <w:r>
          <w:rPr>
            <w:rStyle w:val="Hyperlink"/>
          </w:rPr>
          <w:t xml:space="preserve">https://doi.org/10.1016/j.fishres.2021.106180</w:t>
        </w:r>
      </w:hyperlink>
    </w:p>
    <w:bookmarkEnd w:id="83"/>
    <w:bookmarkStart w:id="84" w:name="ref-robertson2021"/>
    <w:p>
      <w:pPr>
        <w:pStyle w:val="Bibliography"/>
      </w:pPr>
      <w:r>
        <w:t xml:space="preserve">Robertson, M., Gao, J., Regular, P., Morgan, M., &amp; Zhang, F. (2021). Lagged recovery of fish spatial distributions following a cold-water perturbation.</w:t>
      </w:r>
      <w:r>
        <w:t xml:space="preserve"> </w:t>
      </w:r>
      <w:r>
        <w:rPr>
          <w:iCs/>
          <w:i/>
        </w:rPr>
        <w:t xml:space="preserve">Scientific Reports</w:t>
      </w:r>
      <w:r>
        <w:t xml:space="preserve">,</w:t>
      </w:r>
      <w:r>
        <w:t xml:space="preserve"> </w:t>
      </w:r>
      <w:r>
        <w:rPr>
          <w:iCs/>
          <w:i/>
        </w:rPr>
        <w:t xml:space="preserve">11</w:t>
      </w:r>
      <w:r>
        <w:t xml:space="preserve">(1), 9513.</w:t>
      </w:r>
    </w:p>
    <w:bookmarkEnd w:id="84"/>
    <w:bookmarkStart w:id="85" w:name="ref-rose2004"/>
    <w:p>
      <w:pPr>
        <w:pStyle w:val="Bibliography"/>
      </w:pPr>
      <w:r>
        <w:t xml:space="preserve">Rose, G. (2004). Reconciling overfishing and climate change with stock dynamics of</w:t>
      </w:r>
      <w:r>
        <w:t xml:space="preserve"> </w:t>
      </w:r>
      <w:r>
        <w:t xml:space="preserve">A</w:t>
      </w:r>
      <w:r>
        <w:t xml:space="preserve">tlantic cod (</w:t>
      </w:r>
      <w:r>
        <w:rPr>
          <w:iCs/>
          <w:i/>
        </w:rPr>
        <w:t xml:space="preserve">G</w:t>
      </w:r>
      <w:r>
        <w:rPr>
          <w:iCs/>
          <w:i/>
        </w:rPr>
        <w:t xml:space="preserve">adus morhua</w:t>
      </w:r>
      <w:r>
        <w:t xml:space="preserve">) over 500 years.</w:t>
      </w:r>
      <w:r>
        <w:t xml:space="preserve"> </w:t>
      </w:r>
      <w:r>
        <w:rPr>
          <w:iCs/>
          <w:i/>
        </w:rPr>
        <w:t xml:space="preserve">Canadian Journal of Fisheries and Aquatic Sciences</w:t>
      </w:r>
      <w:r>
        <w:t xml:space="preserve">,</w:t>
      </w:r>
      <w:r>
        <w:t xml:space="preserve"> </w:t>
      </w:r>
      <w:r>
        <w:rPr>
          <w:iCs/>
          <w:i/>
        </w:rPr>
        <w:t xml:space="preserve">61</w:t>
      </w:r>
      <w:r>
        <w:t xml:space="preserve">(9), 1553–1557.</w:t>
      </w:r>
    </w:p>
    <w:bookmarkEnd w:id="85"/>
    <w:bookmarkStart w:id="86" w:name="ref-rose2000"/>
    <w:p>
      <w:pPr>
        <w:pStyle w:val="Bibliography"/>
      </w:pPr>
      <w:r>
        <w:t xml:space="preserve">Rose, G., DeYoung, B., Kulka, D., Goddard, S., &amp; Fletcher, G. (2000). Distribution shifts and overfishing the northern cod (</w:t>
      </w:r>
      <w:r>
        <w:rPr>
          <w:iCs/>
          <w:i/>
        </w:rPr>
        <w:t xml:space="preserve">gadus morhua</w:t>
      </w:r>
      <w:r>
        <w:t xml:space="preserve">): A view from the ocean.</w:t>
      </w:r>
      <w:r>
        <w:t xml:space="preserve"> </w:t>
      </w:r>
      <w:r>
        <w:rPr>
          <w:iCs/>
          <w:i/>
        </w:rPr>
        <w:t xml:space="preserve">Canadian Journal of Fisheries and Aquatic Sciences</w:t>
      </w:r>
      <w:r>
        <w:t xml:space="preserve">,</w:t>
      </w:r>
      <w:r>
        <w:t xml:space="preserve"> </w:t>
      </w:r>
      <w:r>
        <w:rPr>
          <w:iCs/>
          <w:i/>
        </w:rPr>
        <w:t xml:space="preserve">57</w:t>
      </w:r>
      <w:r>
        <w:t xml:space="preserve">(3), 644–663.</w:t>
      </w:r>
    </w:p>
    <w:bookmarkEnd w:id="86"/>
    <w:bookmarkStart w:id="87"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87"/>
    <w:bookmarkStart w:id="88"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Cs/>
          <w:i/>
        </w:rPr>
        <w:t xml:space="preserve">Science</w:t>
      </w:r>
      <w:r>
        <w:t xml:space="preserve">,</w:t>
      </w:r>
      <w:r>
        <w:t xml:space="preserve"> </w:t>
      </w:r>
      <w:r>
        <w:rPr>
          <w:iCs/>
          <w:i/>
        </w:rPr>
        <w:t xml:space="preserve">347</w:t>
      </w:r>
      <w:r>
        <w:t xml:space="preserve">(6228), 1317–1319.</w:t>
      </w:r>
    </w:p>
    <w:bookmarkEnd w:id="88"/>
    <w:bookmarkStart w:id="89" w:name="ref-scheffer2003"/>
    <w:p>
      <w:pPr>
        <w:pStyle w:val="Bibliography"/>
      </w:pPr>
      <w:r>
        <w:t xml:space="preserve">Scheffer, M., Rinaldi, S., Huisman, J., &amp; Weissing, F. J. (2003). Why plankton communities have no equilibrium: Solutions to the paradox.</w:t>
      </w:r>
      <w:r>
        <w:t xml:space="preserve"> </w:t>
      </w:r>
      <w:r>
        <w:rPr>
          <w:iCs/>
          <w:i/>
        </w:rPr>
        <w:t xml:space="preserve">Hydrobiologia</w:t>
      </w:r>
      <w:r>
        <w:t xml:space="preserve">,</w:t>
      </w:r>
      <w:r>
        <w:t xml:space="preserve"> </w:t>
      </w:r>
      <w:r>
        <w:rPr>
          <w:iCs/>
          <w:i/>
        </w:rPr>
        <w:t xml:space="preserve">491</w:t>
      </w:r>
      <w:r>
        <w:t xml:space="preserve">, 9–18.</w:t>
      </w:r>
    </w:p>
    <w:bookmarkEnd w:id="89"/>
    <w:bookmarkStart w:id="90" w:name="ref-schijns2021"/>
    <w:p>
      <w:pPr>
        <w:pStyle w:val="Bibliography"/>
      </w:pPr>
      <w:r>
        <w:t xml:space="preserve">Schijns, R., Froese, R., Hutchings, J. A., &amp; Pauly, D. (2021). Five centuries of cod catches in eastern canada.</w:t>
      </w:r>
      <w:r>
        <w:t xml:space="preserve"> </w:t>
      </w:r>
      <w:r>
        <w:rPr>
          <w:iCs/>
          <w:i/>
        </w:rPr>
        <w:t xml:space="preserve">ICES Journal of Marine Science</w:t>
      </w:r>
      <w:r>
        <w:t xml:space="preserve">,</w:t>
      </w:r>
      <w:r>
        <w:t xml:space="preserve"> </w:t>
      </w:r>
      <w:r>
        <w:rPr>
          <w:iCs/>
          <w:i/>
        </w:rPr>
        <w:t xml:space="preserve">78</w:t>
      </w:r>
      <w:r>
        <w:t xml:space="preserve">(8), 2675–2683.</w:t>
      </w:r>
    </w:p>
    <w:bookmarkEnd w:id="90"/>
    <w:bookmarkStart w:id="91"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Cs/>
          <w:i/>
        </w:rPr>
        <w:t xml:space="preserve">Nature</w:t>
      </w:r>
      <w:r>
        <w:t xml:space="preserve">,</w:t>
      </w:r>
      <w:r>
        <w:t xml:space="preserve"> </w:t>
      </w:r>
      <w:r>
        <w:rPr>
          <w:iCs/>
          <w:i/>
        </w:rPr>
        <w:t xml:space="preserve">465</w:t>
      </w:r>
      <w:r>
        <w:t xml:space="preserve">(7298), 609–612.</w:t>
      </w:r>
    </w:p>
    <w:bookmarkEnd w:id="91"/>
    <w:bookmarkStart w:id="92"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92"/>
    <w:bookmarkStart w:id="93" w:name="ref-templeman1962"/>
    <w:p>
      <w:pPr>
        <w:pStyle w:val="Bibliography"/>
      </w:pPr>
      <w:r>
        <w:t xml:space="preserve">Templeman, W. (1962). Divisions of cod stocks in the northwest atlantic.</w:t>
      </w:r>
      <w:r>
        <w:t xml:space="preserve"> </w:t>
      </w:r>
      <w:r>
        <w:rPr>
          <w:iCs/>
          <w:i/>
        </w:rPr>
        <w:t xml:space="preserve">ICNAF Redbook</w:t>
      </w:r>
      <w:r>
        <w:t xml:space="preserve">,</w:t>
      </w:r>
      <w:r>
        <w:t xml:space="preserve"> </w:t>
      </w:r>
      <w:r>
        <w:rPr>
          <w:iCs/>
          <w:i/>
        </w:rPr>
        <w:t xml:space="preserve">3</w:t>
      </w:r>
      <w:r>
        <w:t xml:space="preserve">, 79–123.</w:t>
      </w:r>
    </w:p>
    <w:bookmarkEnd w:id="93"/>
    <w:bookmarkStart w:id="94"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94"/>
    <w:bookmarkStart w:id="95" w:name="ref-volterra1926"/>
    <w:p>
      <w:pPr>
        <w:pStyle w:val="Bibliography"/>
      </w:pPr>
      <w:r>
        <w:t xml:space="preserve">Volterra, V. (1926). Fluctuations in the abundance of a species considered mathematically.</w:t>
      </w:r>
      <w:r>
        <w:t xml:space="preserve"> </w:t>
      </w:r>
      <w:r>
        <w:rPr>
          <w:iCs/>
          <w:i/>
        </w:rPr>
        <w:t xml:space="preserve">Nature</w:t>
      </w:r>
      <w:r>
        <w:t xml:space="preserve">,</w:t>
      </w:r>
      <w:r>
        <w:t xml:space="preserve"> </w:t>
      </w:r>
      <w:r>
        <w:rPr>
          <w:iCs/>
          <w:i/>
        </w:rPr>
        <w:t xml:space="preserve">118</w:t>
      </w:r>
      <w:r>
        <w:t xml:space="preserve">(2972), 558–560.</w:t>
      </w:r>
    </w:p>
    <w:bookmarkEnd w:id="95"/>
    <w:bookmarkStart w:id="96"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96"/>
    <w:bookmarkStart w:id="97"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Cs/>
          <w:i/>
        </w:rPr>
        <w:t xml:space="preserve">Fisheries Research</w:t>
      </w:r>
      <w:r>
        <w:t xml:space="preserve">,</w:t>
      </w:r>
      <w:r>
        <w:t xml:space="preserve"> </w:t>
      </w:r>
      <w:r>
        <w:rPr>
          <w:iCs/>
          <w:i/>
        </w:rPr>
        <w:t xml:space="preserve">204</w:t>
      </w:r>
      <w:r>
        <w:t xml:space="preserve">, 275–288.</w:t>
      </w:r>
    </w:p>
    <w:bookmarkEnd w:id="97"/>
    <w:bookmarkEnd w:id="98"/>
    <w:p>
      <w:r>
        <w:br w:type="page"/>
      </w:r>
    </w:p>
    <w:bookmarkEnd w:id="99"/>
    <w:bookmarkStart w:id="120"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1" name="Picture"/>
            <a:graphic>
              <a:graphicData uri="http://schemas.openxmlformats.org/drawingml/2006/picture">
                <pic:pic>
                  <pic:nvPicPr>
                    <pic:cNvPr descr="C:/Users/RegularP/Documents/PROJECTS/multispic/analysis/paper/figures/epu_map.png" id="102" name="Picture"/>
                    <pic:cNvPicPr>
                      <a:picLocks noChangeArrowheads="1" noChangeAspect="1"/>
                    </pic:cNvPicPr>
                  </pic:nvPicPr>
                  <pic:blipFill>
                    <a:blip r:embed="rId100"/>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3" w:name="fig:epu-map"/>
      <w:bookmarkEnd w:id="103"/>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5" name="Picture"/>
            <a:graphic>
              <a:graphicData uri="http://schemas.openxmlformats.org/drawingml/2006/picture">
                <pic:pic>
                  <pic:nvPicPr>
                    <pic:cNvPr descr="C:/Users/RegularP/Documents/PROJECTS/multispic/analysis/paper/figures/scores.svg"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7" w:name="fig:scores"/>
      <w:bookmarkEnd w:id="107"/>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09" name="Picture"/>
            <a:graphic>
              <a:graphicData uri="http://schemas.openxmlformats.org/drawingml/2006/picture">
                <pic:pic>
                  <pic:nvPicPr>
                    <pic:cNvPr descr="C:/Users/RegularP/Documents/PROJECTS/multispic/analysis/paper/figures/survey_trends.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1" w:name="fig:survey-trends"/>
      <w:bookmarkEnd w:id="111"/>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3" name="Picture"/>
            <a:graphic>
              <a:graphicData uri="http://schemas.openxmlformats.org/drawingml/2006/picture">
                <pic:pic>
                  <pic:nvPicPr>
                    <pic:cNvPr descr="C:/Users/RegularP/Documents/PROJECTS/multispic/analysis/paper/figures/pop_trends.svg" id="11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5" w:name="fig:pop-trends"/>
      <w:bookmarkEnd w:id="115"/>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7" name="Picture"/>
            <a:graphic>
              <a:graphicData uri="http://schemas.openxmlformats.org/drawingml/2006/picture">
                <pic:pic>
                  <pic:nvPicPr>
                    <pic:cNvPr descr="C:/Users/RegularP/Documents/PROJECTS/multispic/analysis/paper/figures/pe_cor.svg" id="1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19" w:name="fig:pe-cor"/>
      <w:bookmarkEnd w:id="119"/>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0" Target="media/rId100.png" /><Relationship Type="http://schemas.openxmlformats.org/officeDocument/2006/relationships/image" Id="rId116" Target="media/rId116.svgz" /><Relationship Type="http://schemas.openxmlformats.org/officeDocument/2006/relationships/image" Id="rId112" Target="media/rId112.svgz" /><Relationship Type="http://schemas.openxmlformats.org/officeDocument/2006/relationships/image" Id="rId104" Target="media/rId104.svgz" /><Relationship Type="http://schemas.openxmlformats.org/officeDocument/2006/relationships/image" Id="rId108" Target="media/rId108.svgz" /><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2024-12-12T12:42:02Z</dcterms:created>
  <dcterms:modified xsi:type="dcterms:W3CDTF">2024-12-12T12:42:02Z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Fisheries and Oceans Canada, Northwest Atlantic Fisheries Center, 80 East White Hills, St. John’s, Newfoundland and Labrador, A1C 5X1, Canada  *Corresponding author E-mail: Paul.Regular@dfo-mpo.gc.ca  2024-12-12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