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2022-04-14</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y</m:t>
                    </m:r>
                  </m:sub>
                </m:sSub>
                <m:r>
                  <m:rPr>
                    <m:sty m:val="p"/>
                  </m:rPr>
                  <m:t>=</m:t>
                </m:r>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e>
                <m:r>
                  <m:t>  </m:t>
                </m:r>
                <m:d>
                  <m:dPr>
                    <m:begChr m:val="("/>
                    <m:endChr m:val=")"/>
                    <m:sepChr m:val=""/>
                    <m:grow/>
                  </m:dPr>
                  <m:e>
                    <m:r>
                      <m:t>1</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 and changes in biomass due to growth, recruitment, and natural mortality are captured via the production function</w:t>
      </w:r>
      <w:r>
        <w:t xml:space="preserve"> </w:t>
      </w:r>
      <m:oMath>
        <m:r>
          <m:t>g</m:t>
        </m:r>
        <m:d>
          <m:dPr>
            <m:begChr m:val="("/>
            <m:endChr m:val=")"/>
            <m:sepChr m:val=""/>
            <m:grow/>
          </m:dPr>
          <m:e>
            <m:r>
              <m:t>B</m:t>
            </m:r>
          </m:e>
        </m:d>
      </m:oMath>
      <w:r>
        <w:t xml:space="preserve"> </w:t>
      </w:r>
      <w:r>
        <w:t xml:space="preserve">(</w:t>
      </w:r>
      <w:hyperlink w:anchor="ref-polacheck1993">
        <w:r>
          <w:rPr>
            <w:rStyle w:val="Hyperlink"/>
          </w:rPr>
          <w:t xml:space="preserve">1</w:t>
        </w:r>
      </w:hyperlink>
      <w:r>
        <w:t xml:space="preserve">)</w:t>
      </w:r>
      <w:r>
        <w:t xml:space="preserve">. An early and influential form for the production function was based on the logistic equation,</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e>
              <m:e>
                <m:r>
                  <m:t>  </m:t>
                </m:r>
                <m:d>
                  <m:dPr>
                    <m:begChr m:val="("/>
                    <m:endChr m:val=")"/>
                    <m:sepChr m:val=""/>
                    <m:grow/>
                  </m:dPr>
                  <m:e>
                    <m:r>
                      <m:t>2</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w:t>
      </w:r>
      <w:r>
        <w:t xml:space="preserve"> </w:t>
      </w:r>
      <w:r>
        <w:t xml:space="preserve">(</w:t>
      </w:r>
      <w:hyperlink w:anchor="ref-schaefer1954">
        <w:r>
          <w:rPr>
            <w:rStyle w:val="Hyperlink"/>
          </w:rPr>
          <w:t xml:space="preserve">2</w:t>
        </w:r>
      </w:hyperlink>
      <w:r>
        <w:t xml:space="preserve">)</w:t>
      </w:r>
      <w:r>
        <w:t xml:space="preserve">.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w:t>
      </w:r>
    </w:p>
    <w:p>
      <w:pPr>
        <w:pStyle w:val="BodyText"/>
      </w:pPr>
      <w:r>
        <w:t xml:space="preserve">Combining equations (1) and (2) results in the Schaefer production model and, by applying a state-space framework</w:t>
      </w:r>
      <w:r>
        <w:t xml:space="preserve"> </w:t>
      </w:r>
      <w:r>
        <w:t xml:space="preserve">(sensu</w:t>
      </w:r>
      <w:r>
        <w:t xml:space="preserve"> </w:t>
      </w:r>
      <w:hyperlink w:anchor="ref-meyer1999">
        <w:r>
          <w:rPr>
            <w:rStyle w:val="Hyperlink"/>
          </w:rPr>
          <w:t xml:space="preserve">3</w:t>
        </w:r>
      </w:hyperlink>
      <w:r>
        <w:t xml:space="preserve">)</w:t>
      </w:r>
      <w:r>
        <w:t xml:space="preserve">, the stochastic form of this population process may be informed by survey data with observation error. Specifically,</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sSub>
                  <m:e>
                    <m:r>
                      <m:t>B</m:t>
                    </m:r>
                  </m:e>
                  <m:sub>
                    <m:r>
                      <m:t>y</m:t>
                    </m:r>
                  </m:sub>
                </m:sSub>
              </m:e>
              <m:e>
                <m:r>
                  <m:rPr>
                    <m:sty m:val="p"/>
                  </m:rPr>
                  <m:t>=</m:t>
                </m:r>
              </m:e>
              <m:e>
                <m:d>
                  <m:dPr>
                    <m:begChr m:val="("/>
                    <m:endChr m:val=")"/>
                    <m:sepChr m:val=""/>
                    <m:grow/>
                  </m:dPr>
                  <m:e>
                    <m:sSub>
                      <m:e>
                        <m:r>
                          <m:t>B</m:t>
                        </m:r>
                      </m:e>
                      <m:sub>
                        <m:r>
                          <m:t>y</m:t>
                        </m:r>
                        <m:r>
                          <m:rPr>
                            <m:sty m:val="p"/>
                          </m:rPr>
                          <m:t>−</m:t>
                        </m:r>
                        <m:r>
                          <m:t>1</m:t>
                        </m:r>
                      </m:sub>
                    </m:sSub>
                    <m:r>
                      <m:rPr>
                        <m:sty m:val="p"/>
                      </m:rPr>
                      <m:t>+</m:t>
                    </m:r>
                    <m:r>
                      <m:t>r</m:t>
                    </m:r>
                    <m:sSub>
                      <m:e>
                        <m:r>
                          <m:t>B</m:t>
                        </m:r>
                      </m:e>
                      <m:sub>
                        <m:r>
                          <m:t>y</m:t>
                        </m:r>
                        <m:r>
                          <m:rPr>
                            <m:sty m:val="p"/>
                          </m:rPr>
                          <m:t>−</m:t>
                        </m:r>
                        <m:r>
                          <m:t>1</m:t>
                        </m:r>
                      </m:sub>
                    </m:sSub>
                    <m:d>
                      <m:dPr>
                        <m:begChr m:val="("/>
                        <m:endChr m:val=")"/>
                        <m:sepChr m:val=""/>
                        <m:grow/>
                      </m:dPr>
                      <m:e>
                        <m:r>
                          <m:t>1</m:t>
                        </m:r>
                        <m:r>
                          <m:rPr>
                            <m:sty m:val="p"/>
                          </m:rPr>
                          <m:t>−</m:t>
                        </m:r>
                        <m:f>
                          <m:fPr>
                            <m:type m:val="bar"/>
                          </m:fPr>
                          <m:num>
                            <m:sSub>
                              <m:e>
                                <m:r>
                                  <m:t>B</m:t>
                                </m:r>
                              </m:e>
                              <m:sub>
                                <m:r>
                                  <m:t>y</m:t>
                                </m:r>
                                <m:r>
                                  <m:rPr>
                                    <m:sty m:val="p"/>
                                  </m:rPr>
                                  <m:t>−</m:t>
                                </m:r>
                                <m:r>
                                  <m:t>1</m:t>
                                </m:r>
                              </m:sub>
                            </m:sSub>
                          </m:num>
                          <m:den>
                            <m:r>
                              <m:t>K</m:t>
                            </m:r>
                          </m:den>
                        </m:f>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3</m:t>
                    </m:r>
                  </m:e>
                </m:d>
              </m:e>
            </m:mr>
            <m:mr>
              <m:e>
                <m:sSub>
                  <m:e>
                    <m:r>
                      <m:t>I</m:t>
                    </m:r>
                  </m:e>
                  <m:sub>
                    <m:r>
                      <m:t>y</m:t>
                    </m:r>
                    <m:r>
                      <m:rPr>
                        <m:sty m:val="p"/>
                      </m:rPr>
                      <m:t>,</m:t>
                    </m:r>
                    <m:r>
                      <m:t>s</m:t>
                    </m:r>
                  </m:sub>
                </m:sSub>
              </m:e>
              <m:e>
                <m:r>
                  <m:rPr>
                    <m:sty m:val="p"/>
                  </m:rPr>
                  <m:t>=</m:t>
                </m:r>
              </m:e>
              <m:e>
                <m:sSub>
                  <m:e>
                    <m:r>
                      <m:t>q</m:t>
                    </m:r>
                  </m:e>
                  <m:sub>
                    <m:r>
                      <m:t>s</m:t>
                    </m:r>
                  </m:sub>
                </m:sSub>
                <m:sSub>
                  <m:e>
                    <m:r>
                      <m:t>B</m:t>
                    </m:r>
                  </m:e>
                  <m:sub>
                    <m:r>
                      <m:t>y</m:t>
                    </m:r>
                  </m:sub>
                </m:sSub>
                <m:sSup>
                  <m:e>
                    <m:r>
                      <m:t>e</m:t>
                    </m:r>
                  </m:e>
                  <m:sup>
                    <m:sSub>
                      <m:e>
                        <m:r>
                          <m:t>ε</m:t>
                        </m:r>
                      </m:e>
                      <m:sub>
                        <m:r>
                          <m:t>y</m:t>
                        </m:r>
                        <m:r>
                          <m:rPr>
                            <m:sty m:val="p"/>
                          </m:rPr>
                          <m:t>,</m:t>
                        </m:r>
                        <m:r>
                          <m:t>s</m:t>
                        </m:r>
                      </m:sub>
                    </m:sSub>
                  </m:sup>
                </m:sSup>
              </m:e>
              <m:e>
                <m:r>
                  <m:t>  </m:t>
                </m:r>
                <m:d>
                  <m:dPr>
                    <m:begChr m:val="("/>
                    <m:endChr m:val=")"/>
                    <m:sepChr m:val=""/>
                    <m:grow/>
                  </m:dPr>
                  <m:e>
                    <m:r>
                      <m:t>4</m:t>
                    </m:r>
                  </m:e>
                </m:d>
              </m:e>
            </m:mr>
          </m:m>
        </m:oMath>
      </m:oMathPara>
    </w:p>
    <w:p>
      <w:pPr>
        <w:pStyle w:val="FirstParagraph"/>
      </w:pPr>
      <w:r>
        <w:t xml:space="preserve">where</w:t>
      </w:r>
      <w:r>
        <w:t xml:space="preserve"> </w:t>
      </w:r>
      <m:oMath>
        <m:r>
          <m:t>δ</m:t>
        </m:r>
      </m:oMath>
      <w:r>
        <w:t xml:space="preserve"> </w:t>
      </w:r>
      <w:r>
        <w:t xml:space="preserve">represents process error,</w:t>
      </w:r>
      <w:r>
        <w:t xml:space="preserve"> </w:t>
      </w:r>
      <m:oMath>
        <m:r>
          <m:t>ε</m:t>
        </m:r>
      </m:oMath>
      <w:r>
        <w:t xml:space="preserve"> </w:t>
      </w:r>
      <w:r>
        <w:t xml:space="preserve">represents observation error,</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s</m:t>
        </m:r>
      </m:oMath>
      <w:r>
        <w:t xml:space="preserve">, and</w:t>
      </w:r>
      <w:r>
        <w:t xml:space="preserve"> </w:t>
      </w:r>
      <m:oMath>
        <m:sSub>
          <m:e>
            <m:r>
              <m:t>q</m:t>
            </m:r>
          </m:e>
          <m:sub>
            <m:r>
              <m:t>s</m:t>
            </m:r>
          </m:sub>
        </m:sSub>
      </m:oMath>
      <w:r>
        <w:t xml:space="preserve"> </w:t>
      </w:r>
      <w:r>
        <w:t xml:space="preserve">is the time-invariant catchability coefficient for survey</w:t>
      </w:r>
      <w:r>
        <w:t xml:space="preserve"> </w:t>
      </w:r>
      <m:oMath>
        <m:r>
          <m:t>s</m:t>
        </m:r>
      </m:oMath>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31" w:name="references"/>
    <w:p>
      <w:pPr>
        <w:pStyle w:val="Heading1"/>
      </w:pPr>
      <w:r>
        <w:t xml:space="preserve">References</w:t>
      </w:r>
    </w:p>
    <w:bookmarkStart w:id="30" w:name="refs"/>
    <w:bookmarkStart w:id="27" w:name="ref-polacheck1993"/>
    <w:p>
      <w:pPr>
        <w:pStyle w:val="Bibliography"/>
      </w:pPr>
      <w:r>
        <w:t xml:space="preserve">1.</w:t>
      </w:r>
      <w:r>
        <w:t xml:space="preserve"> </w:t>
      </w:r>
      <w:r>
        <w:t xml:space="preserve">	</w:t>
      </w:r>
      <w:r>
        <w:t xml:space="preserve">T. Polacheck, R. Hilborn, A. E. Punt, Fitting surplus production models: Comparing methods and measuring uncertainty.</w:t>
      </w:r>
      <w:r>
        <w:t xml:space="preserve"> </w:t>
      </w:r>
      <w:r>
        <w:rPr>
          <w:iCs/>
          <w:i/>
        </w:rPr>
        <w:t xml:space="preserve">Canadian Journal of Fisheries and Aquatic Sciences</w:t>
      </w:r>
      <w:r>
        <w:t xml:space="preserve"> </w:t>
      </w:r>
      <w:r>
        <w:rPr>
          <w:bCs/>
          <w:b/>
        </w:rPr>
        <w:t xml:space="preserve">50</w:t>
      </w:r>
      <w:r>
        <w:t xml:space="preserve">, 2597–2607 (1993).</w:t>
      </w:r>
    </w:p>
    <w:bookmarkEnd w:id="27"/>
    <w:bookmarkStart w:id="28" w:name="ref-schaefer1954"/>
    <w:p>
      <w:pPr>
        <w:pStyle w:val="Bibliography"/>
      </w:pPr>
      <w:r>
        <w:t xml:space="preserve">2.</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8"/>
    <w:bookmarkStart w:id="29" w:name="ref-meyer1999"/>
    <w:p>
      <w:pPr>
        <w:pStyle w:val="Bibliography"/>
      </w:pPr>
      <w:r>
        <w:t xml:space="preserve">3.</w:t>
      </w:r>
      <w:r>
        <w:t xml:space="preserve"> </w:t>
      </w:r>
      <w:r>
        <w:t xml:space="preserve">	</w:t>
      </w:r>
      <w:r>
        <w:t xml:space="preserve">R. Meyer, R. B. Millar, BUGS in bayesian stock assessments.</w:t>
      </w:r>
      <w:r>
        <w:t xml:space="preserve"> </w:t>
      </w:r>
      <w:r>
        <w:rPr>
          <w:iCs/>
          <w:i/>
        </w:rPr>
        <w:t xml:space="preserve">Canadian Journal of Fisheries and Aquatic Sciences</w:t>
      </w:r>
      <w:r>
        <w:t xml:space="preserve"> </w:t>
      </w:r>
      <w:r>
        <w:rPr>
          <w:bCs/>
          <w:b/>
        </w:rPr>
        <w:t xml:space="preserve">56</w:t>
      </w:r>
      <w:r>
        <w:t xml:space="preserve">, 1078–1087 (1999).</w:t>
      </w:r>
    </w:p>
    <w:bookmarkEnd w:id="29"/>
    <w:bookmarkEnd w:id="30"/>
    <w:p>
      <w:r>
        <w:br w:type="page"/>
      </w:r>
    </w:p>
    <w:bookmarkEnd w:id="31"/>
    <w:bookmarkStart w:id="32" w:name="figures"/>
    <w:p>
      <w:pPr>
        <w:pStyle w:val="Heading1"/>
      </w:pPr>
      <w:r>
        <w:t xml:space="preserve">Figures</w:t>
      </w:r>
    </w:p>
    <w:bookmarkEnd w:id="32"/>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2022-04-14T13:47:17Z</dcterms:created>
  <dcterms:modified xsi:type="dcterms:W3CDTF">2022-04-14T13:47:17Z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2022-04-14</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