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DDCC6" w14:textId="1D543F2D" w:rsidR="00372B28" w:rsidRPr="00372B28" w:rsidRDefault="00372B28" w:rsidP="00372B28">
      <w:pPr>
        <w:ind w:left="-5"/>
        <w:rPr>
          <w:i/>
          <w:iCs/>
          <w:color w:val="4472C4" w:themeColor="accent1"/>
        </w:rPr>
      </w:pPr>
      <w:r w:rsidRPr="00372B28">
        <w:rPr>
          <w:i/>
          <w:iCs/>
          <w:color w:val="4472C4" w:themeColor="accent1"/>
        </w:rPr>
        <w:t>We thank both reviewers for their thoughtful and constructive feedback. Their comments have helped us to clarify the presentation, improve the notation, and strengthen the overall manuscript.</w:t>
      </w:r>
    </w:p>
    <w:p w14:paraId="34E2E599" w14:textId="549D0677" w:rsidR="003244C6" w:rsidRDefault="00000000">
      <w:pPr>
        <w:spacing w:after="199"/>
        <w:ind w:left="-5"/>
      </w:pPr>
      <w:r>
        <w:rPr>
          <w:b/>
          <w:sz w:val="27"/>
        </w:rPr>
        <w:t xml:space="preserve">Review of “Summing the parts: Improving population estimates using a state-space multispecies production model”  </w:t>
      </w:r>
    </w:p>
    <w:p w14:paraId="7F8EFC77" w14:textId="77777777" w:rsidR="003244C6" w:rsidRDefault="00000000">
      <w:pPr>
        <w:spacing w:after="327" w:line="259" w:lineRule="auto"/>
        <w:ind w:left="0" w:firstLine="0"/>
      </w:pPr>
      <w:r>
        <w:rPr>
          <w:b/>
          <w:sz w:val="20"/>
        </w:rPr>
        <w:t xml:space="preserve">for </w:t>
      </w:r>
      <w:r>
        <w:rPr>
          <w:b/>
          <w:i/>
          <w:sz w:val="20"/>
        </w:rPr>
        <w:t>Journal of Northwest Atlantic Fishery Science</w:t>
      </w:r>
      <w:r>
        <w:rPr>
          <w:b/>
          <w:sz w:val="20"/>
        </w:rPr>
        <w:t xml:space="preserve">, </w:t>
      </w:r>
    </w:p>
    <w:p w14:paraId="2B7851ED" w14:textId="77777777" w:rsidR="003244C6" w:rsidRDefault="00000000">
      <w:pPr>
        <w:pStyle w:val="Heading1"/>
        <w:ind w:left="-5"/>
      </w:pPr>
      <w:r>
        <w:t xml:space="preserve">#Reviewer 1 </w:t>
      </w:r>
    </w:p>
    <w:p w14:paraId="41EBABC4" w14:textId="77777777" w:rsidR="003244C6" w:rsidRDefault="00000000">
      <w:pPr>
        <w:ind w:left="-5"/>
      </w:pPr>
      <w:r>
        <w:t xml:space="preserve">This manuscript presents a multi-species/stock surplus production model, where stocks are related through a common carrying capacity and through correlations in the population processes. The model is applied to stocks off the east coast of Canada. The manuscript is generally well written and structured. However, I have some comments for clarification. </w:t>
      </w:r>
    </w:p>
    <w:p w14:paraId="092960AA" w14:textId="77777777" w:rsidR="003244C6" w:rsidRDefault="00000000">
      <w:pPr>
        <w:ind w:left="-5"/>
      </w:pPr>
      <w:r>
        <w:t xml:space="preserve">Comments: </w:t>
      </w:r>
    </w:p>
    <w:p w14:paraId="136E00CC" w14:textId="77777777" w:rsidR="003244C6" w:rsidRDefault="00000000">
      <w:pPr>
        <w:ind w:left="-5"/>
      </w:pPr>
      <w:r>
        <w:t xml:space="preserve">Equation 4: I would suggest to add an s subscript to g to highlight the species specific parameters and to change the subscripts in the sum to visually differentiate B_s </w:t>
      </w:r>
    </w:p>
    <w:p w14:paraId="20382159" w14:textId="356C2BFD" w:rsidR="00257C48" w:rsidRPr="00372B28" w:rsidRDefault="008712C2">
      <w:pPr>
        <w:ind w:left="-5"/>
        <w:rPr>
          <w:i/>
          <w:iCs/>
          <w:color w:val="4472C4" w:themeColor="accent1"/>
        </w:rPr>
      </w:pPr>
      <w:r>
        <w:rPr>
          <w:i/>
          <w:iCs/>
          <w:color w:val="4472C4" w:themeColor="accent1"/>
        </w:rPr>
        <w:t>We appreciate these suggestions as they</w:t>
      </w:r>
      <w:r w:rsidR="00257C48" w:rsidRPr="00372B28">
        <w:rPr>
          <w:i/>
          <w:iCs/>
          <w:color w:val="4472C4" w:themeColor="accent1"/>
        </w:rPr>
        <w:t xml:space="preserve"> helped clarify the equation.</w:t>
      </w:r>
    </w:p>
    <w:p w14:paraId="7E215DEF" w14:textId="77777777" w:rsidR="003244C6" w:rsidRDefault="00000000">
      <w:pPr>
        <w:ind w:left="-5"/>
      </w:pPr>
      <w:r>
        <w:t xml:space="preserve">Lines 106-108: While the assumption of independence is probably good in many cases, I could easily imagine that sampling procedures, subsampling procedures and subsequent analysis to obtain survey indices could introduce correlations. </w:t>
      </w:r>
    </w:p>
    <w:p w14:paraId="38ED1D3B" w14:textId="2B3B110B" w:rsidR="00257C48" w:rsidRPr="00372B28" w:rsidRDefault="00257C48">
      <w:pPr>
        <w:ind w:left="-5"/>
        <w:rPr>
          <w:i/>
          <w:iCs/>
          <w:color w:val="4472C4" w:themeColor="accent1"/>
        </w:rPr>
      </w:pPr>
      <w:r w:rsidRPr="00372B28">
        <w:rPr>
          <w:i/>
          <w:iCs/>
          <w:color w:val="4472C4" w:themeColor="accent1"/>
        </w:rPr>
        <w:t>Fair point. We have modified the sentence to read “</w:t>
      </w:r>
      <w:r w:rsidRPr="00372B28">
        <w:rPr>
          <w:i/>
          <w:iCs/>
          <w:color w:val="4472C4" w:themeColor="accent1"/>
        </w:rPr>
        <w:t>While covarying changes may arise from the observation process, we assume that most covariance stems from ecosystem processes.</w:t>
      </w:r>
      <w:r w:rsidRPr="00372B28">
        <w:rPr>
          <w:i/>
          <w:iCs/>
          <w:color w:val="4472C4" w:themeColor="accent1"/>
        </w:rPr>
        <w:t>”</w:t>
      </w:r>
    </w:p>
    <w:p w14:paraId="611D9322" w14:textId="77777777" w:rsidR="003244C6" w:rsidRDefault="00000000">
      <w:pPr>
        <w:ind w:left="-5"/>
      </w:pPr>
      <w:r>
        <w:t xml:space="preserve">Equation 7: In the model, the temporal correlation is the same for all species. Could you elaborate on why that is? Intuitively, I would guess that there could be differences in the persistence of temporal correlation between, for example, long lived and short lived, flatfish and codfish, fish and skates. Further, the left hand side of the equations appears to be a scalar while the right hand side appears to be a vector of all species. It is also not clear to me why epsilon is multiplied by sigma_s, since it is also included in the covariance of epsilon? Finally, I would suggest to remove the s subscript of Sigma, since it is not a species-specific variable. </w:t>
      </w:r>
    </w:p>
    <w:p w14:paraId="1A533EE9" w14:textId="2AE3931F" w:rsidR="0025793B" w:rsidRPr="00372B28" w:rsidRDefault="0025793B">
      <w:pPr>
        <w:ind w:left="-5"/>
        <w:rPr>
          <w:i/>
          <w:iCs/>
          <w:color w:val="4472C4" w:themeColor="accent1"/>
        </w:rPr>
      </w:pPr>
      <w:r w:rsidRPr="00372B28">
        <w:rPr>
          <w:i/>
          <w:iCs/>
          <w:color w:val="4472C4" w:themeColor="accent1"/>
        </w:rPr>
        <w:t xml:space="preserve">We thank the reviewer for these helpful suggestions. We have revised the notation to clarify that process deviations are modeled as a vector across species, with errors drawn from a multivariate normal distribution. The redundant multiplication of </w:t>
      </w:r>
      <w:proofErr w:type="spellStart"/>
      <w:r w:rsidRPr="00372B28">
        <w:rPr>
          <w:i/>
          <w:iCs/>
          <w:color w:val="4472C4" w:themeColor="accent1"/>
        </w:rPr>
        <w:t>sigma_s</w:t>
      </w:r>
      <w:proofErr w:type="spellEnd"/>
      <w:r w:rsidRPr="00372B28">
        <w:rPr>
          <w:i/>
          <w:iCs/>
          <w:color w:val="4472C4" w:themeColor="accent1"/>
        </w:rPr>
        <w:t xml:space="preserve"> has been removed, and the covariance matrix is now consistently denoted as </w:t>
      </w:r>
      <m:oMath>
        <m:r>
          <m:rPr>
            <m:sty m:val="bi"/>
          </m:rPr>
          <w:rPr>
            <w:rFonts w:ascii="Cambria Math" w:hAnsi="Cambria Math"/>
            <w:color w:val="4472C4" w:themeColor="accent1"/>
          </w:rPr>
          <m:t>Σ</m:t>
        </m:r>
      </m:oMath>
      <w:r w:rsidR="00874F42" w:rsidRPr="00372B28">
        <w:rPr>
          <w:i/>
          <w:iCs/>
          <w:color w:val="4472C4" w:themeColor="accent1"/>
        </w:rPr>
        <w:t xml:space="preserve"> </w:t>
      </w:r>
      <w:r w:rsidRPr="00372B28">
        <w:rPr>
          <w:i/>
          <w:iCs/>
          <w:color w:val="4472C4" w:themeColor="accent1"/>
        </w:rPr>
        <w:t>(without the subscript s) to reflect its role as a cross-species structure. Regarding temporal autocorrelation, we agree that species may differ in persistence</w:t>
      </w:r>
      <w:r w:rsidRPr="00372B28">
        <w:rPr>
          <w:i/>
          <w:iCs/>
          <w:color w:val="4472C4" w:themeColor="accent1"/>
        </w:rPr>
        <w:t>. To justify this simplification, we have added this text to the manuscript: “</w:t>
      </w:r>
      <w:r w:rsidRPr="00372B28">
        <w:rPr>
          <w:i/>
          <w:iCs/>
          <w:color w:val="4472C4" w:themeColor="accent1"/>
        </w:rPr>
        <w:t xml:space="preserve">Although different species may in reality exhibit different levels of temporal correlation, a single </w:t>
      </w:r>
      <m:oMath>
        <m:r>
          <w:rPr>
            <w:rFonts w:ascii="Cambria Math" w:hAnsi="Cambria Math"/>
            <w:color w:val="4472C4" w:themeColor="accent1"/>
          </w:rPr>
          <m:t>ϕ</m:t>
        </m:r>
      </m:oMath>
      <w:r w:rsidRPr="00372B28">
        <w:rPr>
          <w:i/>
          <w:iCs/>
          <w:color w:val="4472C4" w:themeColor="accent1"/>
        </w:rPr>
        <w:t xml:space="preserve"> </w:t>
      </w:r>
      <w:r w:rsidRPr="00372B28">
        <w:rPr>
          <w:i/>
          <w:iCs/>
          <w:color w:val="4472C4" w:themeColor="accent1"/>
        </w:rPr>
        <w:t xml:space="preserve">is assumed to </w:t>
      </w:r>
      <w:r w:rsidRPr="00372B28">
        <w:rPr>
          <w:i/>
          <w:iCs/>
          <w:color w:val="4472C4" w:themeColor="accent1"/>
        </w:rPr>
        <w:lastRenderedPageBreak/>
        <w:t xml:space="preserve">avoid over-parameterization. Nevertheless, effective differences in temporal correlation among species can still emerge through the covariance matrix </w:t>
      </w:r>
      <m:oMath>
        <m:r>
          <m:rPr>
            <m:sty m:val="bi"/>
          </m:rPr>
          <w:rPr>
            <w:rFonts w:ascii="Cambria Math" w:hAnsi="Cambria Math"/>
            <w:color w:val="4472C4" w:themeColor="accent1"/>
          </w:rPr>
          <m:t>Σ</m:t>
        </m:r>
      </m:oMath>
      <w:r w:rsidRPr="00372B28">
        <w:rPr>
          <w:i/>
          <w:iCs/>
          <w:color w:val="4472C4" w:themeColor="accent1"/>
        </w:rPr>
        <w:t>, which captures cross-species dependence</w:t>
      </w:r>
      <w:r w:rsidRPr="00372B28">
        <w:rPr>
          <w:i/>
          <w:iCs/>
          <w:color w:val="4472C4" w:themeColor="accent1"/>
        </w:rPr>
        <w:t>:…”</w:t>
      </w:r>
    </w:p>
    <w:p w14:paraId="3FDEB2DC" w14:textId="77777777" w:rsidR="00DF5848" w:rsidRDefault="00000000">
      <w:pPr>
        <w:ind w:left="-5"/>
      </w:pPr>
      <w:r>
        <w:t>Equation 8: With this parameterization, how do you ensure that the covariance is positive definite?</w:t>
      </w:r>
    </w:p>
    <w:p w14:paraId="46A25C30" w14:textId="04A11F8F" w:rsidR="003244C6" w:rsidRPr="00372B28" w:rsidRDefault="00DF5848" w:rsidP="00DF5848">
      <w:pPr>
        <w:pStyle w:val="BodyText"/>
        <w:spacing w:after="268" w:line="250" w:lineRule="auto"/>
        <w:ind w:left="14" w:hanging="14"/>
        <w:rPr>
          <w:i/>
          <w:iCs/>
          <w:color w:val="4472C4" w:themeColor="accent1"/>
        </w:rPr>
      </w:pPr>
      <w:r w:rsidRPr="00372B28">
        <w:rPr>
          <w:i/>
          <w:iCs/>
          <w:color w:val="4472C4" w:themeColor="accent1"/>
        </w:rPr>
        <w:t xml:space="preserve">Good catch. This is a detail we failed to include in the paper. We use </w:t>
      </w:r>
      <w:r w:rsidRPr="00372B28">
        <w:rPr>
          <w:i/>
          <w:iCs/>
          <w:color w:val="4472C4" w:themeColor="accent1"/>
        </w:rPr>
        <w:t xml:space="preserve">TMB’s </w:t>
      </w:r>
      <w:r w:rsidRPr="00372B28">
        <w:rPr>
          <w:rFonts w:ascii="Consolas" w:hAnsi="Consolas"/>
          <w:color w:val="4472C4" w:themeColor="accent1"/>
        </w:rPr>
        <w:t>UNSTRUCTURED_CORR</w:t>
      </w:r>
      <w:r w:rsidRPr="00372B28">
        <w:rPr>
          <w:i/>
          <w:iCs/>
          <w:color w:val="4472C4" w:themeColor="accent1"/>
        </w:rPr>
        <w:t xml:space="preserve"> function, which </w:t>
      </w:r>
      <w:r w:rsidRPr="00372B28">
        <w:rPr>
          <w:i/>
          <w:iCs/>
          <w:color w:val="4472C4" w:themeColor="accent1"/>
        </w:rPr>
        <w:t>parameterizes</w:t>
      </w:r>
      <w:r w:rsidRPr="00372B28">
        <w:rPr>
          <w:i/>
          <w:iCs/>
          <w:color w:val="4472C4" w:themeColor="accent1"/>
        </w:rPr>
        <w:t xml:space="preserve"> </w:t>
      </w:r>
      <m:oMath>
        <m:r>
          <m:rPr>
            <m:sty m:val="bi"/>
          </m:rPr>
          <w:rPr>
            <w:rFonts w:ascii="Cambria Math" w:hAnsi="Cambria Math"/>
            <w:color w:val="4472C4" w:themeColor="accent1"/>
            <w:kern w:val="0"/>
            <w:szCs w:val="24"/>
            <w14:ligatures w14:val="none"/>
          </w:rPr>
          <m:t>Σ</m:t>
        </m:r>
      </m:oMath>
      <w:r w:rsidRPr="00372B28">
        <w:rPr>
          <w:b/>
          <w:i/>
          <w:iCs/>
          <w:color w:val="4472C4" w:themeColor="accent1"/>
          <w:kern w:val="0"/>
          <w:szCs w:val="24"/>
          <w14:ligatures w14:val="none"/>
        </w:rPr>
        <w:t xml:space="preserve"> </w:t>
      </w:r>
      <w:proofErr w:type="spellStart"/>
      <w:r w:rsidRPr="00372B28">
        <w:rPr>
          <w:bCs/>
          <w:i/>
          <w:iCs/>
          <w:color w:val="4472C4" w:themeColor="accent1"/>
          <w:kern w:val="0"/>
          <w:szCs w:val="24"/>
          <w14:ligatures w14:val="none"/>
        </w:rPr>
        <w:t>n</w:t>
      </w:r>
      <w:proofErr w:type="spellEnd"/>
      <w:r w:rsidRPr="00372B28">
        <w:rPr>
          <w:bCs/>
          <w:i/>
          <w:iCs/>
          <w:color w:val="4472C4" w:themeColor="accent1"/>
          <w:kern w:val="0"/>
          <w:szCs w:val="24"/>
          <w14:ligatures w14:val="none"/>
        </w:rPr>
        <w:t xml:space="preserve"> a way that respects symmetry and positive definiteness constraints</w:t>
      </w:r>
      <w:r w:rsidRPr="00372B28">
        <w:rPr>
          <w:bCs/>
          <w:i/>
          <w:iCs/>
          <w:color w:val="4472C4" w:themeColor="accent1"/>
          <w:kern w:val="0"/>
          <w:szCs w:val="24"/>
          <w14:ligatures w14:val="none"/>
        </w:rPr>
        <w:t>. We have clarified this in the manuscript by adding the following text: “</w:t>
      </w:r>
      <w:r w:rsidRPr="00372B28">
        <w:rPr>
          <w:i/>
          <w:iCs/>
          <w:color w:val="4472C4" w:themeColor="accent1"/>
          <w:kern w:val="0"/>
          <w:szCs w:val="24"/>
          <w14:ligatures w14:val="none"/>
        </w:rPr>
        <w:t xml:space="preserve">In implementation, </w:t>
      </w:r>
      <m:oMath>
        <m:r>
          <m:rPr>
            <m:sty m:val="bi"/>
          </m:rPr>
          <w:rPr>
            <w:rFonts w:ascii="Cambria Math" w:hAnsi="Cambria Math"/>
            <w:color w:val="4472C4" w:themeColor="accent1"/>
            <w:kern w:val="0"/>
            <w:szCs w:val="24"/>
            <w14:ligatures w14:val="none"/>
          </w:rPr>
          <m:t>Σ</m:t>
        </m:r>
      </m:oMath>
      <w:r w:rsidRPr="00372B28">
        <w:rPr>
          <w:i/>
          <w:iCs/>
          <w:color w:val="4472C4" w:themeColor="accent1"/>
          <w:kern w:val="0"/>
          <w:szCs w:val="24"/>
          <w14:ligatures w14:val="none"/>
        </w:rPr>
        <w:t xml:space="preserve"> is parameterized as </w:t>
      </w:r>
      <m:oMath>
        <m:r>
          <m:rPr>
            <m:sty m:val="bi"/>
          </m:rPr>
          <w:rPr>
            <w:rFonts w:ascii="Cambria Math" w:hAnsi="Cambria Math"/>
            <w:color w:val="4472C4" w:themeColor="accent1"/>
            <w:kern w:val="0"/>
            <w:szCs w:val="24"/>
            <w14:ligatures w14:val="none"/>
          </w:rPr>
          <m:t>D</m:t>
        </m:r>
        <m:r>
          <w:rPr>
            <w:rFonts w:ascii="Cambria Math" w:hAnsi="Cambria Math"/>
            <w:color w:val="4472C4" w:themeColor="accent1"/>
            <w:kern w:val="0"/>
            <w:szCs w:val="24"/>
            <w14:ligatures w14:val="none"/>
          </w:rPr>
          <m:t> </m:t>
        </m:r>
        <m:r>
          <m:rPr>
            <m:sty m:val="bi"/>
          </m:rPr>
          <w:rPr>
            <w:rFonts w:ascii="Cambria Math" w:hAnsi="Cambria Math"/>
            <w:color w:val="4472C4" w:themeColor="accent1"/>
            <w:kern w:val="0"/>
            <w:szCs w:val="24"/>
            <w14:ligatures w14:val="none"/>
          </w:rPr>
          <m:t>R</m:t>
        </m:r>
        <m:r>
          <w:rPr>
            <w:rFonts w:ascii="Cambria Math" w:hAnsi="Cambria Math"/>
            <w:color w:val="4472C4" w:themeColor="accent1"/>
            <w:kern w:val="0"/>
            <w:szCs w:val="24"/>
            <w14:ligatures w14:val="none"/>
          </w:rPr>
          <m:t> </m:t>
        </m:r>
        <m:r>
          <m:rPr>
            <m:sty m:val="bi"/>
          </m:rPr>
          <w:rPr>
            <w:rFonts w:ascii="Cambria Math" w:hAnsi="Cambria Math"/>
            <w:color w:val="4472C4" w:themeColor="accent1"/>
            <w:kern w:val="0"/>
            <w:szCs w:val="24"/>
            <w14:ligatures w14:val="none"/>
          </w:rPr>
          <m:t>D</m:t>
        </m:r>
      </m:oMath>
      <w:r w:rsidRPr="00372B28">
        <w:rPr>
          <w:i/>
          <w:iCs/>
          <w:color w:val="4472C4" w:themeColor="accent1"/>
          <w:kern w:val="0"/>
          <w:szCs w:val="24"/>
          <w14:ligatures w14:val="none"/>
        </w:rPr>
        <w:t xml:space="preserve">, where </w:t>
      </w:r>
      <m:oMath>
        <m:r>
          <m:rPr>
            <m:sty m:val="bi"/>
          </m:rPr>
          <w:rPr>
            <w:rFonts w:ascii="Cambria Math" w:hAnsi="Cambria Math"/>
            <w:color w:val="4472C4" w:themeColor="accent1"/>
            <w:kern w:val="0"/>
            <w:szCs w:val="24"/>
            <w14:ligatures w14:val="none"/>
          </w:rPr>
          <m:t>D</m:t>
        </m:r>
        <m:r>
          <w:rPr>
            <w:rFonts w:ascii="Cambria Math" w:hAnsi="Cambria Math"/>
            <w:color w:val="4472C4" w:themeColor="accent1"/>
            <w:kern w:val="0"/>
            <w:szCs w:val="24"/>
            <w14:ligatures w14:val="none"/>
          </w:rPr>
          <m:t>=diag</m:t>
        </m:r>
        <m:d>
          <m:dPr>
            <m:ctrlPr>
              <w:rPr>
                <w:rFonts w:ascii="Cambria Math" w:hAnsi="Cambria Math"/>
                <w:i/>
                <w:iCs/>
                <w:color w:val="4472C4" w:themeColor="accent1"/>
                <w:kern w:val="0"/>
                <w:szCs w:val="24"/>
                <w14:ligatures w14:val="none"/>
              </w:rPr>
            </m:ctrlPr>
          </m:dPr>
          <m:e>
            <m:sSub>
              <m:sSubPr>
                <m:ctrlPr>
                  <w:rPr>
                    <w:rFonts w:ascii="Cambria Math" w:hAnsi="Cambria Math"/>
                    <w:i/>
                    <w:iCs/>
                    <w:color w:val="4472C4" w:themeColor="accent1"/>
                    <w:kern w:val="0"/>
                    <w:szCs w:val="24"/>
                    <w14:ligatures w14:val="none"/>
                  </w:rPr>
                </m:ctrlPr>
              </m:sSubPr>
              <m:e>
                <m:r>
                  <w:rPr>
                    <w:rFonts w:ascii="Cambria Math" w:hAnsi="Cambria Math"/>
                    <w:color w:val="4472C4" w:themeColor="accent1"/>
                    <w:kern w:val="0"/>
                    <w:szCs w:val="24"/>
                    <w14:ligatures w14:val="none"/>
                  </w:rPr>
                  <m:t>σ</m:t>
                </m:r>
              </m:e>
              <m:sub>
                <m:r>
                  <w:rPr>
                    <w:rFonts w:ascii="Cambria Math" w:hAnsi="Cambria Math"/>
                    <w:color w:val="4472C4" w:themeColor="accent1"/>
                    <w:kern w:val="0"/>
                    <w:szCs w:val="24"/>
                    <w14:ligatures w14:val="none"/>
                  </w:rPr>
                  <m:t>1</m:t>
                </m:r>
              </m:sub>
            </m:sSub>
            <m:r>
              <w:rPr>
                <w:rFonts w:ascii="Cambria Math" w:hAnsi="Cambria Math"/>
                <w:color w:val="4472C4" w:themeColor="accent1"/>
                <w:kern w:val="0"/>
                <w:szCs w:val="24"/>
                <w14:ligatures w14:val="none"/>
              </w:rPr>
              <m:t>,…,</m:t>
            </m:r>
            <m:sSub>
              <m:sSubPr>
                <m:ctrlPr>
                  <w:rPr>
                    <w:rFonts w:ascii="Cambria Math" w:hAnsi="Cambria Math"/>
                    <w:i/>
                    <w:iCs/>
                    <w:color w:val="4472C4" w:themeColor="accent1"/>
                    <w:kern w:val="0"/>
                    <w:szCs w:val="24"/>
                    <w14:ligatures w14:val="none"/>
                  </w:rPr>
                </m:ctrlPr>
              </m:sSubPr>
              <m:e>
                <m:r>
                  <w:rPr>
                    <w:rFonts w:ascii="Cambria Math" w:hAnsi="Cambria Math"/>
                    <w:color w:val="4472C4" w:themeColor="accent1"/>
                    <w:kern w:val="0"/>
                    <w:szCs w:val="24"/>
                    <w14:ligatures w14:val="none"/>
                  </w:rPr>
                  <m:t>σ</m:t>
                </m:r>
              </m:e>
              <m:sub>
                <m:r>
                  <w:rPr>
                    <w:rFonts w:ascii="Cambria Math" w:hAnsi="Cambria Math"/>
                    <w:color w:val="4472C4" w:themeColor="accent1"/>
                    <w:kern w:val="0"/>
                    <w:szCs w:val="24"/>
                    <w14:ligatures w14:val="none"/>
                  </w:rPr>
                  <m:t>S</m:t>
                </m:r>
              </m:sub>
            </m:sSub>
          </m:e>
        </m:d>
      </m:oMath>
      <w:r w:rsidRPr="00372B28">
        <w:rPr>
          <w:i/>
          <w:iCs/>
          <w:color w:val="4472C4" w:themeColor="accent1"/>
          <w:kern w:val="0"/>
          <w:szCs w:val="24"/>
          <w14:ligatures w14:val="none"/>
        </w:rPr>
        <w:t xml:space="preserve"> and </w:t>
      </w:r>
      <m:oMath>
        <m:r>
          <m:rPr>
            <m:sty m:val="bi"/>
          </m:rPr>
          <w:rPr>
            <w:rFonts w:ascii="Cambria Math" w:hAnsi="Cambria Math"/>
            <w:color w:val="4472C4" w:themeColor="accent1"/>
            <w:kern w:val="0"/>
            <w:szCs w:val="24"/>
            <w14:ligatures w14:val="none"/>
          </w:rPr>
          <m:t>R</m:t>
        </m:r>
        <m:r>
          <w:rPr>
            <w:rFonts w:ascii="Cambria Math" w:hAnsi="Cambria Math"/>
            <w:color w:val="4472C4" w:themeColor="accent1"/>
            <w:kern w:val="0"/>
            <w:szCs w:val="24"/>
            <w14:ligatures w14:val="none"/>
          </w:rPr>
          <m:t>=</m:t>
        </m:r>
        <m:r>
          <m:rPr>
            <m:sty m:val="bi"/>
          </m:rPr>
          <w:rPr>
            <w:rFonts w:ascii="Cambria Math" w:hAnsi="Cambria Math"/>
            <w:color w:val="4472C4" w:themeColor="accent1"/>
            <w:kern w:val="0"/>
            <w:szCs w:val="24"/>
            <w14:ligatures w14:val="none"/>
          </w:rPr>
          <m:t>L</m:t>
        </m:r>
        <m:sSup>
          <m:sSupPr>
            <m:ctrlPr>
              <w:rPr>
                <w:rFonts w:ascii="Cambria Math" w:hAnsi="Cambria Math"/>
                <w:i/>
                <w:iCs/>
                <w:color w:val="4472C4" w:themeColor="accent1"/>
                <w:kern w:val="0"/>
                <w:szCs w:val="24"/>
                <w14:ligatures w14:val="none"/>
              </w:rPr>
            </m:ctrlPr>
          </m:sSupPr>
          <m:e>
            <m:r>
              <m:rPr>
                <m:sty m:val="bi"/>
              </m:rPr>
              <w:rPr>
                <w:rFonts w:ascii="Cambria Math" w:hAnsi="Cambria Math"/>
                <w:color w:val="4472C4" w:themeColor="accent1"/>
                <w:kern w:val="0"/>
                <w:szCs w:val="24"/>
                <w14:ligatures w14:val="none"/>
              </w:rPr>
              <m:t>L</m:t>
            </m:r>
          </m:e>
          <m:sup>
            <m:r>
              <w:rPr>
                <w:rFonts w:ascii="Cambria Math" w:hAnsi="Cambria Math"/>
                <w:color w:val="4472C4" w:themeColor="accent1"/>
                <w:kern w:val="0"/>
                <w:szCs w:val="24"/>
                <w14:ligatures w14:val="none"/>
              </w:rPr>
              <m:t>⊤</m:t>
            </m:r>
          </m:sup>
        </m:sSup>
      </m:oMath>
      <w:r w:rsidRPr="00372B28">
        <w:rPr>
          <w:i/>
          <w:iCs/>
          <w:color w:val="4472C4" w:themeColor="accent1"/>
          <w:kern w:val="0"/>
          <w:szCs w:val="24"/>
          <w14:ligatures w14:val="none"/>
        </w:rPr>
        <w:t xml:space="preserve"> is a correlation matrix obtained from a Cholesky factor </w:t>
      </w:r>
      <m:oMath>
        <m:r>
          <m:rPr>
            <m:sty m:val="bi"/>
          </m:rPr>
          <w:rPr>
            <w:rFonts w:ascii="Cambria Math" w:hAnsi="Cambria Math"/>
            <w:color w:val="4472C4" w:themeColor="accent1"/>
            <w:kern w:val="0"/>
            <w:szCs w:val="24"/>
            <w14:ligatures w14:val="none"/>
          </w:rPr>
          <m:t>L</m:t>
        </m:r>
      </m:oMath>
      <w:r w:rsidRPr="00372B28">
        <w:rPr>
          <w:i/>
          <w:iCs/>
          <w:color w:val="4472C4" w:themeColor="accent1"/>
          <w:kern w:val="0"/>
          <w:szCs w:val="24"/>
          <w14:ligatures w14:val="none"/>
        </w:rPr>
        <w:t xml:space="preserve"> constructed from unconstrained parameters. This formulation ensures that </w:t>
      </w:r>
      <m:oMath>
        <m:r>
          <m:rPr>
            <m:sty m:val="bi"/>
          </m:rPr>
          <w:rPr>
            <w:rFonts w:ascii="Cambria Math" w:hAnsi="Cambria Math"/>
            <w:color w:val="4472C4" w:themeColor="accent1"/>
            <w:kern w:val="0"/>
            <w:szCs w:val="24"/>
            <w14:ligatures w14:val="none"/>
          </w:rPr>
          <m:t>Σ</m:t>
        </m:r>
      </m:oMath>
      <w:r w:rsidRPr="00372B28">
        <w:rPr>
          <w:i/>
          <w:iCs/>
          <w:color w:val="4472C4" w:themeColor="accent1"/>
          <w:kern w:val="0"/>
          <w:szCs w:val="24"/>
          <w14:ligatures w14:val="none"/>
        </w:rPr>
        <w:t xml:space="preserve"> is positive definite.</w:t>
      </w:r>
      <w:r w:rsidRPr="00372B28">
        <w:rPr>
          <w:i/>
          <w:iCs/>
          <w:color w:val="4472C4" w:themeColor="accent1"/>
          <w:kern w:val="0"/>
          <w:szCs w:val="24"/>
          <w14:ligatures w14:val="none"/>
        </w:rPr>
        <w:t>”</w:t>
      </w:r>
      <w:r w:rsidR="00000000" w:rsidRPr="00372B28">
        <w:rPr>
          <w:i/>
          <w:iCs/>
          <w:color w:val="4472C4" w:themeColor="accent1"/>
        </w:rPr>
        <w:t xml:space="preserve"> </w:t>
      </w:r>
    </w:p>
    <w:p w14:paraId="5DB7794C" w14:textId="77777777" w:rsidR="003244C6" w:rsidRDefault="00000000">
      <w:pPr>
        <w:ind w:left="-5"/>
      </w:pPr>
      <w:r>
        <w:t xml:space="preserve">Lines 147-149: Depending on the answer to the comment above, could the estimation issues be related to Sigma not being positive definite and the process equation allowing negative B predictions if C is large? </w:t>
      </w:r>
    </w:p>
    <w:p w14:paraId="7744B736" w14:textId="224BA5ED" w:rsidR="00B0485D" w:rsidRPr="00372B28" w:rsidRDefault="00B0485D">
      <w:pPr>
        <w:ind w:left="-5"/>
        <w:rPr>
          <w:i/>
          <w:iCs/>
          <w:color w:val="4472C4" w:themeColor="accent1"/>
        </w:rPr>
      </w:pPr>
      <w:r w:rsidRPr="00372B28">
        <w:rPr>
          <w:i/>
          <w:iCs/>
          <w:color w:val="4472C4" w:themeColor="accent1"/>
        </w:rPr>
        <w:t xml:space="preserve">Since </w:t>
      </w:r>
      <m:oMath>
        <m:r>
          <m:rPr>
            <m:sty m:val="bi"/>
          </m:rPr>
          <w:rPr>
            <w:rFonts w:ascii="Cambria Math" w:hAnsi="Cambria Math"/>
            <w:color w:val="4472C4" w:themeColor="accent1"/>
            <w:kern w:val="0"/>
            <w:szCs w:val="24"/>
            <w14:ligatures w14:val="none"/>
          </w:rPr>
          <m:t>Σ</m:t>
        </m:r>
      </m:oMath>
      <w:r w:rsidRPr="00372B28">
        <w:rPr>
          <w:i/>
          <w:iCs/>
          <w:color w:val="4472C4" w:themeColor="accent1"/>
        </w:rPr>
        <w:t xml:space="preserve"> is parameterized to remain positive definite, the estimation issues are unlikely to be due to its structure. Instead, they are more likely related to mild confounding between parameters such as r and K</w:t>
      </w:r>
      <w:r w:rsidRPr="00372B28">
        <w:rPr>
          <w:i/>
          <w:iCs/>
          <w:color w:val="4472C4" w:themeColor="accent1"/>
        </w:rPr>
        <w:t xml:space="preserve"> and/or </w:t>
      </w:r>
      <w:r w:rsidRPr="00372B28">
        <w:rPr>
          <w:i/>
          <w:iCs/>
          <w:color w:val="4472C4" w:themeColor="accent1"/>
        </w:rPr>
        <w:t>weak identifiability of covariance/correlation parameters</w:t>
      </w:r>
      <w:r w:rsidRPr="00372B28">
        <w:rPr>
          <w:i/>
          <w:iCs/>
          <w:color w:val="4472C4" w:themeColor="accent1"/>
        </w:rPr>
        <w:t>.</w:t>
      </w:r>
    </w:p>
    <w:p w14:paraId="62B54CF9" w14:textId="77777777" w:rsidR="003244C6" w:rsidRDefault="00000000">
      <w:pPr>
        <w:ind w:left="-5"/>
      </w:pPr>
      <w:r>
        <w:t xml:space="preserve">Priors: You do it for some, but in general it would be useful if the mean and variance (or standard deviation) of all priors were stated explicitly. </w:t>
      </w:r>
    </w:p>
    <w:p w14:paraId="03330662" w14:textId="77777777" w:rsidR="00980014" w:rsidRPr="00372B28" w:rsidRDefault="00980014">
      <w:pPr>
        <w:ind w:left="-5"/>
        <w:rPr>
          <w:i/>
          <w:iCs/>
          <w:color w:val="4472C4" w:themeColor="accent1"/>
        </w:rPr>
      </w:pPr>
      <w:r w:rsidRPr="00372B28">
        <w:rPr>
          <w:i/>
          <w:iCs/>
          <w:color w:val="4472C4" w:themeColor="accent1"/>
        </w:rPr>
        <w:t>We thank the reviewer for this suggestion. We now state the mean and standard deviation of each prior that is applied broadly across species and regions. For parameters that are region-, species-, or survey-specific, we provide the defining formulae in the text, with full details available in the supplement. To clarify this in the manuscript, we added the statement: “Interactive dashboards accompanying this paper provide visualizations of the priors and posteriors for core parameters (Supplement 1); here we summarize their parameterization and report the ranges used to define each prior.”</w:t>
      </w:r>
    </w:p>
    <w:p w14:paraId="7C837D75" w14:textId="504BB386" w:rsidR="003244C6" w:rsidRDefault="00000000">
      <w:pPr>
        <w:ind w:left="-5"/>
      </w:pPr>
      <w:r>
        <w:t xml:space="preserve">Line 307: I would suggest to either say the correlations (i.e., the parameters) are zero or the process innovations (i.e., the random variables) are iid. </w:t>
      </w:r>
    </w:p>
    <w:p w14:paraId="40AD20CD" w14:textId="0F488B8B" w:rsidR="001635B2" w:rsidRPr="00372B28" w:rsidRDefault="001635B2">
      <w:pPr>
        <w:ind w:left="-5"/>
        <w:rPr>
          <w:i/>
          <w:iCs/>
          <w:color w:val="4472C4" w:themeColor="accent1"/>
        </w:rPr>
      </w:pPr>
      <w:r w:rsidRPr="00372B28">
        <w:rPr>
          <w:i/>
          <w:iCs/>
          <w:color w:val="4472C4" w:themeColor="accent1"/>
        </w:rPr>
        <w:t xml:space="preserve">Good catch, it did not make sense to imply that the correlations are </w:t>
      </w:r>
      <w:proofErr w:type="spellStart"/>
      <w:r w:rsidRPr="00372B28">
        <w:rPr>
          <w:i/>
          <w:iCs/>
          <w:color w:val="4472C4" w:themeColor="accent1"/>
        </w:rPr>
        <w:t>iid</w:t>
      </w:r>
      <w:proofErr w:type="spellEnd"/>
      <w:r w:rsidRPr="00372B28">
        <w:rPr>
          <w:i/>
          <w:iCs/>
          <w:color w:val="4472C4" w:themeColor="accent1"/>
        </w:rPr>
        <w:t>. The line</w:t>
      </w:r>
      <w:r w:rsidR="00B7222C" w:rsidRPr="00372B28">
        <w:rPr>
          <w:i/>
          <w:iCs/>
          <w:color w:val="4472C4" w:themeColor="accent1"/>
        </w:rPr>
        <w:t xml:space="preserve"> now reads “…, </w:t>
      </w:r>
      <w:r w:rsidR="00B7222C" w:rsidRPr="00372B28">
        <w:rPr>
          <w:i/>
          <w:iCs/>
          <w:color w:val="4472C4" w:themeColor="accent1"/>
        </w:rPr>
        <w:t>except both temporal and species correlations are set to zero (i.e., process innovations are *</w:t>
      </w:r>
      <w:proofErr w:type="spellStart"/>
      <w:r w:rsidR="00B7222C" w:rsidRPr="00372B28">
        <w:rPr>
          <w:i/>
          <w:iCs/>
          <w:color w:val="4472C4" w:themeColor="accent1"/>
        </w:rPr>
        <w:t>iid</w:t>
      </w:r>
      <w:proofErr w:type="spellEnd"/>
      <w:r w:rsidR="00B7222C" w:rsidRPr="00372B28">
        <w:rPr>
          <w:i/>
          <w:iCs/>
          <w:color w:val="4472C4" w:themeColor="accent1"/>
        </w:rPr>
        <w:t>* across time and species)</w:t>
      </w:r>
      <w:r w:rsidR="00B7222C" w:rsidRPr="00372B28">
        <w:rPr>
          <w:i/>
          <w:iCs/>
          <w:color w:val="4472C4" w:themeColor="accent1"/>
        </w:rPr>
        <w:t>.”</w:t>
      </w:r>
    </w:p>
    <w:p w14:paraId="5B70F7A0" w14:textId="77777777" w:rsidR="003244C6" w:rsidRDefault="00000000">
      <w:pPr>
        <w:ind w:left="-5"/>
      </w:pPr>
      <w:r>
        <w:t xml:space="preserve">Line 441: I believe it should be “(Robertson et al., 2021)” </w:t>
      </w:r>
    </w:p>
    <w:p w14:paraId="49BAC194" w14:textId="43F3D9DF" w:rsidR="009658AC" w:rsidRPr="00372B28" w:rsidRDefault="008712C2">
      <w:pPr>
        <w:ind w:left="-5"/>
        <w:rPr>
          <w:i/>
          <w:iCs/>
          <w:color w:val="4472C4" w:themeColor="accent1"/>
        </w:rPr>
      </w:pPr>
      <w:r>
        <w:rPr>
          <w:i/>
          <w:iCs/>
          <w:color w:val="4472C4" w:themeColor="accent1"/>
        </w:rPr>
        <w:t>We thank the reviewer</w:t>
      </w:r>
      <w:r w:rsidR="009658AC" w:rsidRPr="00372B28">
        <w:rPr>
          <w:i/>
          <w:iCs/>
          <w:color w:val="4472C4" w:themeColor="accent1"/>
        </w:rPr>
        <w:t xml:space="preserve"> for catching this error; it is now fixed.</w:t>
      </w:r>
    </w:p>
    <w:p w14:paraId="17D8945D" w14:textId="77777777" w:rsidR="003244C6" w:rsidRDefault="00000000">
      <w:pPr>
        <w:spacing w:after="0" w:line="259" w:lineRule="auto"/>
        <w:ind w:left="0" w:firstLine="0"/>
      </w:pPr>
      <w:r>
        <w:rPr>
          <w:rFonts w:ascii="Calibri" w:eastAsia="Calibri" w:hAnsi="Calibri" w:cs="Calibri"/>
          <w:sz w:val="22"/>
        </w:rPr>
        <w:t xml:space="preserve"> </w:t>
      </w:r>
    </w:p>
    <w:p w14:paraId="6AC06217" w14:textId="77777777" w:rsidR="003244C6" w:rsidRDefault="00000000">
      <w:pPr>
        <w:pStyle w:val="Heading1"/>
        <w:ind w:left="-5"/>
      </w:pPr>
      <w:r>
        <w:lastRenderedPageBreak/>
        <w:t xml:space="preserve">#Reviewer 2 </w:t>
      </w:r>
    </w:p>
    <w:p w14:paraId="717FEFEF" w14:textId="77777777" w:rsidR="003244C6" w:rsidRDefault="00000000">
      <w:pPr>
        <w:spacing w:after="306"/>
        <w:ind w:left="-5"/>
      </w:pPr>
      <w:r>
        <w:t xml:space="preserve">The content of this article is very well suited for publication in this journal. The paper presents a novel approach to accounting for species interactions and environmental drivers in fisheries stock assessments, which are three topics of specific interest to the journal. </w:t>
      </w:r>
    </w:p>
    <w:p w14:paraId="54248D06" w14:textId="77777777" w:rsidR="003244C6" w:rsidRDefault="00000000">
      <w:pPr>
        <w:pStyle w:val="Heading1"/>
        <w:ind w:left="-5"/>
      </w:pPr>
      <w:r>
        <w:t xml:space="preserve">Comments to author </w:t>
      </w:r>
    </w:p>
    <w:p w14:paraId="1942F9EC" w14:textId="77777777" w:rsidR="003244C6" w:rsidRDefault="00000000">
      <w:pPr>
        <w:ind w:left="-5"/>
      </w:pPr>
      <w:r>
        <w:t xml:space="preserve">I commend the authors on a well written and organized manuscript. The paper was easy to read and follow, and the study was well executed. I provide some small edits below and flag a few areas that were a bit confusing at first read and could maybe use a bit more explanation. </w:t>
      </w:r>
    </w:p>
    <w:p w14:paraId="397A84F0" w14:textId="77777777" w:rsidR="003244C6" w:rsidRDefault="00000000">
      <w:pPr>
        <w:ind w:left="-5"/>
      </w:pPr>
      <w:r>
        <w:t xml:space="preserve">Line 23 - fix spelling typo. “unexpectidly” should be “unexpectedly” </w:t>
      </w:r>
    </w:p>
    <w:p w14:paraId="40E330BA" w14:textId="663D4E2F" w:rsidR="0006337D" w:rsidRPr="0006337D" w:rsidRDefault="0006337D" w:rsidP="0006337D">
      <w:pPr>
        <w:ind w:left="-5"/>
        <w:rPr>
          <w:i/>
          <w:iCs/>
          <w:color w:val="4472C4" w:themeColor="accent1"/>
        </w:rPr>
      </w:pPr>
      <w:r>
        <w:rPr>
          <w:i/>
          <w:iCs/>
          <w:color w:val="4472C4" w:themeColor="accent1"/>
        </w:rPr>
        <w:t>Good catch, this spelling mistake is now fixed.</w:t>
      </w:r>
    </w:p>
    <w:p w14:paraId="2C4AB97D" w14:textId="77777777" w:rsidR="003244C6" w:rsidRDefault="00000000">
      <w:pPr>
        <w:ind w:left="-5"/>
      </w:pPr>
      <w:r>
        <w:t xml:space="preserve">Line 165 - I’m not sure this statement about the survey being “perhaps the largest fisheries-independent survey in the world” is correct. The Eastern Bering Sea bottom trawl survey is quite large and I think could be larger especially in years when they also sample up into the northern Bering sea. I would suggest either double checking this or just softening the language to be that it covers a large area, but don’t make a statement about it being the largest. </w:t>
      </w:r>
    </w:p>
    <w:p w14:paraId="608B335A" w14:textId="4A6716F8" w:rsidR="00A9460E" w:rsidRPr="00A9460E" w:rsidRDefault="00A9460E" w:rsidP="00A9460E">
      <w:pPr>
        <w:ind w:left="-5"/>
        <w:rPr>
          <w:i/>
          <w:iCs/>
          <w:color w:val="4472C4" w:themeColor="accent1"/>
        </w:rPr>
      </w:pPr>
      <w:r>
        <w:rPr>
          <w:i/>
          <w:iCs/>
          <w:color w:val="4472C4" w:themeColor="accent1"/>
        </w:rPr>
        <w:t>Apologies for this misstatement; we checked and the combined Bering Sea survey is larger than the NL survey</w:t>
      </w:r>
      <w:r>
        <w:rPr>
          <w:i/>
          <w:iCs/>
          <w:color w:val="4472C4" w:themeColor="accent1"/>
        </w:rPr>
        <w:t>.</w:t>
      </w:r>
      <w:r>
        <w:rPr>
          <w:i/>
          <w:iCs/>
          <w:color w:val="4472C4" w:themeColor="accent1"/>
        </w:rPr>
        <w:t xml:space="preserve"> We have revised it to read </w:t>
      </w:r>
      <w:r w:rsidR="00F67E9C">
        <w:rPr>
          <w:i/>
          <w:iCs/>
          <w:color w:val="4472C4" w:themeColor="accent1"/>
        </w:rPr>
        <w:t>“one of</w:t>
      </w:r>
      <w:r>
        <w:rPr>
          <w:i/>
          <w:iCs/>
          <w:color w:val="4472C4" w:themeColor="accent1"/>
        </w:rPr>
        <w:t xml:space="preserve"> the largest fisheries-independent surveys in the world</w:t>
      </w:r>
      <w:r w:rsidR="000E398A">
        <w:rPr>
          <w:i/>
          <w:iCs/>
          <w:color w:val="4472C4" w:themeColor="accent1"/>
        </w:rPr>
        <w:t>…</w:t>
      </w:r>
      <w:r>
        <w:rPr>
          <w:i/>
          <w:iCs/>
          <w:color w:val="4472C4" w:themeColor="accent1"/>
        </w:rPr>
        <w:t>”</w:t>
      </w:r>
    </w:p>
    <w:p w14:paraId="49BAC321" w14:textId="77777777" w:rsidR="003244C6" w:rsidRDefault="00000000">
      <w:pPr>
        <w:ind w:left="-5"/>
      </w:pPr>
      <w:r>
        <w:t xml:space="preserve">Line 170 - use “from” instead of “between” so it reads “from 1971 to 1994” </w:t>
      </w:r>
    </w:p>
    <w:p w14:paraId="29E0506C" w14:textId="32E94D92" w:rsidR="0055149E" w:rsidRDefault="0055149E">
      <w:pPr>
        <w:ind w:left="-5"/>
      </w:pPr>
      <w:r>
        <w:rPr>
          <w:i/>
          <w:iCs/>
          <w:color w:val="4472C4" w:themeColor="accent1"/>
        </w:rPr>
        <w:t>Done.</w:t>
      </w:r>
    </w:p>
    <w:p w14:paraId="1CDCB736" w14:textId="77777777" w:rsidR="003244C6" w:rsidRDefault="00000000">
      <w:pPr>
        <w:ind w:left="-5"/>
      </w:pPr>
      <w:r>
        <w:t xml:space="preserve">Line 200 - I’m a bit confused on where the mean of -1.15 for the normal proir on logscale comes from here, when in a later section with the same lower and upper values (0.01 and 1) it translates to a mean of -2.3? (see Line 230) </w:t>
      </w:r>
    </w:p>
    <w:p w14:paraId="20A7E33F" w14:textId="6C95CAA9" w:rsidR="002C0AAD" w:rsidRPr="002C0AAD" w:rsidRDefault="002C0AAD">
      <w:pPr>
        <w:ind w:left="-5"/>
        <w:rPr>
          <w:i/>
          <w:iCs/>
          <w:color w:val="4472C4" w:themeColor="accent1"/>
        </w:rPr>
      </w:pPr>
      <w:r w:rsidRPr="002C0AAD">
        <w:rPr>
          <w:i/>
          <w:iCs/>
          <w:color w:val="4472C4" w:themeColor="accent1"/>
        </w:rPr>
        <w:t>Sorry, this confusion stems from a typo. The lower value used for r was 0.1, not 0.01. This typo has been fixed.</w:t>
      </w:r>
    </w:p>
    <w:p w14:paraId="5A6D4D82" w14:textId="77777777" w:rsidR="003244C6" w:rsidRDefault="00000000">
      <w:pPr>
        <w:ind w:left="-5"/>
      </w:pPr>
      <w:r>
        <w:t xml:space="preserve">Line 247-249 - Why were 0.2 and 0.5 chosen here? </w:t>
      </w:r>
    </w:p>
    <w:p w14:paraId="3EB2A686" w14:textId="30361CE0" w:rsidR="008712C2" w:rsidRPr="008712C2" w:rsidRDefault="008712C2">
      <w:pPr>
        <w:ind w:left="-5"/>
        <w:rPr>
          <w:i/>
          <w:iCs/>
          <w:color w:val="4472C4" w:themeColor="accent1"/>
        </w:rPr>
      </w:pPr>
      <w:r w:rsidRPr="008712C2">
        <w:rPr>
          <w:i/>
          <w:iCs/>
          <w:color w:val="4472C4" w:themeColor="accent1"/>
        </w:rPr>
        <w:t>We thank the reviewer for this question</w:t>
      </w:r>
      <w:r>
        <w:rPr>
          <w:i/>
          <w:iCs/>
          <w:color w:val="4472C4" w:themeColor="accent1"/>
        </w:rPr>
        <w:t xml:space="preserve"> and we acknowledge that the justification was not clear as written</w:t>
      </w:r>
      <w:r w:rsidRPr="008712C2">
        <w:rPr>
          <w:i/>
          <w:iCs/>
          <w:color w:val="4472C4" w:themeColor="accent1"/>
        </w:rPr>
        <w:t xml:space="preserve">. </w:t>
      </w:r>
      <w:r w:rsidR="009D7F66">
        <w:rPr>
          <w:i/>
          <w:iCs/>
          <w:color w:val="4472C4" w:themeColor="accent1"/>
        </w:rPr>
        <w:t xml:space="preserve">We </w:t>
      </w:r>
      <w:r w:rsidR="00FE2B9B">
        <w:rPr>
          <w:i/>
          <w:iCs/>
          <w:color w:val="4472C4" w:themeColor="accent1"/>
        </w:rPr>
        <w:t>have revised the text to clarify</w:t>
      </w:r>
      <w:r w:rsidR="009D7F66">
        <w:rPr>
          <w:i/>
          <w:iCs/>
          <w:color w:val="4472C4" w:themeColor="accent1"/>
        </w:rPr>
        <w:t>: “</w:t>
      </w:r>
      <w:r w:rsidR="009D7F66" w:rsidRPr="009D7F66">
        <w:rPr>
          <w:i/>
          <w:iCs/>
          <w:color w:val="4472C4" w:themeColor="accent1"/>
        </w:rPr>
        <w:t>To account for the fact that the proportion of a stock accessible to the survey may be lower than the nominal coverage, this ratio was further adjusted: multiplied by 0.2 for deep-water species (</w:t>
      </w:r>
      <w:r w:rsidR="00FE2B9B">
        <w:rPr>
          <w:i/>
          <w:iCs/>
          <w:color w:val="4472C4" w:themeColor="accent1"/>
        </w:rPr>
        <w:t>…</w:t>
      </w:r>
      <w:r w:rsidR="009D7F66" w:rsidRPr="009D7F66">
        <w:rPr>
          <w:i/>
          <w:iCs/>
          <w:color w:val="4472C4" w:themeColor="accent1"/>
        </w:rPr>
        <w:t xml:space="preserve">) or by 0.5 for shallower shelf-associated species. These multipliers reflect prior expectations that gear selectivity (e.g., escapement under the footgear; Walsh, 1992) reduces availability </w:t>
      </w:r>
      <w:r w:rsidR="009D7F66" w:rsidRPr="009D7F66">
        <w:rPr>
          <w:i/>
          <w:iCs/>
          <w:color w:val="4472C4" w:themeColor="accent1"/>
        </w:rPr>
        <w:lastRenderedPageBreak/>
        <w:t>for all species, while deep-water species require an additional adjustment because a portion of the stock may occupy depths beyond the survey domain.</w:t>
      </w:r>
      <w:r w:rsidR="009D7F66">
        <w:rPr>
          <w:i/>
          <w:iCs/>
          <w:color w:val="4472C4" w:themeColor="accent1"/>
        </w:rPr>
        <w:t>”</w:t>
      </w:r>
    </w:p>
    <w:p w14:paraId="2E436B97" w14:textId="77777777" w:rsidR="003244C6" w:rsidRDefault="00000000">
      <w:pPr>
        <w:ind w:left="-5"/>
      </w:pPr>
      <w:r>
        <w:t xml:space="preserve">Line 372 - The meaning of the residual changes could be explained a bit more clearly here. The term “subtraction” makes it seem like the residual change should be negative, but in figure 4 the residual changes in the figure in the 1980s are positive? Its not intuitive what that means, and where that information is coming from. </w:t>
      </w:r>
    </w:p>
    <w:p w14:paraId="38897E3C" w14:textId="480950B7" w:rsidR="00B47FB5" w:rsidRPr="00B47FB5" w:rsidRDefault="00B47FB5">
      <w:pPr>
        <w:ind w:left="-5"/>
        <w:rPr>
          <w:i/>
          <w:iCs/>
          <w:color w:val="4472C4" w:themeColor="accent1"/>
        </w:rPr>
      </w:pPr>
      <w:r w:rsidRPr="00B47FB5">
        <w:rPr>
          <w:i/>
          <w:iCs/>
          <w:color w:val="4472C4" w:themeColor="accent1"/>
        </w:rPr>
        <w:t xml:space="preserve">We thank the reviewer for this observation. We have revised the text to clarify that residual changes represent deviations from expected biomass changes given production and landings, and can therefore be either additions (positive residuals) or subtractions (negative residuals). We now </w:t>
      </w:r>
      <w:r>
        <w:rPr>
          <w:i/>
          <w:iCs/>
          <w:color w:val="4472C4" w:themeColor="accent1"/>
        </w:rPr>
        <w:t xml:space="preserve">note the presence of </w:t>
      </w:r>
      <w:r w:rsidRPr="00B47FB5">
        <w:rPr>
          <w:i/>
          <w:iCs/>
          <w:color w:val="4472C4" w:themeColor="accent1"/>
        </w:rPr>
        <w:t>additions in the 1980s and the subtractions in the early 1990s across all three ecosystem production units.</w:t>
      </w:r>
    </w:p>
    <w:p w14:paraId="6B8340E4" w14:textId="77777777" w:rsidR="003244C6" w:rsidRDefault="00000000">
      <w:pPr>
        <w:ind w:left="-5"/>
      </w:pPr>
      <w:r>
        <w:t xml:space="preserve">Line 379 - Not sure the figure supports this statement. For the Grand Bank, yes the total biomass exceeded the carrying capacity in late 1980s, and there was a decline of all species quickly after, but it was then followed by steep increase in Redfish biomass. For Southern NL, the total biomass didn’t exceed carrying capacity or really approach it even until late 2010s. So not sure the use of “Elsewhere” he is appropriate. Would be better to specifically call out which other region also experienced declines after exceeding carrying capacity. </w:t>
      </w:r>
    </w:p>
    <w:p w14:paraId="2258578E" w14:textId="2D0C0271" w:rsidR="00433E5C" w:rsidRPr="00433E5C" w:rsidRDefault="00433E5C">
      <w:pPr>
        <w:ind w:left="-5"/>
        <w:rPr>
          <w:i/>
          <w:iCs/>
          <w:color w:val="4472C4" w:themeColor="accent1"/>
        </w:rPr>
      </w:pPr>
      <w:r w:rsidRPr="00433E5C">
        <w:rPr>
          <w:i/>
          <w:iCs/>
          <w:color w:val="4472C4" w:themeColor="accent1"/>
        </w:rPr>
        <w:t>We agree and have revised the text to avoid the vague phrasing “Elsewhere.” The revised version now separately describes each region</w:t>
      </w:r>
      <w:r>
        <w:rPr>
          <w:i/>
          <w:iCs/>
          <w:color w:val="4472C4" w:themeColor="accent1"/>
        </w:rPr>
        <w:t>, which has improved the clarity and accuracy of this paragraph.</w:t>
      </w:r>
    </w:p>
    <w:p w14:paraId="255D5E25" w14:textId="77777777" w:rsidR="003244C6" w:rsidRDefault="00000000">
      <w:pPr>
        <w:ind w:left="-5"/>
      </w:pPr>
      <w:r>
        <w:t xml:space="preserve">Discussion section - The focus of the discussion is almost entirely about how the results provide support for the declines in stocks in the case study being partially driven by a shared yet unknown environmental driver. While that is an very important result of this study, some more discussion around the “implications of our findings for ecosystembased fisheries management” and how this model could be broadly applied to move towards more operational EBFM would greatly improve the paper and enable others to more clearly see how this approach could be potentially applied in other systems. I would suggest adding a paragraph or two to the discussion to this end, or elaborate a bit more on this in the conclusion section where it touches on it a bit. </w:t>
      </w:r>
    </w:p>
    <w:p w14:paraId="09F179E7" w14:textId="3CBD978E" w:rsidR="003244C6" w:rsidRPr="00896467" w:rsidRDefault="007F1DC2" w:rsidP="007F1DC2">
      <w:pPr>
        <w:spacing w:after="0" w:line="259" w:lineRule="auto"/>
        <w:ind w:left="0" w:firstLine="0"/>
        <w:rPr>
          <w:i/>
          <w:iCs/>
          <w:color w:val="4472C4" w:themeColor="accent1"/>
        </w:rPr>
      </w:pPr>
      <w:r w:rsidRPr="007F1DC2">
        <w:rPr>
          <w:i/>
          <w:iCs/>
          <w:color w:val="4472C4" w:themeColor="accent1"/>
        </w:rPr>
        <w:t xml:space="preserve">We thank the reviewer for this constructive suggestion. In response, we have added a paragraph to the discussion and re-written the conclusion to more clearly highlight the implications of our findings for EBFM, particularly in data-limited contexts. We agree that these changes have improved the paper and hope </w:t>
      </w:r>
      <w:r>
        <w:rPr>
          <w:i/>
          <w:iCs/>
          <w:color w:val="4472C4" w:themeColor="accent1"/>
        </w:rPr>
        <w:t>the additional text and revised conclusion</w:t>
      </w:r>
      <w:r w:rsidRPr="007F1DC2">
        <w:rPr>
          <w:i/>
          <w:iCs/>
          <w:color w:val="4472C4" w:themeColor="accent1"/>
        </w:rPr>
        <w:t xml:space="preserve"> help readers recognize the potential applications of this method.</w:t>
      </w:r>
    </w:p>
    <w:sectPr w:rsidR="003244C6" w:rsidRPr="00896467">
      <w:headerReference w:type="even" r:id="rId6"/>
      <w:footerReference w:type="even" r:id="rId7"/>
      <w:footerReference w:type="default" r:id="rId8"/>
      <w:headerReference w:type="first" r:id="rId9"/>
      <w:footerReference w:type="first" r:id="rId10"/>
      <w:pgSz w:w="11906" w:h="16838"/>
      <w:pgMar w:top="1466" w:right="1709" w:bottom="1516" w:left="1702"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431EE" w14:textId="77777777" w:rsidR="00C12EF4" w:rsidRDefault="00C12EF4">
      <w:pPr>
        <w:spacing w:after="0" w:line="240" w:lineRule="auto"/>
      </w:pPr>
      <w:r>
        <w:separator/>
      </w:r>
    </w:p>
  </w:endnote>
  <w:endnote w:type="continuationSeparator" w:id="0">
    <w:p w14:paraId="04D2BB33" w14:textId="77777777" w:rsidR="00C12EF4" w:rsidRDefault="00C12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99FE7" w14:textId="77777777" w:rsidR="003244C6" w:rsidRDefault="00000000">
    <w:pPr>
      <w:spacing w:after="0" w:line="259" w:lineRule="auto"/>
      <w:ind w:left="0" w:right="-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3</w:t>
      </w:r>
    </w:fldSimple>
    <w:r>
      <w:rPr>
        <w:rFonts w:ascii="Calibri" w:eastAsia="Calibri" w:hAnsi="Calibri" w:cs="Calibri"/>
        <w:sz w:val="22"/>
      </w:rPr>
      <w:t xml:space="preserve"> </w:t>
    </w:r>
  </w:p>
  <w:p w14:paraId="24885CDA" w14:textId="77777777" w:rsidR="003244C6"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DD30" w14:textId="77777777" w:rsidR="003244C6" w:rsidRDefault="00000000">
    <w:pPr>
      <w:spacing w:after="0" w:line="259" w:lineRule="auto"/>
      <w:ind w:left="0" w:right="-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3</w:t>
      </w:r>
    </w:fldSimple>
    <w:r>
      <w:rPr>
        <w:rFonts w:ascii="Calibri" w:eastAsia="Calibri" w:hAnsi="Calibri" w:cs="Calibri"/>
        <w:sz w:val="22"/>
      </w:rPr>
      <w:t xml:space="preserve"> </w:t>
    </w:r>
  </w:p>
  <w:p w14:paraId="39D3516E" w14:textId="77777777" w:rsidR="003244C6"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6BC7" w14:textId="77777777" w:rsidR="003244C6" w:rsidRDefault="00000000">
    <w:pPr>
      <w:spacing w:after="0" w:line="259" w:lineRule="auto"/>
      <w:ind w:left="0" w:right="-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3</w:t>
      </w:r>
    </w:fldSimple>
    <w:r>
      <w:rPr>
        <w:rFonts w:ascii="Calibri" w:eastAsia="Calibri" w:hAnsi="Calibri" w:cs="Calibri"/>
        <w:sz w:val="22"/>
      </w:rPr>
      <w:t xml:space="preserve"> </w:t>
    </w:r>
  </w:p>
  <w:p w14:paraId="5E56715B" w14:textId="77777777" w:rsidR="003244C6"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388A0" w14:textId="77777777" w:rsidR="00C12EF4" w:rsidRDefault="00C12EF4">
      <w:pPr>
        <w:spacing w:after="0" w:line="240" w:lineRule="auto"/>
      </w:pPr>
      <w:r>
        <w:separator/>
      </w:r>
    </w:p>
  </w:footnote>
  <w:footnote w:type="continuationSeparator" w:id="0">
    <w:p w14:paraId="12B20A3E" w14:textId="77777777" w:rsidR="00C12EF4" w:rsidRDefault="00C12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6E789" w14:textId="38B56ADA" w:rsidR="00B44679" w:rsidRDefault="00B44679">
    <w:pPr>
      <w:pStyle w:val="Header"/>
    </w:pPr>
    <w:r>
      <w:rPr>
        <w:noProof/>
      </w:rPr>
      <mc:AlternateContent>
        <mc:Choice Requires="wps">
          <w:drawing>
            <wp:anchor distT="0" distB="0" distL="0" distR="0" simplePos="0" relativeHeight="251659264" behindDoc="0" locked="0" layoutInCell="1" allowOverlap="1" wp14:anchorId="22D0F308" wp14:editId="4E77BB42">
              <wp:simplePos x="635" y="635"/>
              <wp:positionH relativeFrom="page">
                <wp:align>right</wp:align>
              </wp:positionH>
              <wp:positionV relativeFrom="page">
                <wp:align>top</wp:align>
              </wp:positionV>
              <wp:extent cx="443865" cy="443865"/>
              <wp:effectExtent l="0" t="0" r="0" b="16510"/>
              <wp:wrapNone/>
              <wp:docPr id="448229052"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94C0A4" w14:textId="7AAF0C85"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D0F308" id="_x0000_t202" coordsize="21600,21600" o:spt="202" path="m,l,21600r21600,l21600,xe">
              <v:stroke joinstyle="miter"/>
              <v:path gradientshapeok="t" o:connecttype="rect"/>
            </v:shapetype>
            <v:shape id="Text Box 2" o:spid="_x0000_s1026" type="#_x0000_t202" alt="Unclassified - Non-Classifié" style="position:absolute;left:0;text-align:left;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1994C0A4" w14:textId="7AAF0C85"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A2A5C" w14:textId="1A4CBFE0" w:rsidR="00B44679" w:rsidRDefault="00B44679">
    <w:pPr>
      <w:pStyle w:val="Header"/>
    </w:pPr>
    <w:r>
      <w:rPr>
        <w:noProof/>
      </w:rPr>
      <mc:AlternateContent>
        <mc:Choice Requires="wps">
          <w:drawing>
            <wp:anchor distT="0" distB="0" distL="0" distR="0" simplePos="0" relativeHeight="251658240" behindDoc="0" locked="0" layoutInCell="1" allowOverlap="1" wp14:anchorId="0D69AA1A" wp14:editId="3EC17F6F">
              <wp:simplePos x="635" y="635"/>
              <wp:positionH relativeFrom="page">
                <wp:align>right</wp:align>
              </wp:positionH>
              <wp:positionV relativeFrom="page">
                <wp:align>top</wp:align>
              </wp:positionV>
              <wp:extent cx="443865" cy="443865"/>
              <wp:effectExtent l="0" t="0" r="0" b="16510"/>
              <wp:wrapNone/>
              <wp:docPr id="164637880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FF38F2" w14:textId="35384ABF"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69AA1A" id="_x0000_t202" coordsize="21600,21600" o:spt="202" path="m,l,21600r21600,l21600,xe">
              <v:stroke joinstyle="miter"/>
              <v:path gradientshapeok="t" o:connecttype="rect"/>
            </v:shapetype>
            <v:shape id="Text Box 1" o:spid="_x0000_s1027" type="#_x0000_t202" alt="Unclassified - Non-Classifié" style="position:absolute;left:0;text-align:left;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17FF38F2" w14:textId="35384ABF"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4C6"/>
    <w:rsid w:val="0006337D"/>
    <w:rsid w:val="000E398A"/>
    <w:rsid w:val="001635B2"/>
    <w:rsid w:val="0025793B"/>
    <w:rsid w:val="00257C48"/>
    <w:rsid w:val="002C0AAD"/>
    <w:rsid w:val="002C67B3"/>
    <w:rsid w:val="003244C6"/>
    <w:rsid w:val="00372B28"/>
    <w:rsid w:val="00433E5C"/>
    <w:rsid w:val="0055149E"/>
    <w:rsid w:val="00701CB4"/>
    <w:rsid w:val="007F1DC2"/>
    <w:rsid w:val="008712C2"/>
    <w:rsid w:val="00874F42"/>
    <w:rsid w:val="00896467"/>
    <w:rsid w:val="009658AC"/>
    <w:rsid w:val="00980014"/>
    <w:rsid w:val="009D7F66"/>
    <w:rsid w:val="00A07B9B"/>
    <w:rsid w:val="00A9460E"/>
    <w:rsid w:val="00B0485D"/>
    <w:rsid w:val="00B16B72"/>
    <w:rsid w:val="00B44679"/>
    <w:rsid w:val="00B47FB5"/>
    <w:rsid w:val="00B5202F"/>
    <w:rsid w:val="00B7222C"/>
    <w:rsid w:val="00C12EF4"/>
    <w:rsid w:val="00C24359"/>
    <w:rsid w:val="00D958AF"/>
    <w:rsid w:val="00DF5848"/>
    <w:rsid w:val="00F67E9C"/>
    <w:rsid w:val="00FE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52C86"/>
  <w15:docId w15:val="{24919B35-EB4F-4FD1-A6B1-6D8493E0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60E"/>
    <w:pPr>
      <w:spacing w:after="268"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27" w:line="24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Header">
    <w:name w:val="header"/>
    <w:basedOn w:val="Normal"/>
    <w:link w:val="HeaderChar"/>
    <w:uiPriority w:val="99"/>
    <w:unhideWhenUsed/>
    <w:rsid w:val="00B44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679"/>
    <w:rPr>
      <w:rFonts w:ascii="Times New Roman" w:eastAsia="Times New Roman" w:hAnsi="Times New Roman" w:cs="Times New Roman"/>
      <w:color w:val="000000"/>
      <w:sz w:val="24"/>
    </w:rPr>
  </w:style>
  <w:style w:type="paragraph" w:styleId="BodyText">
    <w:name w:val="Body Text"/>
    <w:basedOn w:val="Normal"/>
    <w:link w:val="BodyTextChar"/>
    <w:uiPriority w:val="99"/>
    <w:unhideWhenUsed/>
    <w:rsid w:val="00DF5848"/>
    <w:pPr>
      <w:spacing w:after="120"/>
    </w:pPr>
  </w:style>
  <w:style w:type="character" w:customStyle="1" w:styleId="BodyTextChar">
    <w:name w:val="Body Text Char"/>
    <w:basedOn w:val="DefaultParagraphFont"/>
    <w:link w:val="BodyText"/>
    <w:uiPriority w:val="99"/>
    <w:rsid w:val="00DF5848"/>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9440</TotalTime>
  <Pages>4</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Regular, Paul (DFO/MPO)</dc:creator>
  <cp:keywords/>
  <cp:lastModifiedBy>Regular, Paul (DFO/MPO)</cp:lastModifiedBy>
  <cp:revision>28</cp:revision>
  <dcterms:created xsi:type="dcterms:W3CDTF">2025-08-27T16:31:00Z</dcterms:created>
  <dcterms:modified xsi:type="dcterms:W3CDTF">2025-09-03T13:18:00Z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6221bf33,1ab76ebc,39cd14e7</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2025-08-27T16:30:39Z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3946d3d1-ec2e-481c-82e9-df86f4fcbdcd</vt:lpwstr>
  </property>
  <property fmtid="{D5CDD505-2E9C-101B-9397-08002B2CF9AE}" pid="11" name="MSIP_Label_4e6cdb53-fd15-486d-84de-c510e3a62203_ContentBits">
    <vt:lpwstr>1</vt:lpwstr>
  </property>
</Properties>
</file>