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DCD26A" w14:textId="77777777" w:rsidR="00565C24" w:rsidRPr="00604D7C" w:rsidRDefault="00C07D37">
      <w:pPr>
        <w:pStyle w:val="Normal1"/>
      </w:pPr>
      <w:r w:rsidRPr="00604D7C">
        <w:rPr>
          <w:b/>
        </w:rPr>
        <w:t>Study Information</w:t>
      </w:r>
    </w:p>
    <w:p w14:paraId="6D6B8893" w14:textId="2BBAA282" w:rsidR="001A00CF" w:rsidRPr="005E563D" w:rsidRDefault="00C07D37" w:rsidP="0009554A">
      <w:pPr>
        <w:pStyle w:val="Normal1"/>
        <w:numPr>
          <w:ilvl w:val="0"/>
          <w:numId w:val="1"/>
        </w:numPr>
        <w:ind w:hanging="360"/>
        <w:contextualSpacing/>
        <w:rPr>
          <w:b/>
        </w:rPr>
      </w:pPr>
      <w:r w:rsidRPr="005E563D">
        <w:rPr>
          <w:b/>
        </w:rPr>
        <w:t xml:space="preserve">Title </w:t>
      </w:r>
    </w:p>
    <w:p w14:paraId="2955A0BB" w14:textId="0C643A43" w:rsidR="00565C24" w:rsidRPr="00604D7C" w:rsidRDefault="002122AB">
      <w:pPr>
        <w:pStyle w:val="Normal1"/>
      </w:pPr>
      <w:r>
        <w:t>Feature-Binding Errors After Eye Movements</w:t>
      </w:r>
      <w:r w:rsidR="00923A61">
        <w:t>: Confidence reports</w:t>
      </w:r>
    </w:p>
    <w:p w14:paraId="23BA2EC7" w14:textId="77777777" w:rsidR="001A00CF" w:rsidRPr="00604D7C" w:rsidRDefault="001A00CF">
      <w:pPr>
        <w:pStyle w:val="Normal1"/>
      </w:pPr>
    </w:p>
    <w:p w14:paraId="13011246" w14:textId="2F229A19" w:rsidR="001A00CF" w:rsidRPr="005E563D" w:rsidRDefault="008D747C" w:rsidP="0009554A">
      <w:pPr>
        <w:pStyle w:val="Normal1"/>
        <w:numPr>
          <w:ilvl w:val="0"/>
          <w:numId w:val="1"/>
        </w:numPr>
        <w:ind w:hanging="360"/>
        <w:contextualSpacing/>
        <w:rPr>
          <w:b/>
        </w:rPr>
      </w:pPr>
      <w:r w:rsidRPr="005E563D">
        <w:rPr>
          <w:b/>
        </w:rPr>
        <w:t>Authorship</w:t>
      </w:r>
    </w:p>
    <w:p w14:paraId="2B26C399" w14:textId="23061793" w:rsidR="001A00CF" w:rsidRPr="00604D7C" w:rsidRDefault="00D306FF" w:rsidP="001A00CF">
      <w:pPr>
        <w:pStyle w:val="Normal1"/>
        <w:contextualSpacing/>
      </w:pPr>
      <w:r>
        <w:t>Paul Scotti</w:t>
      </w:r>
      <w:r w:rsidR="000956BF">
        <w:t xml:space="preserve">, </w:t>
      </w:r>
      <w:proofErr w:type="spellStart"/>
      <w:r w:rsidR="002122AB">
        <w:t>Jiageng</w:t>
      </w:r>
      <w:proofErr w:type="spellEnd"/>
      <w:r w:rsidR="002122AB">
        <w:t xml:space="preserve"> Chen, &amp; Julie Golomb</w:t>
      </w:r>
    </w:p>
    <w:p w14:paraId="42ED1AD9" w14:textId="77777777" w:rsidR="008D747C" w:rsidRPr="00604D7C" w:rsidRDefault="008D747C" w:rsidP="008D747C">
      <w:pPr>
        <w:pStyle w:val="Normal1"/>
        <w:ind w:left="720"/>
        <w:contextualSpacing/>
      </w:pPr>
    </w:p>
    <w:p w14:paraId="5503DD9B" w14:textId="77777777" w:rsidR="00565C24" w:rsidRPr="005E563D" w:rsidRDefault="00C07D37">
      <w:pPr>
        <w:pStyle w:val="Normal1"/>
        <w:numPr>
          <w:ilvl w:val="0"/>
          <w:numId w:val="1"/>
        </w:numPr>
        <w:ind w:hanging="360"/>
        <w:contextualSpacing/>
        <w:rPr>
          <w:b/>
        </w:rPr>
      </w:pPr>
      <w:r w:rsidRPr="005E563D">
        <w:rPr>
          <w:b/>
        </w:rPr>
        <w:t xml:space="preserve">Research Questions </w:t>
      </w:r>
    </w:p>
    <w:p w14:paraId="17585020" w14:textId="77777777" w:rsidR="00125CD3" w:rsidRDefault="00125CD3">
      <w:pPr>
        <w:pStyle w:val="Normal1"/>
      </w:pPr>
    </w:p>
    <w:p w14:paraId="4F1AEF31" w14:textId="0A71C740" w:rsidR="00565C24" w:rsidRPr="00604D7C" w:rsidRDefault="00B97ADD">
      <w:pPr>
        <w:pStyle w:val="Normal1"/>
      </w:pPr>
      <w:r>
        <w:t>Following eye movements, attention must be updated to a new location. This updating process can distort our ability to bind object locations with their feature</w:t>
      </w:r>
      <w:r w:rsidR="001D285D">
        <w:t>s</w:t>
      </w:r>
      <w:r>
        <w:t>.</w:t>
      </w:r>
      <w:r w:rsidR="00E346F1">
        <w:t xml:space="preserve"> Golomb, </w:t>
      </w:r>
      <w:proofErr w:type="spellStart"/>
      <w:r w:rsidR="00E346F1">
        <w:t>L’Heureux</w:t>
      </w:r>
      <w:proofErr w:type="spellEnd"/>
      <w:r w:rsidR="00E346F1">
        <w:t xml:space="preserve">, &amp; Kanwisher (2014) reported two types of feature-binding errors that can occur immediately following saccades: swapping errors and feature-mixing errors. </w:t>
      </w:r>
      <w:r>
        <w:t>A</w:t>
      </w:r>
      <w:r w:rsidR="004A7229">
        <w:t xml:space="preserve">re subjects aware when they are committing </w:t>
      </w:r>
      <w:r>
        <w:t xml:space="preserve">these </w:t>
      </w:r>
      <w:r w:rsidR="004A7229">
        <w:t>feature-binding errors</w:t>
      </w:r>
      <w:r w:rsidR="00E346F1">
        <w:t xml:space="preserve">? </w:t>
      </w:r>
      <w:r w:rsidR="00923A61">
        <w:t>Here we add confidence reports</w:t>
      </w:r>
      <w:r w:rsidR="004A7229">
        <w:t xml:space="preserve"> </w:t>
      </w:r>
      <w:r w:rsidR="00923A61">
        <w:t>to ask whether these different</w:t>
      </w:r>
      <w:r w:rsidR="001D285D">
        <w:t xml:space="preserve"> type</w:t>
      </w:r>
      <w:r w:rsidR="00923A61">
        <w:t>s</w:t>
      </w:r>
      <w:r w:rsidR="001D285D">
        <w:t xml:space="preserve"> of feature-binding error</w:t>
      </w:r>
      <w:r w:rsidR="00923A61">
        <w:t>s</w:t>
      </w:r>
      <w:r w:rsidR="001D285D">
        <w:t xml:space="preserve"> </w:t>
      </w:r>
      <w:r w:rsidR="00923A61">
        <w:t>are associated with higher or lower confidence ranges.</w:t>
      </w:r>
    </w:p>
    <w:p w14:paraId="38A14FA0" w14:textId="77777777" w:rsidR="001A00CF" w:rsidRPr="00604D7C" w:rsidRDefault="001A00CF">
      <w:pPr>
        <w:pStyle w:val="Normal1"/>
      </w:pPr>
    </w:p>
    <w:p w14:paraId="57570E01" w14:textId="77777777" w:rsidR="00565C24" w:rsidRPr="005E563D" w:rsidRDefault="00C07D37">
      <w:pPr>
        <w:pStyle w:val="Normal1"/>
        <w:numPr>
          <w:ilvl w:val="0"/>
          <w:numId w:val="1"/>
        </w:numPr>
        <w:ind w:hanging="360"/>
        <w:contextualSpacing/>
        <w:rPr>
          <w:b/>
        </w:rPr>
      </w:pPr>
      <w:r w:rsidRPr="005E563D">
        <w:rPr>
          <w:b/>
        </w:rPr>
        <w:t>Hypotheses</w:t>
      </w:r>
    </w:p>
    <w:p w14:paraId="61733878" w14:textId="4C863F12" w:rsidR="001A00CF" w:rsidRPr="00604D7C" w:rsidRDefault="001A00CF" w:rsidP="00D306FF">
      <w:pPr>
        <w:pStyle w:val="Normal1"/>
      </w:pPr>
    </w:p>
    <w:p w14:paraId="27134028" w14:textId="665481C5" w:rsidR="000D5DAC" w:rsidRDefault="004A7229">
      <w:pPr>
        <w:pStyle w:val="Normal1"/>
      </w:pPr>
      <w:r>
        <w:t xml:space="preserve">We </w:t>
      </w:r>
      <w:r w:rsidR="0065091E">
        <w:t>expect to replicate</w:t>
      </w:r>
      <w:r>
        <w:t xml:space="preserve"> the original Golomb, </w:t>
      </w:r>
      <w:proofErr w:type="spellStart"/>
      <w:r>
        <w:t>L’Heureux</w:t>
      </w:r>
      <w:proofErr w:type="spellEnd"/>
      <w:r>
        <w:t>, &amp; Kanwisher (2014) study (expt. 1)</w:t>
      </w:r>
      <w:r w:rsidR="006B52DE">
        <w:t xml:space="preserve"> finding feature-mixing and swapping errors 50ms after completion of an eye movement</w:t>
      </w:r>
      <w:r>
        <w:t xml:space="preserve">. </w:t>
      </w:r>
      <w:r w:rsidR="00F82832">
        <w:t xml:space="preserve">The </w:t>
      </w:r>
      <w:r w:rsidR="009938AE">
        <w:t xml:space="preserve">novel aspect of the current experiment centers on the </w:t>
      </w:r>
      <w:r w:rsidR="00F82832">
        <w:t xml:space="preserve">addition of </w:t>
      </w:r>
      <w:r w:rsidR="00E94452">
        <w:t>allowing</w:t>
      </w:r>
      <w:r w:rsidR="00F82832">
        <w:t xml:space="preserve"> subjects to specify a flexible range of error around their estimates on </w:t>
      </w:r>
      <w:r w:rsidR="009938AE">
        <w:t xml:space="preserve">the </w:t>
      </w:r>
      <w:r w:rsidR="00F82832">
        <w:t>continuous-report task</w:t>
      </w:r>
      <w:r w:rsidR="00896AC6">
        <w:t xml:space="preserve"> (</w:t>
      </w:r>
      <w:r w:rsidR="00A8338F">
        <w:t xml:space="preserve">e.g., </w:t>
      </w:r>
      <w:r w:rsidR="00896AC6">
        <w:t>Chen &amp; Golomb, VSS 2018)</w:t>
      </w:r>
      <w:r w:rsidR="00A8338F">
        <w:t xml:space="preserve">. We hypothesize that subjects </w:t>
      </w:r>
      <w:r w:rsidR="00683D92">
        <w:t xml:space="preserve">will generally report lower confidence </w:t>
      </w:r>
      <w:r w:rsidR="004A5296">
        <w:t>in their responses during the period immediately following an eye m</w:t>
      </w:r>
      <w:r w:rsidR="000D5DAC">
        <w:t>ovement. Moreover, we hypothesize</w:t>
      </w:r>
      <w:r w:rsidR="004A5296">
        <w:t xml:space="preserve"> that</w:t>
      </w:r>
      <w:r w:rsidR="00896AC6">
        <w:t xml:space="preserve"> higher confidence trials </w:t>
      </w:r>
      <w:r w:rsidR="004A5296">
        <w:t>will be</w:t>
      </w:r>
      <w:r w:rsidR="00896AC6">
        <w:t xml:space="preserve"> generally associated with </w:t>
      </w:r>
      <w:r w:rsidR="00BE5FC4">
        <w:t>better performance</w:t>
      </w:r>
      <w:r w:rsidR="00896AC6">
        <w:t xml:space="preserve"> (</w:t>
      </w:r>
      <w:r w:rsidR="000D5DAC">
        <w:t>better precision</w:t>
      </w:r>
      <w:r w:rsidR="00075A44">
        <w:t>, smaller guessing rate</w:t>
      </w:r>
      <w:r w:rsidR="00896AC6">
        <w:t>) than lower confidence trials</w:t>
      </w:r>
      <w:r w:rsidR="00641DB8">
        <w:t>.</w:t>
      </w:r>
      <w:r w:rsidR="00075A44">
        <w:t xml:space="preserve"> </w:t>
      </w:r>
      <w:r w:rsidR="000D5DAC">
        <w:t xml:space="preserve">The critical question is whether feature-mixing and swapping errors will </w:t>
      </w:r>
      <w:r w:rsidR="00246BC3">
        <w:t xml:space="preserve">be made with different levels of confidence. </w:t>
      </w:r>
    </w:p>
    <w:p w14:paraId="6D667D1D" w14:textId="77777777" w:rsidR="00246BC3" w:rsidRDefault="00246BC3">
      <w:pPr>
        <w:pStyle w:val="Normal1"/>
      </w:pPr>
    </w:p>
    <w:p w14:paraId="6B034E49" w14:textId="77777777" w:rsidR="00246BC3" w:rsidRDefault="00246BC3">
      <w:pPr>
        <w:pStyle w:val="Normal1"/>
      </w:pPr>
      <w:r>
        <w:t>Hypothesis A: Both swapping and mixing errors will be associated with lower confidence ratings (more frequent errors on low than high confidence trials), suggesting that subjects are aware they may be making these errors.</w:t>
      </w:r>
    </w:p>
    <w:p w14:paraId="270B0B94" w14:textId="77777777" w:rsidR="00246BC3" w:rsidRDefault="00246BC3">
      <w:pPr>
        <w:pStyle w:val="Normal1"/>
      </w:pPr>
    </w:p>
    <w:p w14:paraId="66CB0FD7" w14:textId="0893DE71" w:rsidR="00246BC3" w:rsidRDefault="00246BC3" w:rsidP="00246BC3">
      <w:pPr>
        <w:pStyle w:val="Normal1"/>
      </w:pPr>
      <w:r>
        <w:t>Hypothesis B: Both swapping and mixing errors will be made with high confidence (equally likely or more frequent on high than low confidence trials), suggesting that subjects are confident in their response and unaware they are making these errors.</w:t>
      </w:r>
    </w:p>
    <w:p w14:paraId="2BC94947" w14:textId="77777777" w:rsidR="00246BC3" w:rsidRDefault="00246BC3" w:rsidP="00246BC3">
      <w:pPr>
        <w:pStyle w:val="Normal1"/>
      </w:pPr>
    </w:p>
    <w:p w14:paraId="640CF36B" w14:textId="22D1332B" w:rsidR="00246BC3" w:rsidRDefault="00246BC3" w:rsidP="00246BC3">
      <w:pPr>
        <w:pStyle w:val="Normal1"/>
      </w:pPr>
      <w:r>
        <w:t xml:space="preserve">Hypothesis C: </w:t>
      </w:r>
      <w:r w:rsidR="00461132">
        <w:t xml:space="preserve">High confidence for swapping errors but low confidence for mixing errors. </w:t>
      </w:r>
      <w:r w:rsidR="00B36C75">
        <w:t>Subjects are unaware attention is lingering at the previous retinotopic location and think they are reporting the correct item.</w:t>
      </w:r>
    </w:p>
    <w:p w14:paraId="5FA6CC51" w14:textId="77777777" w:rsidR="00461132" w:rsidRDefault="00461132" w:rsidP="00246BC3">
      <w:pPr>
        <w:pStyle w:val="Normal1"/>
      </w:pPr>
    </w:p>
    <w:p w14:paraId="56406062" w14:textId="4F2EB9D8" w:rsidR="00246BC3" w:rsidRDefault="00461132">
      <w:pPr>
        <w:pStyle w:val="Normal1"/>
      </w:pPr>
      <w:r>
        <w:t>Hypothesis D: High confidence for mixing errors but low confidence for swapping errors.</w:t>
      </w:r>
      <w:r w:rsidR="00B36C75">
        <w:t xml:space="preserve"> Subjects know when they make big errors, but </w:t>
      </w:r>
      <w:r w:rsidR="00460BE4">
        <w:t xml:space="preserve">are not </w:t>
      </w:r>
      <w:r w:rsidR="00432A3B">
        <w:t>aware of the subtle</w:t>
      </w:r>
      <w:r w:rsidR="00460BE4">
        <w:t>r</w:t>
      </w:r>
      <w:r w:rsidR="00432A3B">
        <w:t xml:space="preserve"> distortions.</w:t>
      </w:r>
    </w:p>
    <w:p w14:paraId="60D73A0A" w14:textId="77777777" w:rsidR="001A00CF" w:rsidRPr="00604D7C" w:rsidRDefault="001A00CF">
      <w:pPr>
        <w:pStyle w:val="Normal1"/>
      </w:pPr>
    </w:p>
    <w:p w14:paraId="25EF9C27" w14:textId="77777777" w:rsidR="00565C24" w:rsidRPr="00604D7C" w:rsidRDefault="00C07D37">
      <w:pPr>
        <w:pStyle w:val="Normal1"/>
      </w:pPr>
      <w:r w:rsidRPr="00604D7C">
        <w:rPr>
          <w:b/>
        </w:rPr>
        <w:lastRenderedPageBreak/>
        <w:t>Sampling Plan</w:t>
      </w:r>
    </w:p>
    <w:p w14:paraId="196D8FA5" w14:textId="77777777" w:rsidR="00565C24" w:rsidRPr="00604D7C" w:rsidRDefault="00565C24">
      <w:pPr>
        <w:pStyle w:val="Normal1"/>
      </w:pPr>
    </w:p>
    <w:p w14:paraId="1455AE30" w14:textId="2A639614" w:rsidR="00565C24" w:rsidRPr="005E563D" w:rsidRDefault="00C07D37" w:rsidP="00D275F3">
      <w:pPr>
        <w:pStyle w:val="Normal1"/>
        <w:numPr>
          <w:ilvl w:val="0"/>
          <w:numId w:val="1"/>
        </w:numPr>
        <w:ind w:hanging="360"/>
        <w:contextualSpacing/>
        <w:rPr>
          <w:b/>
        </w:rPr>
      </w:pPr>
      <w:r w:rsidRPr="005E563D">
        <w:rPr>
          <w:b/>
        </w:rPr>
        <w:t>Existing data</w:t>
      </w:r>
    </w:p>
    <w:p w14:paraId="0E3CC2D6" w14:textId="7A110838" w:rsidR="00244F73" w:rsidRPr="00EA340C" w:rsidRDefault="00C07D37" w:rsidP="002332C8">
      <w:pPr>
        <w:pStyle w:val="Normal1"/>
        <w:numPr>
          <w:ilvl w:val="1"/>
          <w:numId w:val="1"/>
        </w:numPr>
        <w:ind w:hanging="360"/>
        <w:contextualSpacing/>
      </w:pPr>
      <w:r w:rsidRPr="00EA340C">
        <w:t xml:space="preserve">As of the </w:t>
      </w:r>
      <w:r w:rsidR="00652870">
        <w:t>time</w:t>
      </w:r>
      <w:r w:rsidRPr="00EA340C">
        <w:t xml:space="preserve"> of submission of this research plan for preregistration,</w:t>
      </w:r>
      <w:r w:rsidR="0073308C">
        <w:t xml:space="preserve"> no data has been collected or analyzed.</w:t>
      </w:r>
    </w:p>
    <w:p w14:paraId="0B5463AD" w14:textId="77777777" w:rsidR="00244F73" w:rsidRPr="00604D7C" w:rsidRDefault="00244F73" w:rsidP="00244F73">
      <w:pPr>
        <w:pStyle w:val="Normal1"/>
        <w:ind w:left="2160"/>
        <w:contextualSpacing/>
      </w:pPr>
    </w:p>
    <w:p w14:paraId="3C362E2F" w14:textId="576FEF95" w:rsidR="00565C24" w:rsidRPr="002332C8" w:rsidRDefault="00C07D37" w:rsidP="002332C8">
      <w:pPr>
        <w:pStyle w:val="Normal1"/>
        <w:numPr>
          <w:ilvl w:val="0"/>
          <w:numId w:val="1"/>
        </w:numPr>
        <w:ind w:hanging="360"/>
        <w:contextualSpacing/>
        <w:rPr>
          <w:b/>
        </w:rPr>
      </w:pPr>
      <w:r w:rsidRPr="005E563D">
        <w:rPr>
          <w:b/>
        </w:rPr>
        <w:t>Data collection procedures.</w:t>
      </w:r>
    </w:p>
    <w:p w14:paraId="7C46FAE5" w14:textId="77777777" w:rsidR="002332C8" w:rsidRDefault="00242BA0" w:rsidP="002332C8">
      <w:pPr>
        <w:pStyle w:val="Normal1"/>
        <w:numPr>
          <w:ilvl w:val="1"/>
          <w:numId w:val="1"/>
        </w:numPr>
        <w:ind w:hanging="360"/>
        <w:contextualSpacing/>
      </w:pPr>
      <w:r w:rsidRPr="00604D7C">
        <w:rPr>
          <w:i/>
        </w:rPr>
        <w:t>Timeline.</w:t>
      </w:r>
      <w:r w:rsidRPr="00604D7C">
        <w:t xml:space="preserve"> </w:t>
      </w:r>
    </w:p>
    <w:p w14:paraId="6D349206" w14:textId="4A14263E" w:rsidR="00242BA0" w:rsidRPr="00604D7C" w:rsidRDefault="00242BA0" w:rsidP="002332C8">
      <w:pPr>
        <w:pStyle w:val="Normal1"/>
        <w:numPr>
          <w:ilvl w:val="2"/>
          <w:numId w:val="1"/>
        </w:numPr>
        <w:ind w:hanging="180"/>
        <w:contextualSpacing/>
      </w:pPr>
      <w:r w:rsidRPr="00604D7C">
        <w:t xml:space="preserve">The study will take place during </w:t>
      </w:r>
      <w:r w:rsidR="000956BF">
        <w:t>Spring 2018</w:t>
      </w:r>
      <w:r w:rsidRPr="00604D7C">
        <w:t xml:space="preserve">. </w:t>
      </w:r>
      <w:bookmarkStart w:id="0" w:name="_GoBack"/>
      <w:bookmarkEnd w:id="0"/>
    </w:p>
    <w:p w14:paraId="05E0C1A4" w14:textId="1C6391DB" w:rsidR="00D84BAF" w:rsidRDefault="00242BA0" w:rsidP="002332C8">
      <w:pPr>
        <w:pStyle w:val="Normal1"/>
        <w:numPr>
          <w:ilvl w:val="1"/>
          <w:numId w:val="1"/>
        </w:numPr>
        <w:ind w:hanging="360"/>
        <w:contextualSpacing/>
      </w:pPr>
      <w:r w:rsidRPr="00604D7C">
        <w:rPr>
          <w:i/>
        </w:rPr>
        <w:t>Participants.</w:t>
      </w:r>
      <w:r w:rsidR="003E4EE5">
        <w:t xml:space="preserve"> </w:t>
      </w:r>
    </w:p>
    <w:p w14:paraId="6502A5AE" w14:textId="38024383" w:rsidR="00D84BAF" w:rsidRDefault="00D84BAF" w:rsidP="002332C8">
      <w:pPr>
        <w:pStyle w:val="Normal1"/>
        <w:numPr>
          <w:ilvl w:val="2"/>
          <w:numId w:val="1"/>
        </w:numPr>
        <w:ind w:hanging="180"/>
        <w:contextualSpacing/>
      </w:pPr>
      <w:r>
        <w:t>Participants will be recruited from The Ohio State University</w:t>
      </w:r>
      <w:r w:rsidR="000F08D2">
        <w:t xml:space="preserve"> and will either be paid according to an hourly rate of $10 or in exchange for credit in an introductory Psychology course.</w:t>
      </w:r>
    </w:p>
    <w:p w14:paraId="059690CE" w14:textId="77777777" w:rsidR="00565C24" w:rsidRPr="00604D7C" w:rsidRDefault="00565C24">
      <w:pPr>
        <w:pStyle w:val="Normal1"/>
      </w:pPr>
    </w:p>
    <w:p w14:paraId="7C3DD199" w14:textId="77777777" w:rsidR="00565C24" w:rsidRPr="005E563D" w:rsidRDefault="00C07D37">
      <w:pPr>
        <w:pStyle w:val="Normal1"/>
        <w:numPr>
          <w:ilvl w:val="0"/>
          <w:numId w:val="1"/>
        </w:numPr>
        <w:ind w:hanging="360"/>
        <w:contextualSpacing/>
        <w:rPr>
          <w:b/>
        </w:rPr>
      </w:pPr>
      <w:r w:rsidRPr="005E563D">
        <w:rPr>
          <w:b/>
        </w:rPr>
        <w:t>Sample size</w:t>
      </w:r>
    </w:p>
    <w:p w14:paraId="115939A6" w14:textId="7F8BB709" w:rsidR="00D84BAF" w:rsidRPr="00434C4C" w:rsidRDefault="00A37D87">
      <w:pPr>
        <w:pStyle w:val="Normal1"/>
        <w:numPr>
          <w:ilvl w:val="1"/>
          <w:numId w:val="1"/>
        </w:numPr>
        <w:ind w:hanging="360"/>
        <w:contextualSpacing/>
      </w:pPr>
      <w:r w:rsidRPr="00434C4C">
        <w:t>The Ohio State University</w:t>
      </w:r>
      <w:r w:rsidR="00D84BAF" w:rsidRPr="00434C4C">
        <w:t>: 20 participants.</w:t>
      </w:r>
    </w:p>
    <w:p w14:paraId="6CDA1024" w14:textId="77777777" w:rsidR="00565C24" w:rsidRPr="00604D7C" w:rsidRDefault="00565C24">
      <w:pPr>
        <w:pStyle w:val="Normal1"/>
      </w:pPr>
    </w:p>
    <w:p w14:paraId="04AA29D2" w14:textId="77777777" w:rsidR="00565C24" w:rsidRPr="005E563D" w:rsidRDefault="00C07D37">
      <w:pPr>
        <w:pStyle w:val="Normal1"/>
        <w:numPr>
          <w:ilvl w:val="0"/>
          <w:numId w:val="1"/>
        </w:numPr>
        <w:ind w:hanging="360"/>
        <w:contextualSpacing/>
        <w:rPr>
          <w:b/>
        </w:rPr>
      </w:pPr>
      <w:r w:rsidRPr="005E563D">
        <w:rPr>
          <w:b/>
        </w:rPr>
        <w:t>Sample size rationale</w:t>
      </w:r>
    </w:p>
    <w:p w14:paraId="2FFD2B55" w14:textId="7C0D8CA7" w:rsidR="00D27403" w:rsidRDefault="00C82CFD" w:rsidP="00802C58">
      <w:pPr>
        <w:pStyle w:val="Normal1"/>
        <w:numPr>
          <w:ilvl w:val="1"/>
          <w:numId w:val="1"/>
        </w:numPr>
        <w:ind w:hanging="360"/>
        <w:contextualSpacing/>
      </w:pPr>
      <w:r>
        <w:t xml:space="preserve">Sample size is based </w:t>
      </w:r>
      <w:r w:rsidR="00953657">
        <w:t>on a power analysis of experiment 1 from</w:t>
      </w:r>
      <w:r w:rsidR="00B14CAF">
        <w:t xml:space="preserve"> Golomb, </w:t>
      </w:r>
      <w:proofErr w:type="spellStart"/>
      <w:r w:rsidR="00B14CAF">
        <w:t>L</w:t>
      </w:r>
      <w:r w:rsidR="00A821C0">
        <w:t>’Heureux</w:t>
      </w:r>
      <w:proofErr w:type="spellEnd"/>
      <w:r w:rsidR="00A821C0">
        <w:t>, and Kanwisher (2014).</w:t>
      </w:r>
      <w:r w:rsidR="002B22DD">
        <w:t xml:space="preserve"> Power analyse</w:t>
      </w:r>
      <w:r w:rsidR="004864EF">
        <w:t>s (</w:t>
      </w:r>
      <w:r w:rsidR="00D8520F">
        <w:t>given</w:t>
      </w:r>
      <w:r w:rsidR="002B22DD">
        <w:t xml:space="preserve"> a </w:t>
      </w:r>
      <w:r w:rsidR="004864EF">
        <w:t>power of .8</w:t>
      </w:r>
      <w:r w:rsidR="00D8520F">
        <w:t>0</w:t>
      </w:r>
      <w:r w:rsidR="004864EF">
        <w:t xml:space="preserve"> and an alpha of .05)</w:t>
      </w:r>
      <w:r w:rsidR="002B22DD">
        <w:t xml:space="preserve"> reve</w:t>
      </w:r>
      <w:r w:rsidR="00FB2BAE">
        <w:t xml:space="preserve">al </w:t>
      </w:r>
      <w:r w:rsidR="00CA0BC0">
        <w:t>22</w:t>
      </w:r>
      <w:r w:rsidR="002B22DD">
        <w:t xml:space="preserve"> subjects</w:t>
      </w:r>
      <w:r w:rsidR="00FB2BAE">
        <w:t xml:space="preserve"> needed</w:t>
      </w:r>
      <w:r w:rsidR="002B22DD">
        <w:t xml:space="preserve"> for feature-mixing</w:t>
      </w:r>
      <w:r w:rsidR="00D8520F">
        <w:t xml:space="preserve"> analysis</w:t>
      </w:r>
      <w:r w:rsidR="002B22DD">
        <w:t xml:space="preserve"> (</w:t>
      </w:r>
      <w:r w:rsidR="00CA0BC0">
        <w:t>two</w:t>
      </w:r>
      <w:r w:rsidR="002B22DD">
        <w:t>-tailed, one-sample t-test</w:t>
      </w:r>
      <w:r w:rsidR="004864EF">
        <w:t xml:space="preserve"> </w:t>
      </w:r>
      <w:r w:rsidR="00A900C8">
        <w:t>comparing</w:t>
      </w:r>
      <w:r w:rsidR="004864EF">
        <w:t xml:space="preserve"> individual mean shift parameter </w:t>
      </w:r>
      <w:r w:rsidR="00A900C8">
        <w:t>to</w:t>
      </w:r>
      <w:r w:rsidR="004864EF">
        <w:t xml:space="preserve"> a null of 0, at 50 </w:t>
      </w:r>
      <w:proofErr w:type="spellStart"/>
      <w:r w:rsidR="004864EF">
        <w:t>ms</w:t>
      </w:r>
      <w:proofErr w:type="spellEnd"/>
      <w:r w:rsidR="004864EF">
        <w:t xml:space="preserve"> </w:t>
      </w:r>
      <w:r w:rsidR="00FB2BAE">
        <w:t xml:space="preserve">delay following saccade) and </w:t>
      </w:r>
      <w:r w:rsidR="004864EF">
        <w:t>2</w:t>
      </w:r>
      <w:r w:rsidR="00CA0BC0">
        <w:t>5</w:t>
      </w:r>
      <w:r w:rsidR="004864EF">
        <w:t xml:space="preserve"> subjects </w:t>
      </w:r>
      <w:r w:rsidR="00FB2BAE">
        <w:t xml:space="preserve">needed </w:t>
      </w:r>
      <w:r w:rsidR="004864EF">
        <w:t>for swap</w:t>
      </w:r>
      <w:r w:rsidR="00D8520F">
        <w:t xml:space="preserve"> error analysis </w:t>
      </w:r>
      <w:r w:rsidR="004864EF">
        <w:t>(</w:t>
      </w:r>
      <w:r w:rsidR="00CA0BC0">
        <w:t>two</w:t>
      </w:r>
      <w:r w:rsidR="004864EF">
        <w:t>-tailed paired</w:t>
      </w:r>
      <w:r w:rsidR="00513E68">
        <w:t xml:space="preserve"> t</w:t>
      </w:r>
      <w:r w:rsidR="004864EF">
        <w:t>-test, comparing proportion of retinotopic swapping to proportion of control distractor swapping</w:t>
      </w:r>
      <w:r w:rsidR="00B96714">
        <w:t>,</w:t>
      </w:r>
      <w:r w:rsidR="004864EF">
        <w:t xml:space="preserve"> at 50 </w:t>
      </w:r>
      <w:proofErr w:type="spellStart"/>
      <w:r w:rsidR="004864EF">
        <w:t>ms</w:t>
      </w:r>
      <w:proofErr w:type="spellEnd"/>
      <w:r w:rsidR="004864EF">
        <w:t xml:space="preserve"> delay following saccade). We therefore settled on a sample size of 2</w:t>
      </w:r>
      <w:r w:rsidR="00CA0BC0">
        <w:t>5</w:t>
      </w:r>
      <w:r w:rsidR="004864EF">
        <w:t xml:space="preserve"> for the proposed study.</w:t>
      </w:r>
    </w:p>
    <w:p w14:paraId="1B05608C" w14:textId="77777777" w:rsidR="00695A2F" w:rsidRPr="00604D7C" w:rsidRDefault="00695A2F" w:rsidP="00695A2F">
      <w:pPr>
        <w:pStyle w:val="Normal1"/>
      </w:pPr>
    </w:p>
    <w:p w14:paraId="529BBF2B" w14:textId="77777777" w:rsidR="00565C24" w:rsidRPr="00604D7C" w:rsidRDefault="00C07D37">
      <w:pPr>
        <w:pStyle w:val="Normal1"/>
      </w:pPr>
      <w:r w:rsidRPr="00604D7C">
        <w:rPr>
          <w:b/>
        </w:rPr>
        <w:t>Design Plan</w:t>
      </w:r>
    </w:p>
    <w:p w14:paraId="38D05792" w14:textId="77777777" w:rsidR="00565C24" w:rsidRPr="00604D7C" w:rsidRDefault="00565C24">
      <w:pPr>
        <w:pStyle w:val="Normal1"/>
      </w:pPr>
    </w:p>
    <w:p w14:paraId="2BBC3C67" w14:textId="77777777" w:rsidR="00565C24" w:rsidRPr="005E563D" w:rsidRDefault="00C07D37">
      <w:pPr>
        <w:pStyle w:val="Normal1"/>
        <w:numPr>
          <w:ilvl w:val="0"/>
          <w:numId w:val="1"/>
        </w:numPr>
        <w:ind w:hanging="360"/>
        <w:contextualSpacing/>
        <w:rPr>
          <w:b/>
        </w:rPr>
      </w:pPr>
      <w:r w:rsidRPr="005E563D">
        <w:rPr>
          <w:b/>
        </w:rPr>
        <w:t>Study type</w:t>
      </w:r>
    </w:p>
    <w:p w14:paraId="702C4001" w14:textId="7B9E5972" w:rsidR="00565C24" w:rsidRPr="00604D7C" w:rsidRDefault="00A137E3" w:rsidP="002A32CD">
      <w:pPr>
        <w:pStyle w:val="Normal1"/>
        <w:numPr>
          <w:ilvl w:val="1"/>
          <w:numId w:val="1"/>
        </w:numPr>
        <w:ind w:hanging="360"/>
        <w:contextualSpacing/>
      </w:pPr>
      <w:r>
        <w:t>Psychophysics</w:t>
      </w:r>
      <w:r w:rsidR="007F051E">
        <w:t xml:space="preserve"> eye-tracking</w:t>
      </w:r>
      <w:r>
        <w:t xml:space="preserve"> e</w:t>
      </w:r>
      <w:r w:rsidR="00C07D37" w:rsidRPr="00604D7C">
        <w:t xml:space="preserve">xperiment </w:t>
      </w:r>
    </w:p>
    <w:p w14:paraId="4F0AAC5F" w14:textId="77777777" w:rsidR="002A32CD" w:rsidRPr="00604D7C" w:rsidRDefault="002A32CD" w:rsidP="002A32CD">
      <w:pPr>
        <w:pStyle w:val="Normal1"/>
        <w:ind w:left="1440"/>
        <w:contextualSpacing/>
      </w:pPr>
    </w:p>
    <w:p w14:paraId="5E32D586" w14:textId="7CF1042A" w:rsidR="00565C24" w:rsidRPr="005E563D" w:rsidRDefault="00C07D37" w:rsidP="002A32CD">
      <w:pPr>
        <w:pStyle w:val="Normal1"/>
        <w:numPr>
          <w:ilvl w:val="0"/>
          <w:numId w:val="1"/>
        </w:numPr>
        <w:ind w:hanging="360"/>
        <w:contextualSpacing/>
        <w:rPr>
          <w:b/>
        </w:rPr>
      </w:pPr>
      <w:r w:rsidRPr="005E563D">
        <w:rPr>
          <w:b/>
        </w:rPr>
        <w:t>Blinding</w:t>
      </w:r>
    </w:p>
    <w:p w14:paraId="7F6FCFED" w14:textId="0EA02F17" w:rsidR="005004B3" w:rsidRDefault="005004B3" w:rsidP="002332C8">
      <w:pPr>
        <w:pStyle w:val="Normal1"/>
        <w:numPr>
          <w:ilvl w:val="1"/>
          <w:numId w:val="1"/>
        </w:numPr>
        <w:ind w:hanging="360"/>
        <w:contextualSpacing/>
      </w:pPr>
      <w:r>
        <w:t xml:space="preserve">All participants that pass exclusionary criteria (see </w:t>
      </w:r>
      <w:r w:rsidR="00C13F17">
        <w:t>“Data exclusion” below</w:t>
      </w:r>
      <w:r>
        <w:t>) will be included.</w:t>
      </w:r>
    </w:p>
    <w:p w14:paraId="45031B1C" w14:textId="5ACC2723" w:rsidR="00981509" w:rsidRDefault="00EC3FF0" w:rsidP="002332C8">
      <w:pPr>
        <w:pStyle w:val="Normal1"/>
        <w:numPr>
          <w:ilvl w:val="1"/>
          <w:numId w:val="1"/>
        </w:numPr>
        <w:ind w:hanging="360"/>
        <w:contextualSpacing/>
      </w:pPr>
      <w:r>
        <w:t xml:space="preserve">Lab: </w:t>
      </w:r>
      <w:r w:rsidR="00981509" w:rsidRPr="00604D7C">
        <w:t>No bli</w:t>
      </w:r>
      <w:r w:rsidR="00981509">
        <w:t xml:space="preserve">nding </w:t>
      </w:r>
      <w:r w:rsidR="00D86A89">
        <w:t>will be</w:t>
      </w:r>
      <w:r w:rsidR="00981509">
        <w:t xml:space="preserve"> involved in this study </w:t>
      </w:r>
      <w:r w:rsidR="00E570A2">
        <w:t>(no between-subject conditions).</w:t>
      </w:r>
    </w:p>
    <w:p w14:paraId="0BA4594F" w14:textId="449F704E" w:rsidR="00565C24" w:rsidRPr="00604D7C" w:rsidRDefault="00565C24" w:rsidP="002A32CD">
      <w:pPr>
        <w:pStyle w:val="Normal1"/>
        <w:ind w:left="2160"/>
        <w:contextualSpacing/>
      </w:pPr>
    </w:p>
    <w:p w14:paraId="3B02EC96" w14:textId="6919C521" w:rsidR="00565C24" w:rsidRDefault="00C07D37">
      <w:pPr>
        <w:pStyle w:val="Normal1"/>
        <w:numPr>
          <w:ilvl w:val="0"/>
          <w:numId w:val="1"/>
        </w:numPr>
        <w:ind w:hanging="360"/>
        <w:contextualSpacing/>
        <w:rPr>
          <w:b/>
        </w:rPr>
      </w:pPr>
      <w:r w:rsidRPr="005E563D">
        <w:rPr>
          <w:b/>
        </w:rPr>
        <w:t>Study design</w:t>
      </w:r>
    </w:p>
    <w:p w14:paraId="1CAC612D" w14:textId="1C18BB30" w:rsidR="009D70B7" w:rsidRDefault="009D70B7" w:rsidP="009D70B7">
      <w:pPr>
        <w:pStyle w:val="Normal1"/>
        <w:contextualSpacing/>
        <w:rPr>
          <w:b/>
        </w:rPr>
      </w:pPr>
    </w:p>
    <w:p w14:paraId="248D0D41" w14:textId="77777777" w:rsidR="00120962" w:rsidRDefault="009D70B7" w:rsidP="00FA6763">
      <w:pPr>
        <w:pStyle w:val="Normal1"/>
        <w:ind w:left="720"/>
        <w:contextualSpacing/>
      </w:pPr>
      <w:r>
        <w:t xml:space="preserve">Protocol will follow that of experiment 1 in Golomb et al. (2014), with the </w:t>
      </w:r>
      <w:r w:rsidR="00432A3B">
        <w:t xml:space="preserve">addition </w:t>
      </w:r>
      <w:r>
        <w:t xml:space="preserve">of a confidence report following a continuous-report task. </w:t>
      </w:r>
      <w:r w:rsidR="00FA6763">
        <w:t xml:space="preserve">After a </w:t>
      </w:r>
      <w:r w:rsidR="007F2F52">
        <w:t xml:space="preserve">participant </w:t>
      </w:r>
      <w:r w:rsidR="00FA6763">
        <w:t xml:space="preserve">reports their best guess as to the cued, spatiotopic color </w:t>
      </w:r>
      <w:r w:rsidR="00FA6763" w:rsidRPr="00FA6763">
        <w:t>(single click on the color)</w:t>
      </w:r>
      <w:r w:rsidR="00FA6763" w:rsidRPr="00FA6763">
        <w:rPr>
          <w:rFonts w:hint="eastAsia"/>
        </w:rPr>
        <w:t xml:space="preserve">, </w:t>
      </w:r>
      <w:r w:rsidR="00FA6763">
        <w:t>they will</w:t>
      </w:r>
      <w:r w:rsidR="00FA6763" w:rsidRPr="00FA6763">
        <w:rPr>
          <w:rFonts w:hint="eastAsia"/>
        </w:rPr>
        <w:t xml:space="preserve"> </w:t>
      </w:r>
      <w:r w:rsidR="00FA6763" w:rsidRPr="00FA6763">
        <w:t>need to report their confidence range for that trial by making two additional</w:t>
      </w:r>
      <w:r w:rsidR="00FA6763" w:rsidRPr="00FA6763">
        <w:rPr>
          <w:rFonts w:hint="eastAsia"/>
        </w:rPr>
        <w:t xml:space="preserve"> </w:t>
      </w:r>
      <w:r w:rsidR="00FA6763" w:rsidRPr="00FA6763">
        <w:t xml:space="preserve">clicks </w:t>
      </w:r>
      <w:r w:rsidR="00FA6763" w:rsidRPr="00FA6763">
        <w:rPr>
          <w:rFonts w:hint="eastAsia"/>
        </w:rPr>
        <w:t xml:space="preserve">on </w:t>
      </w:r>
      <w:r w:rsidR="00FA6763" w:rsidRPr="00FA6763">
        <w:t xml:space="preserve">the </w:t>
      </w:r>
      <w:r w:rsidR="00FA6763" w:rsidRPr="00FA6763">
        <w:rPr>
          <w:rFonts w:hint="eastAsia"/>
        </w:rPr>
        <w:t>color wheel</w:t>
      </w:r>
      <w:r w:rsidR="00FA6763">
        <w:t>. This involves</w:t>
      </w:r>
      <w:r w:rsidR="00FA6763" w:rsidRPr="00FA6763">
        <w:t xml:space="preserve"> marking the portion of the color wheel that they are confident </w:t>
      </w:r>
      <w:r w:rsidR="00FA6763" w:rsidRPr="00FA6763">
        <w:rPr>
          <w:rFonts w:hint="eastAsia"/>
        </w:rPr>
        <w:t xml:space="preserve">the correct </w:t>
      </w:r>
      <w:r w:rsidR="00FA6763" w:rsidRPr="00FA6763">
        <w:rPr>
          <w:rFonts w:hint="eastAsia"/>
        </w:rPr>
        <w:lastRenderedPageBreak/>
        <w:t>target color</w:t>
      </w:r>
      <w:r w:rsidR="00FA6763" w:rsidRPr="00FA6763">
        <w:t xml:space="preserve"> fell within. </w:t>
      </w:r>
      <w:r w:rsidR="00FA6763">
        <w:t>That is</w:t>
      </w:r>
      <w:r w:rsidR="00FA6763" w:rsidRPr="00FA6763">
        <w:t>, if they were highly confident about their initial report, they would select a narrow error margin on both sides of that guess, whereas if they were less certain about the exact target color, they would mark a larger portion of the color wheel. The confidence range could be asymmetrical around their target report, and the angular distance between the two end points could range from 1 degree to 360 degrees (entire color wheel). Subjects</w:t>
      </w:r>
      <w:r w:rsidR="00FA6763" w:rsidRPr="00FA6763">
        <w:rPr>
          <w:rFonts w:hint="eastAsia"/>
        </w:rPr>
        <w:t xml:space="preserve"> </w:t>
      </w:r>
      <w:r w:rsidR="00FA6763" w:rsidRPr="00FA6763">
        <w:t>will be</w:t>
      </w:r>
      <w:r w:rsidR="00FA6763" w:rsidRPr="00FA6763">
        <w:rPr>
          <w:rFonts w:hint="eastAsia"/>
        </w:rPr>
        <w:t xml:space="preserve"> instructed to choose the smallest range </w:t>
      </w:r>
      <w:r w:rsidR="00FA6763" w:rsidRPr="00FA6763">
        <w:t xml:space="preserve">they think is likely to </w:t>
      </w:r>
      <w:r w:rsidR="00FA6763" w:rsidRPr="00FA6763">
        <w:rPr>
          <w:rFonts w:hint="eastAsia"/>
        </w:rPr>
        <w:t xml:space="preserve">contain the correct target color. They </w:t>
      </w:r>
      <w:r w:rsidR="00FA6763" w:rsidRPr="00FA6763">
        <w:t>will be</w:t>
      </w:r>
      <w:r w:rsidR="00FA6763" w:rsidRPr="00FA6763">
        <w:rPr>
          <w:rFonts w:hint="eastAsia"/>
        </w:rPr>
        <w:t xml:space="preserve"> also told they could select the entire color wheel or a very large range if they </w:t>
      </w:r>
      <w:r w:rsidR="00FA6763" w:rsidRPr="00FA6763">
        <w:t>do</w:t>
      </w:r>
      <w:r w:rsidR="00FA6763" w:rsidRPr="00FA6763">
        <w:rPr>
          <w:rFonts w:hint="eastAsia"/>
        </w:rPr>
        <w:t xml:space="preserve"> not see the target color</w:t>
      </w:r>
      <w:r w:rsidR="00FA6763" w:rsidRPr="00FA6763">
        <w:t xml:space="preserve"> and are guessing</w:t>
      </w:r>
      <w:r w:rsidR="00FA6763" w:rsidRPr="00FA6763">
        <w:rPr>
          <w:rFonts w:hint="eastAsia"/>
        </w:rPr>
        <w:t>.</w:t>
      </w:r>
      <w:r w:rsidR="00FA6763" w:rsidRPr="00FA6763">
        <w:t xml:space="preserve"> </w:t>
      </w:r>
    </w:p>
    <w:p w14:paraId="50A5D6E5" w14:textId="77777777" w:rsidR="00120962" w:rsidRDefault="00120962" w:rsidP="00FA6763">
      <w:pPr>
        <w:pStyle w:val="Normal1"/>
        <w:ind w:left="720"/>
        <w:contextualSpacing/>
      </w:pPr>
    </w:p>
    <w:p w14:paraId="64A90238" w14:textId="524232DB" w:rsidR="00FA6763" w:rsidRPr="00FA6763" w:rsidRDefault="00C041C7" w:rsidP="00FA6763">
      <w:pPr>
        <w:pStyle w:val="Normal1"/>
        <w:ind w:left="720"/>
        <w:contextualSpacing/>
      </w:pPr>
      <w:r>
        <w:t xml:space="preserve">Each of the four conditions (no-saccade or saccade; 50 </w:t>
      </w:r>
      <w:proofErr w:type="spellStart"/>
      <w:r>
        <w:t>ms</w:t>
      </w:r>
      <w:proofErr w:type="spellEnd"/>
      <w:r>
        <w:t xml:space="preserve"> or 500 </w:t>
      </w:r>
      <w:proofErr w:type="spellStart"/>
      <w:r>
        <w:t>ms</w:t>
      </w:r>
      <w:proofErr w:type="spellEnd"/>
      <w:r>
        <w:t xml:space="preserve"> delay) will be </w:t>
      </w:r>
      <w:proofErr w:type="spellStart"/>
      <w:r w:rsidR="00460BE4">
        <w:t>equiprobable</w:t>
      </w:r>
      <w:proofErr w:type="spellEnd"/>
      <w:r w:rsidR="00460BE4">
        <w:t xml:space="preserve"> and randomly intermixed</w:t>
      </w:r>
      <w:r>
        <w:t xml:space="preserve"> per subject, and the experiment will be composed of 34 trials per block, with a total of 12 blocks.  </w:t>
      </w:r>
    </w:p>
    <w:p w14:paraId="193A150F" w14:textId="2EFF5A41" w:rsidR="002A32CD" w:rsidRDefault="002A32CD" w:rsidP="00642040">
      <w:pPr>
        <w:pStyle w:val="Normal1"/>
        <w:contextualSpacing/>
      </w:pPr>
    </w:p>
    <w:p w14:paraId="44C0F0BC" w14:textId="61DF68B5" w:rsidR="00695A2F" w:rsidRDefault="004D6DA7" w:rsidP="00695A2F">
      <w:pPr>
        <w:pStyle w:val="Normal1"/>
        <w:ind w:left="360"/>
        <w:contextualSpacing/>
      </w:pPr>
      <w:r>
        <w:rPr>
          <w:noProof/>
        </w:rPr>
        <w:drawing>
          <wp:inline distT="0" distB="0" distL="0" distR="0" wp14:anchorId="5383A5D1" wp14:editId="13709A62">
            <wp:extent cx="5943600" cy="2928715"/>
            <wp:effectExtent l="0" t="0" r="0" b="5080"/>
            <wp:docPr id="1" name="Picture 1" descr="https://puu.sh/zBuSi/4b9e5b41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zBuSi/4b9e5b413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8715"/>
                    </a:xfrm>
                    <a:prstGeom prst="rect">
                      <a:avLst/>
                    </a:prstGeom>
                    <a:noFill/>
                    <a:ln>
                      <a:noFill/>
                    </a:ln>
                  </pic:spPr>
                </pic:pic>
              </a:graphicData>
            </a:graphic>
          </wp:inline>
        </w:drawing>
      </w:r>
    </w:p>
    <w:p w14:paraId="52C0D00E" w14:textId="77777777" w:rsidR="004D6DA7" w:rsidRPr="00604D7C" w:rsidRDefault="004D6DA7" w:rsidP="00695A2F">
      <w:pPr>
        <w:pStyle w:val="Normal1"/>
        <w:ind w:left="360"/>
        <w:contextualSpacing/>
      </w:pPr>
    </w:p>
    <w:p w14:paraId="2252BF4A" w14:textId="77777777" w:rsidR="00565C24" w:rsidRPr="00604D7C" w:rsidRDefault="00C07D37">
      <w:pPr>
        <w:pStyle w:val="Normal1"/>
      </w:pPr>
      <w:r w:rsidRPr="00604D7C">
        <w:rPr>
          <w:b/>
        </w:rPr>
        <w:t>Analysis Plan</w:t>
      </w:r>
    </w:p>
    <w:p w14:paraId="620FE6AB" w14:textId="620DF3FC" w:rsidR="00E02CA4" w:rsidRDefault="00E02CA4" w:rsidP="00F56CB5">
      <w:pPr>
        <w:pStyle w:val="Normal1"/>
        <w:contextualSpacing/>
        <w:rPr>
          <w:b/>
        </w:rPr>
      </w:pPr>
    </w:p>
    <w:p w14:paraId="5CA001C9" w14:textId="4CB6DA05" w:rsidR="00E02CA4" w:rsidRPr="00E02CA4" w:rsidRDefault="00E02CA4" w:rsidP="00E02CA4">
      <w:pPr>
        <w:pStyle w:val="Normal1"/>
        <w:numPr>
          <w:ilvl w:val="0"/>
          <w:numId w:val="1"/>
        </w:numPr>
        <w:ind w:hanging="360"/>
        <w:contextualSpacing/>
        <w:rPr>
          <w:b/>
        </w:rPr>
      </w:pPr>
      <w:r w:rsidRPr="005E563D">
        <w:rPr>
          <w:b/>
        </w:rPr>
        <w:t>Statistical models</w:t>
      </w:r>
    </w:p>
    <w:p w14:paraId="0F350E10" w14:textId="77777777" w:rsidR="00596A0C" w:rsidRDefault="00596A0C" w:rsidP="00596A0C">
      <w:pPr>
        <w:pStyle w:val="Normal1"/>
        <w:numPr>
          <w:ilvl w:val="1"/>
          <w:numId w:val="1"/>
        </w:numPr>
        <w:ind w:hanging="360"/>
        <w:contextualSpacing/>
      </w:pPr>
      <w:r>
        <w:t xml:space="preserve">Probabilistic mixture modeling will be conducted to characterize memory performance (Bays, </w:t>
      </w:r>
      <w:proofErr w:type="spellStart"/>
      <w:r>
        <w:t>Catalao</w:t>
      </w:r>
      <w:proofErr w:type="spellEnd"/>
      <w:r>
        <w:t>, &amp; Husain, 2009; Zhang &amp; Luck, 2008). We will employ the models described in Golomb et al. (2014). Specifically, these models include:</w:t>
      </w:r>
    </w:p>
    <w:p w14:paraId="01693E6E" w14:textId="77777777" w:rsidR="00596A0C" w:rsidRDefault="00596A0C" w:rsidP="00596A0C">
      <w:pPr>
        <w:pStyle w:val="Normal1"/>
        <w:ind w:left="1080"/>
        <w:contextualSpacing/>
      </w:pPr>
    </w:p>
    <w:p w14:paraId="3D8CA16E" w14:textId="77777777" w:rsidR="00596A0C" w:rsidRDefault="00596A0C" w:rsidP="00596A0C">
      <w:pPr>
        <w:pStyle w:val="Normal1"/>
        <w:ind w:left="720" w:firstLine="720"/>
        <w:contextualSpacing/>
      </w:pPr>
      <m:oMath>
        <m:r>
          <w:rPr>
            <w:rFonts w:ascii="Cambria Math" w:hAnsi="Cambria Math"/>
          </w:rPr>
          <m:t>Model A: p</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1- γ</m:t>
            </m:r>
          </m:e>
        </m:d>
        <m:sSub>
          <m:sSubPr>
            <m:ctrlPr>
              <w:rPr>
                <w:rFonts w:ascii="Cambria Math" w:hAnsi="Cambria Math"/>
                <w:i/>
              </w:rPr>
            </m:ctrlPr>
          </m:sSubPr>
          <m:e>
            <m:r>
              <w:rPr>
                <w:rFonts w:ascii="Cambria Math" w:hAnsi="Cambria Math"/>
              </w:rPr>
              <m:t>ϕ</m:t>
            </m:r>
          </m:e>
          <m:sub>
            <m:r>
              <w:rPr>
                <w:rFonts w:ascii="Cambria Math" w:hAnsi="Cambria Math"/>
              </w:rPr>
              <m:t>μ,κ</m:t>
            </m:r>
          </m:sub>
        </m:sSub>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oMath>
      <w:r>
        <w:t xml:space="preserve"> </w:t>
      </w:r>
    </w:p>
    <w:p w14:paraId="5719DDE4" w14:textId="77777777" w:rsidR="00596A0C" w:rsidRPr="000E453E" w:rsidRDefault="00596A0C" w:rsidP="00596A0C">
      <w:pPr>
        <w:pStyle w:val="Normal1"/>
        <w:contextualSpacing/>
      </w:pPr>
      <w:r>
        <w:t xml:space="preserve">  </w:t>
      </w:r>
      <w:r>
        <w:tab/>
      </w:r>
      <w:r>
        <w:tab/>
      </w:r>
      <m:oMath>
        <m:r>
          <w:rPr>
            <w:rFonts w:ascii="Cambria Math" w:hAnsi="Cambria Math"/>
          </w:rPr>
          <m:t>Model B: p</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1- β- γ</m:t>
            </m:r>
          </m:e>
        </m:d>
        <m:sSub>
          <m:sSubPr>
            <m:ctrlPr>
              <w:rPr>
                <w:rFonts w:ascii="Cambria Math" w:hAnsi="Cambria Math"/>
                <w:i/>
              </w:rPr>
            </m:ctrlPr>
          </m:sSubPr>
          <m:e>
            <m:r>
              <w:rPr>
                <w:rFonts w:ascii="Cambria Math" w:hAnsi="Cambria Math"/>
              </w:rPr>
              <m:t>ϕ</m:t>
            </m:r>
          </m:e>
          <m:sub>
            <m:r>
              <w:rPr>
                <w:rFonts w:ascii="Cambria Math" w:hAnsi="Cambria Math"/>
              </w:rPr>
              <m:t>0,</m:t>
            </m:r>
            <m:sSub>
              <m:sSubPr>
                <m:ctrlPr>
                  <w:rPr>
                    <w:rFonts w:ascii="Cambria Math" w:hAnsi="Cambria Math"/>
                    <w:i/>
                  </w:rPr>
                </m:ctrlPr>
              </m:sSubPr>
              <m:e>
                <m:r>
                  <w:rPr>
                    <w:rFonts w:ascii="Cambria Math" w:hAnsi="Cambria Math"/>
                  </w:rPr>
                  <m:t>κ</m:t>
                </m:r>
              </m:e>
              <m:sub>
                <m:r>
                  <w:rPr>
                    <w:rFonts w:ascii="Cambria Math" w:hAnsi="Cambria Math"/>
                  </w:rPr>
                  <m:t>0</m:t>
                </m:r>
              </m:sub>
            </m:sSub>
          </m:sub>
        </m:sSub>
        <m:r>
          <w:rPr>
            <w:rFonts w:ascii="Cambria Math" w:hAnsi="Cambria Math"/>
          </w:rPr>
          <m:t>+ β</m:t>
        </m:r>
        <m:sSub>
          <m:sSubPr>
            <m:ctrlPr>
              <w:rPr>
                <w:rFonts w:ascii="Cambria Math" w:hAnsi="Cambria Math"/>
                <w:i/>
              </w:rPr>
            </m:ctrlPr>
          </m:sSubPr>
          <m:e>
            <m:r>
              <w:rPr>
                <w:rFonts w:ascii="Cambria Math" w:hAnsi="Cambria Math"/>
              </w:rPr>
              <m:t>ϕ</m:t>
            </m:r>
          </m:e>
          <m:sub>
            <m:r>
              <w:rPr>
                <w:rFonts w:ascii="Cambria Math" w:hAnsi="Cambria Math"/>
              </w:rPr>
              <m:t>π,</m:t>
            </m:r>
            <m:sSub>
              <m:sSubPr>
                <m:ctrlPr>
                  <w:rPr>
                    <w:rFonts w:ascii="Cambria Math" w:hAnsi="Cambria Math"/>
                    <w:i/>
                  </w:rPr>
                </m:ctrlPr>
              </m:sSubPr>
              <m:e>
                <m:r>
                  <w:rPr>
                    <w:rFonts w:ascii="Cambria Math" w:hAnsi="Cambria Math"/>
                  </w:rPr>
                  <m:t>κ</m:t>
                </m:r>
              </m:e>
              <m:sub>
                <m:r>
                  <w:rPr>
                    <w:rFonts w:ascii="Cambria Math" w:hAnsi="Cambria Math"/>
                  </w:rPr>
                  <m:t>π</m:t>
                </m:r>
              </m:sub>
            </m:sSub>
          </m:sub>
        </m:sSub>
        <m:r>
          <w:rPr>
            <w:rFonts w:ascii="Cambria Math" w:hAnsi="Cambria Math"/>
          </w:rPr>
          <m:t>+ δ</m:t>
        </m:r>
        <m:sSub>
          <m:sSubPr>
            <m:ctrlPr>
              <w:rPr>
                <w:rFonts w:ascii="Cambria Math" w:hAnsi="Cambria Math"/>
                <w:i/>
              </w:rPr>
            </m:ctrlPr>
          </m:sSubPr>
          <m:e>
            <m:r>
              <w:rPr>
                <w:rFonts w:ascii="Cambria Math" w:hAnsi="Cambria Math"/>
              </w:rPr>
              <m:t>ϕ</m:t>
            </m:r>
          </m:e>
          <m:sub>
            <m:r>
              <w:rPr>
                <w:rFonts w:ascii="Cambria Math" w:hAnsi="Cambria Math"/>
              </w:rPr>
              <m:t>-π,</m:t>
            </m:r>
            <m:sSub>
              <m:sSubPr>
                <m:ctrlPr>
                  <w:rPr>
                    <w:rFonts w:ascii="Cambria Math" w:hAnsi="Cambria Math"/>
                    <w:i/>
                  </w:rPr>
                </m:ctrlPr>
              </m:sSubPr>
              <m:e>
                <m:r>
                  <w:rPr>
                    <w:rFonts w:ascii="Cambria Math" w:hAnsi="Cambria Math"/>
                  </w:rPr>
                  <m:t>κ</m:t>
                </m:r>
              </m:e>
              <m:sub>
                <m:r>
                  <w:rPr>
                    <w:rFonts w:ascii="Cambria Math" w:hAnsi="Cambria Math"/>
                  </w:rPr>
                  <m:t>-κ</m:t>
                </m:r>
              </m:sub>
            </m:sSub>
          </m:sub>
        </m:sSub>
      </m:oMath>
      <w:r>
        <w:tab/>
        <w:t xml:space="preserve">   </w:t>
      </w:r>
      <w:r>
        <w:tab/>
      </w:r>
      <w:r>
        <w:tab/>
      </w:r>
      <w:r>
        <w:tab/>
        <w:t xml:space="preserve">   </w:t>
      </w:r>
      <w:r>
        <w:tab/>
        <w:t xml:space="preserve">            </w:t>
      </w:r>
      <m:oMath>
        <m:r>
          <w:rPr>
            <w:rFonts w:ascii="Cambria Math" w:hAnsi="Cambria Math"/>
          </w:rPr>
          <m:t>Model C: p</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1- β- γ</m:t>
            </m:r>
          </m:e>
        </m:d>
        <m:sSub>
          <m:sSubPr>
            <m:ctrlPr>
              <w:rPr>
                <w:rFonts w:ascii="Cambria Math" w:hAnsi="Cambria Math"/>
                <w:i/>
              </w:rPr>
            </m:ctrlPr>
          </m:sSubPr>
          <m:e>
            <m:r>
              <w:rPr>
                <w:rFonts w:ascii="Cambria Math" w:hAnsi="Cambria Math"/>
              </w:rPr>
              <m:t>ϕ</m:t>
            </m:r>
          </m:e>
          <m:sub>
            <m:r>
              <w:rPr>
                <w:rFonts w:ascii="Cambria Math" w:hAnsi="Cambria Math"/>
              </w:rPr>
              <m:t>μ,κ</m:t>
            </m:r>
          </m:sub>
        </m:sSub>
        <m:r>
          <w:rPr>
            <w:rFonts w:ascii="Cambria Math" w:hAnsi="Cambria Math"/>
          </w:rPr>
          <m:t>+ β</m:t>
        </m:r>
        <m:sSub>
          <m:sSubPr>
            <m:ctrlPr>
              <w:rPr>
                <w:rFonts w:ascii="Cambria Math" w:hAnsi="Cambria Math"/>
                <w:i/>
              </w:rPr>
            </m:ctrlPr>
          </m:sSubPr>
          <m:e>
            <m:r>
              <w:rPr>
                <w:rFonts w:ascii="Cambria Math" w:hAnsi="Cambria Math"/>
              </w:rPr>
              <m:t>ϕ</m:t>
            </m:r>
          </m:e>
          <m:sub>
            <m:r>
              <w:rPr>
                <w:rFonts w:ascii="Cambria Math" w:hAnsi="Cambria Math"/>
              </w:rPr>
              <m:t>π,κ</m:t>
            </m:r>
          </m:sub>
        </m:sSub>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r>
          <w:rPr>
            <w:rFonts w:ascii="Cambria Math" w:hAnsi="Cambria Math"/>
          </w:rPr>
          <m:t xml:space="preserve"> </m:t>
        </m:r>
      </m:oMath>
    </w:p>
    <w:p w14:paraId="16624C79" w14:textId="77777777" w:rsidR="00596A0C" w:rsidRDefault="00596A0C" w:rsidP="00596A0C">
      <w:pPr>
        <w:pStyle w:val="Normal1"/>
        <w:ind w:left="1440"/>
        <w:contextualSpacing/>
      </w:pPr>
    </w:p>
    <w:p w14:paraId="541C6CDC" w14:textId="77777777" w:rsidR="00596A0C" w:rsidRDefault="00596A0C" w:rsidP="00596A0C">
      <w:pPr>
        <w:pStyle w:val="Normal1"/>
        <w:contextualSpacing/>
      </w:pPr>
      <w:r>
        <w:tab/>
      </w:r>
      <w:r>
        <w:tab/>
      </w:r>
      <m:oMath>
        <m:r>
          <w:rPr>
            <w:rFonts w:ascii="Cambria Math" w:hAnsi="Cambria Math"/>
          </w:rPr>
          <m:t>θ</m:t>
        </m:r>
      </m:oMath>
      <w:r>
        <w:t>:  difference in radians between reported and target color values</w:t>
      </w:r>
    </w:p>
    <w:p w14:paraId="618928E2" w14:textId="77777777" w:rsidR="00596A0C" w:rsidRPr="009F7DCD" w:rsidRDefault="00596A0C" w:rsidP="00596A0C">
      <w:pPr>
        <w:pStyle w:val="Normal1"/>
        <w:contextualSpacing/>
      </w:pPr>
      <w:r>
        <w:lastRenderedPageBreak/>
        <w:tab/>
      </w:r>
      <w:r w:rsidRPr="009F7DCD">
        <w:tab/>
      </w:r>
      <m:oMath>
        <m:r>
          <w:rPr>
            <w:rFonts w:ascii="Cambria Math" w:hAnsi="Cambria Math"/>
          </w:rPr>
          <m:t>γ</m:t>
        </m:r>
      </m:oMath>
      <w:r w:rsidRPr="009F7DCD">
        <w:t>:  proportion of trials in which the subject responded at random</w:t>
      </w:r>
    </w:p>
    <w:p w14:paraId="65F254B2" w14:textId="77777777" w:rsidR="00596A0C" w:rsidRPr="009F7DCD" w:rsidRDefault="00596A0C" w:rsidP="00596A0C">
      <w:pPr>
        <w:pStyle w:val="Normal1"/>
        <w:contextualSpacing/>
      </w:pPr>
      <w:r w:rsidRPr="009F7DCD">
        <w:tab/>
      </w:r>
      <w:r w:rsidRPr="009F7DCD">
        <w:tab/>
      </w:r>
      <m:oMath>
        <m:r>
          <w:rPr>
            <w:rFonts w:ascii="Cambria Math" w:hAnsi="Cambria Math"/>
          </w:rPr>
          <m:t>ϕ</m:t>
        </m:r>
      </m:oMath>
      <w:r w:rsidRPr="009F7DCD">
        <w:t>:  von Mises distribution along with mean and concentration parameters</w:t>
      </w:r>
    </w:p>
    <w:p w14:paraId="1CA80E67" w14:textId="77777777" w:rsidR="00596A0C" w:rsidRPr="009F7DCD" w:rsidRDefault="00596A0C" w:rsidP="00596A0C">
      <w:pPr>
        <w:pStyle w:val="Normal1"/>
        <w:ind w:left="1440"/>
        <w:contextualSpacing/>
      </w:pPr>
      <m:oMath>
        <m:r>
          <w:rPr>
            <w:rFonts w:ascii="Cambria Math" w:hAnsi="Cambria Math"/>
          </w:rPr>
          <m:t>β</m:t>
        </m:r>
      </m:oMath>
      <w:r w:rsidRPr="009F7DCD">
        <w:t xml:space="preserve">:  probability of misreporting the retinotopic color value (with fixed mean and flexible </w:t>
      </w:r>
      <m:oMath>
        <m:r>
          <w:rPr>
            <w:rFonts w:ascii="Cambria Math" w:hAnsi="Cambria Math"/>
          </w:rPr>
          <m:t>κ</m:t>
        </m:r>
      </m:oMath>
      <w:r w:rsidRPr="009F7DCD">
        <w:t>)</w:t>
      </w:r>
    </w:p>
    <w:p w14:paraId="763D41CF" w14:textId="77777777" w:rsidR="00596A0C" w:rsidRPr="009F7DCD" w:rsidRDefault="00596A0C" w:rsidP="00596A0C">
      <w:pPr>
        <w:pStyle w:val="Normal1"/>
        <w:ind w:left="1440"/>
        <w:contextualSpacing/>
      </w:pPr>
      <m:oMath>
        <m:r>
          <w:rPr>
            <w:rFonts w:ascii="Cambria Math" w:hAnsi="Cambria Math"/>
          </w:rPr>
          <m:t>δ</m:t>
        </m:r>
      </m:oMath>
      <w:r w:rsidRPr="009F7DCD">
        <w:rPr>
          <w:rFonts w:eastAsia="SymbolMT"/>
        </w:rPr>
        <w:t>:   probability of misreporting the control color value</w:t>
      </w:r>
    </w:p>
    <w:p w14:paraId="27128B7A" w14:textId="5FB5B4D3" w:rsidR="00596A0C" w:rsidRDefault="00596A0C" w:rsidP="00596A0C">
      <w:pPr>
        <w:pStyle w:val="Normal1"/>
        <w:contextualSpacing/>
      </w:pPr>
      <w:r>
        <w:tab/>
      </w:r>
      <w:r>
        <w:tab/>
      </w:r>
      <w:r w:rsidRPr="004A495C">
        <w:t>π</w:t>
      </w:r>
      <w:r>
        <w:t>:  retinotopic distractor color value</w:t>
      </w:r>
      <w:r w:rsidR="006B52B0">
        <w:t xml:space="preserve"> </w:t>
      </w:r>
    </w:p>
    <w:p w14:paraId="746244DE" w14:textId="5B647CD8" w:rsidR="00596A0C" w:rsidRDefault="00596A0C" w:rsidP="00596A0C">
      <w:pPr>
        <w:pStyle w:val="Normal1"/>
        <w:contextualSpacing/>
      </w:pPr>
      <w:r>
        <w:tab/>
      </w:r>
      <w:r>
        <w:tab/>
        <w:t>-</w:t>
      </w:r>
      <w:r w:rsidRPr="004A495C">
        <w:t>π</w:t>
      </w:r>
      <w:r>
        <w:t>:  control distractor color value</w:t>
      </w:r>
    </w:p>
    <w:p w14:paraId="735A0BC8" w14:textId="5BCD6CCC" w:rsidR="00565C24" w:rsidRPr="00075A44" w:rsidRDefault="00596A0C" w:rsidP="00075A44">
      <w:pPr>
        <w:pStyle w:val="Normal1"/>
        <w:numPr>
          <w:ilvl w:val="1"/>
          <w:numId w:val="1"/>
        </w:numPr>
        <w:ind w:hanging="360"/>
        <w:contextualSpacing/>
      </w:pPr>
      <w:r>
        <w:t xml:space="preserve">We will further </w:t>
      </w:r>
      <w:r w:rsidR="00FA6763">
        <w:t>s</w:t>
      </w:r>
      <w:r w:rsidR="00FA6763" w:rsidRPr="00FA6763">
        <w:t xml:space="preserve">eparate trials into “high confidence trials” and “low confidence trials” based on a median split of </w:t>
      </w:r>
      <w:r w:rsidR="00FA6763">
        <w:t>each subject’s</w:t>
      </w:r>
      <w:r w:rsidR="00FA6763" w:rsidRPr="00FA6763">
        <w:t xml:space="preserve"> confidence </w:t>
      </w:r>
      <w:r w:rsidR="00FA6763">
        <w:t>ranges</w:t>
      </w:r>
      <w:r w:rsidR="00FA6763" w:rsidRPr="00FA6763">
        <w:t>. For high and low confidence trials separately, we</w:t>
      </w:r>
      <w:r w:rsidR="00CD76B9">
        <w:t xml:space="preserve"> will</w:t>
      </w:r>
      <w:r w:rsidR="00FA6763" w:rsidRPr="00FA6763">
        <w:t xml:space="preserve"> fit the target color report errors using the </w:t>
      </w:r>
      <w:r w:rsidR="00FA6763">
        <w:t>aforementioned probabilistic mixture models.</w:t>
      </w:r>
      <w:r w:rsidR="00FA6763" w:rsidRPr="00FA6763">
        <w:t xml:space="preserve"> </w:t>
      </w:r>
    </w:p>
    <w:p w14:paraId="165D4561" w14:textId="77777777" w:rsidR="00596A0C" w:rsidRPr="00221341" w:rsidRDefault="00596A0C" w:rsidP="00596A0C">
      <w:pPr>
        <w:pStyle w:val="Normal1"/>
        <w:ind w:left="1440"/>
        <w:contextualSpacing/>
        <w:rPr>
          <w:color w:val="auto"/>
        </w:rPr>
      </w:pPr>
    </w:p>
    <w:p w14:paraId="6082ED1B" w14:textId="77777777" w:rsidR="00565C24" w:rsidRPr="005E563D" w:rsidRDefault="00C07D37" w:rsidP="00604D7C">
      <w:pPr>
        <w:pStyle w:val="Normal1"/>
        <w:numPr>
          <w:ilvl w:val="0"/>
          <w:numId w:val="1"/>
        </w:numPr>
        <w:ind w:hanging="360"/>
        <w:contextualSpacing/>
        <w:rPr>
          <w:b/>
          <w:color w:val="auto"/>
        </w:rPr>
      </w:pPr>
      <w:r w:rsidRPr="005E563D">
        <w:rPr>
          <w:b/>
          <w:color w:val="auto"/>
        </w:rPr>
        <w:t>Data exclusion</w:t>
      </w:r>
    </w:p>
    <w:p w14:paraId="1B7244F1" w14:textId="77777777" w:rsidR="00E76258" w:rsidRDefault="00E76258">
      <w:pPr>
        <w:pStyle w:val="Normal1"/>
        <w:rPr>
          <w:color w:val="auto"/>
        </w:rPr>
      </w:pPr>
    </w:p>
    <w:p w14:paraId="7EA221D4" w14:textId="280B24CA" w:rsidR="00AD1B10" w:rsidRPr="00AD1B10" w:rsidRDefault="00C13F17" w:rsidP="00AD1B10">
      <w:pPr>
        <w:pStyle w:val="Normal1"/>
        <w:numPr>
          <w:ilvl w:val="1"/>
          <w:numId w:val="1"/>
        </w:numPr>
        <w:ind w:hanging="360"/>
        <w:contextualSpacing/>
      </w:pPr>
      <w:r>
        <w:t xml:space="preserve">This study will </w:t>
      </w:r>
      <w:r w:rsidR="00DA28BC">
        <w:t xml:space="preserve">use </w:t>
      </w:r>
      <w:r>
        <w:t>the same exclusionary criteria used in Golomb et al. (2014)</w:t>
      </w:r>
      <w:r w:rsidR="00DA28BC">
        <w:t>:</w:t>
      </w:r>
      <w:r w:rsidR="00AD1B10">
        <w:t xml:space="preserve"> </w:t>
      </w:r>
      <w:r w:rsidR="00AE0FAA">
        <w:t xml:space="preserve">we </w:t>
      </w:r>
      <w:r>
        <w:t xml:space="preserve">plan to exclude subjects </w:t>
      </w:r>
      <w:r w:rsidR="00AE0FAA">
        <w:t xml:space="preserve">according to their </w:t>
      </w:r>
      <w:r>
        <w:t xml:space="preserve">individual fits to </w:t>
      </w:r>
      <w:r w:rsidR="00F67D1F">
        <w:t>a</w:t>
      </w:r>
      <w:r>
        <w:t xml:space="preserve"> probabilistic mixture model</w:t>
      </w:r>
      <w:r w:rsidR="00F67D1F">
        <w:t xml:space="preserve"> (Model A)</w:t>
      </w:r>
      <w:r w:rsidR="00AE0FAA">
        <w:t>,</w:t>
      </w:r>
      <w:r w:rsidR="00654DE3">
        <w:t xml:space="preserve"> using no-saccade trials. We will exclude a subject if they either</w:t>
      </w:r>
      <w:r>
        <w:t xml:space="preserve"> exceed over 50% guessing proportion </w:t>
      </w:r>
      <w:r w:rsidR="00654DE3">
        <w:t>or over 90 degrees target proportion standard deviation</w:t>
      </w:r>
      <w:r>
        <w:t xml:space="preserve">. </w:t>
      </w:r>
      <w:r w:rsidR="00AD1B10" w:rsidRPr="00AD1B10">
        <w:t xml:space="preserve">We will </w:t>
      </w:r>
      <w:r w:rsidR="00AD1B10">
        <w:t xml:space="preserve">also </w:t>
      </w:r>
      <w:r w:rsidR="00AD1B10" w:rsidRPr="00AD1B10">
        <w:t xml:space="preserve">exclude </w:t>
      </w:r>
      <w:r w:rsidR="00AD1B10">
        <w:t>a</w:t>
      </w:r>
      <w:r w:rsidR="00AD1B10" w:rsidRPr="00AD1B10">
        <w:t xml:space="preserve"> subject if </w:t>
      </w:r>
      <w:r w:rsidR="00A258D7">
        <w:t>they do not perform the confidence range task correctly, e.g. if</w:t>
      </w:r>
      <w:r w:rsidR="00AD1B10" w:rsidRPr="00AD1B10">
        <w:t xml:space="preserve"> more than 80% of the trials within </w:t>
      </w:r>
      <w:r w:rsidR="00A258D7">
        <w:t>a</w:t>
      </w:r>
      <w:r w:rsidR="00A258D7" w:rsidRPr="00AD1B10">
        <w:t xml:space="preserve"> </w:t>
      </w:r>
      <w:r w:rsidR="00AD1B10" w:rsidRPr="00AD1B10">
        <w:t>block have 0 confidence range size</w:t>
      </w:r>
      <w:r w:rsidR="00A258D7">
        <w:t xml:space="preserve"> or</w:t>
      </w:r>
      <w:r w:rsidR="00AD1B10" w:rsidRPr="00AD1B10">
        <w:t xml:space="preserve"> </w:t>
      </w:r>
      <w:r w:rsidR="00490ABD">
        <w:t>a</w:t>
      </w:r>
      <w:r w:rsidR="00AD1B10" w:rsidRPr="00AD1B10">
        <w:t xml:space="preserve"> confidence range </w:t>
      </w:r>
      <w:r w:rsidR="00490ABD">
        <w:t>with the</w:t>
      </w:r>
      <w:r w:rsidR="00AD1B10" w:rsidRPr="00AD1B10">
        <w:t xml:space="preserve"> target response as one of the edge</w:t>
      </w:r>
      <w:r w:rsidR="00490ABD">
        <w:t>s</w:t>
      </w:r>
      <w:r w:rsidR="00AD1B10" w:rsidRPr="00AD1B10">
        <w:t xml:space="preserve"> (meaning subjects only extend their confidence range </w:t>
      </w:r>
      <w:r w:rsidR="00FA6763">
        <w:t>for</w:t>
      </w:r>
      <w:r w:rsidR="00AD1B10" w:rsidRPr="00AD1B10">
        <w:t xml:space="preserve"> one direction, either clockwise or counterclockwise).</w:t>
      </w:r>
      <w:r w:rsidR="00654DE3">
        <w:t xml:space="preserve"> Subjects need to complete at least 10 blocks to be included in the study.</w:t>
      </w:r>
    </w:p>
    <w:p w14:paraId="4E9B3459" w14:textId="25DED048" w:rsidR="00565C24" w:rsidRPr="00604D7C" w:rsidRDefault="00565C24">
      <w:pPr>
        <w:pStyle w:val="Normal1"/>
      </w:pPr>
    </w:p>
    <w:sectPr w:rsidR="00565C24" w:rsidRPr="00604D7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40ACF" w14:textId="77777777" w:rsidR="00E56FF0" w:rsidRDefault="00E56FF0" w:rsidP="000956BF">
      <w:pPr>
        <w:spacing w:line="240" w:lineRule="auto"/>
      </w:pPr>
      <w:r>
        <w:separator/>
      </w:r>
    </w:p>
  </w:endnote>
  <w:endnote w:type="continuationSeparator" w:id="0">
    <w:p w14:paraId="03A4A89E" w14:textId="77777777" w:rsidR="00E56FF0" w:rsidRDefault="00E56FF0" w:rsidP="00095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ymbolMT">
    <w:altName w:val="Yu Gothic"/>
    <w:panose1 w:val="020B0604020202020204"/>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05AA" w14:textId="77777777" w:rsidR="000956BF" w:rsidRDefault="000956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C0B2E" w14:textId="77777777" w:rsidR="000956BF" w:rsidRDefault="000956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CD91C" w14:textId="77777777" w:rsidR="000956BF" w:rsidRDefault="00095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FD92D" w14:textId="77777777" w:rsidR="00E56FF0" w:rsidRDefault="00E56FF0" w:rsidP="000956BF">
      <w:pPr>
        <w:spacing w:line="240" w:lineRule="auto"/>
      </w:pPr>
      <w:r>
        <w:separator/>
      </w:r>
    </w:p>
  </w:footnote>
  <w:footnote w:type="continuationSeparator" w:id="0">
    <w:p w14:paraId="1AB3D0E0" w14:textId="77777777" w:rsidR="00E56FF0" w:rsidRDefault="00E56FF0" w:rsidP="000956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2C48" w14:textId="77777777" w:rsidR="000956BF" w:rsidRDefault="000956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8BBA0" w14:textId="77777777" w:rsidR="000956BF" w:rsidRDefault="000956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98513" w14:textId="77777777" w:rsidR="000956BF" w:rsidRDefault="00095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E7053"/>
    <w:multiLevelType w:val="hybridMultilevel"/>
    <w:tmpl w:val="B9C2D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C6240"/>
    <w:multiLevelType w:val="hybridMultilevel"/>
    <w:tmpl w:val="D826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65F5E"/>
    <w:multiLevelType w:val="multilevel"/>
    <w:tmpl w:val="DA8E0854"/>
    <w:lvl w:ilvl="0">
      <w:start w:val="16"/>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6772421C"/>
    <w:multiLevelType w:val="multilevel"/>
    <w:tmpl w:val="EDB0F7CE"/>
    <w:lvl w:ilvl="0">
      <w:start w:val="15"/>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6DC299E"/>
    <w:multiLevelType w:val="multilevel"/>
    <w:tmpl w:val="A378D7C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C24"/>
    <w:rsid w:val="00005EAF"/>
    <w:rsid w:val="000141F9"/>
    <w:rsid w:val="000176C0"/>
    <w:rsid w:val="00037F83"/>
    <w:rsid w:val="000547EB"/>
    <w:rsid w:val="00075A44"/>
    <w:rsid w:val="00075B95"/>
    <w:rsid w:val="0007715C"/>
    <w:rsid w:val="00082166"/>
    <w:rsid w:val="000830EB"/>
    <w:rsid w:val="00085921"/>
    <w:rsid w:val="0009554A"/>
    <w:rsid w:val="000956BF"/>
    <w:rsid w:val="00095B9D"/>
    <w:rsid w:val="000A05A2"/>
    <w:rsid w:val="000A16C5"/>
    <w:rsid w:val="000B63E2"/>
    <w:rsid w:val="000C317D"/>
    <w:rsid w:val="000C45C2"/>
    <w:rsid w:val="000C7FA1"/>
    <w:rsid w:val="000D153C"/>
    <w:rsid w:val="000D419C"/>
    <w:rsid w:val="000D5DAC"/>
    <w:rsid w:val="000D5FD5"/>
    <w:rsid w:val="000E453E"/>
    <w:rsid w:val="000F08D2"/>
    <w:rsid w:val="000F36D7"/>
    <w:rsid w:val="00120962"/>
    <w:rsid w:val="0012478C"/>
    <w:rsid w:val="00125CD3"/>
    <w:rsid w:val="00131EC8"/>
    <w:rsid w:val="001374E4"/>
    <w:rsid w:val="00137A18"/>
    <w:rsid w:val="00154573"/>
    <w:rsid w:val="00156DDE"/>
    <w:rsid w:val="0016480B"/>
    <w:rsid w:val="001867AE"/>
    <w:rsid w:val="001A00CF"/>
    <w:rsid w:val="001C52D9"/>
    <w:rsid w:val="001D285D"/>
    <w:rsid w:val="001D352A"/>
    <w:rsid w:val="001E672C"/>
    <w:rsid w:val="001E78A2"/>
    <w:rsid w:val="00206D1E"/>
    <w:rsid w:val="002122AB"/>
    <w:rsid w:val="00221341"/>
    <w:rsid w:val="002223E5"/>
    <w:rsid w:val="002332C8"/>
    <w:rsid w:val="00242BA0"/>
    <w:rsid w:val="00244F73"/>
    <w:rsid w:val="00246BC3"/>
    <w:rsid w:val="00253139"/>
    <w:rsid w:val="00256972"/>
    <w:rsid w:val="0025757E"/>
    <w:rsid w:val="0026078C"/>
    <w:rsid w:val="00261603"/>
    <w:rsid w:val="0027344E"/>
    <w:rsid w:val="002734A1"/>
    <w:rsid w:val="00287843"/>
    <w:rsid w:val="002A32CD"/>
    <w:rsid w:val="002B22DD"/>
    <w:rsid w:val="002B3908"/>
    <w:rsid w:val="002B6262"/>
    <w:rsid w:val="00312F86"/>
    <w:rsid w:val="00342F9C"/>
    <w:rsid w:val="0034349D"/>
    <w:rsid w:val="00343F9B"/>
    <w:rsid w:val="00344962"/>
    <w:rsid w:val="0034577D"/>
    <w:rsid w:val="003468DA"/>
    <w:rsid w:val="00363BC4"/>
    <w:rsid w:val="00397DD8"/>
    <w:rsid w:val="003B2A0F"/>
    <w:rsid w:val="003B6E12"/>
    <w:rsid w:val="003E2176"/>
    <w:rsid w:val="003E3D80"/>
    <w:rsid w:val="003E4EE5"/>
    <w:rsid w:val="003E5649"/>
    <w:rsid w:val="00402DDF"/>
    <w:rsid w:val="00425F42"/>
    <w:rsid w:val="00427A66"/>
    <w:rsid w:val="00432A3B"/>
    <w:rsid w:val="00434C4C"/>
    <w:rsid w:val="00460BE4"/>
    <w:rsid w:val="00461132"/>
    <w:rsid w:val="00464350"/>
    <w:rsid w:val="004643AB"/>
    <w:rsid w:val="00466FA9"/>
    <w:rsid w:val="004843E7"/>
    <w:rsid w:val="004864EF"/>
    <w:rsid w:val="00487CB2"/>
    <w:rsid w:val="00490ABD"/>
    <w:rsid w:val="00491409"/>
    <w:rsid w:val="00496EC4"/>
    <w:rsid w:val="00497F09"/>
    <w:rsid w:val="004A3F4B"/>
    <w:rsid w:val="004A495C"/>
    <w:rsid w:val="004A5296"/>
    <w:rsid w:val="004A7229"/>
    <w:rsid w:val="004B6F3D"/>
    <w:rsid w:val="004C0EBE"/>
    <w:rsid w:val="004C2C31"/>
    <w:rsid w:val="004D6DA7"/>
    <w:rsid w:val="004D7F9F"/>
    <w:rsid w:val="005004B3"/>
    <w:rsid w:val="00513E68"/>
    <w:rsid w:val="00537816"/>
    <w:rsid w:val="00544068"/>
    <w:rsid w:val="00546FC0"/>
    <w:rsid w:val="00565C24"/>
    <w:rsid w:val="005752CA"/>
    <w:rsid w:val="0058169F"/>
    <w:rsid w:val="00582DD8"/>
    <w:rsid w:val="00596A0C"/>
    <w:rsid w:val="005A22B1"/>
    <w:rsid w:val="005A2B22"/>
    <w:rsid w:val="005B4802"/>
    <w:rsid w:val="005C18BD"/>
    <w:rsid w:val="005D1421"/>
    <w:rsid w:val="005D1586"/>
    <w:rsid w:val="005D2E8E"/>
    <w:rsid w:val="005D587A"/>
    <w:rsid w:val="005E08C4"/>
    <w:rsid w:val="005E563D"/>
    <w:rsid w:val="005F124C"/>
    <w:rsid w:val="005F272A"/>
    <w:rsid w:val="00604D7C"/>
    <w:rsid w:val="006103DC"/>
    <w:rsid w:val="00622C35"/>
    <w:rsid w:val="00636551"/>
    <w:rsid w:val="00641DB8"/>
    <w:rsid w:val="00642040"/>
    <w:rsid w:val="00646682"/>
    <w:rsid w:val="0065091E"/>
    <w:rsid w:val="00652870"/>
    <w:rsid w:val="00653507"/>
    <w:rsid w:val="00654DE3"/>
    <w:rsid w:val="0066737F"/>
    <w:rsid w:val="0067147B"/>
    <w:rsid w:val="00683D92"/>
    <w:rsid w:val="00695A2F"/>
    <w:rsid w:val="00695B09"/>
    <w:rsid w:val="0069759A"/>
    <w:rsid w:val="006A17E6"/>
    <w:rsid w:val="006B52B0"/>
    <w:rsid w:val="006B52DE"/>
    <w:rsid w:val="006C4F71"/>
    <w:rsid w:val="006D2EC6"/>
    <w:rsid w:val="006D52A1"/>
    <w:rsid w:val="006E0B15"/>
    <w:rsid w:val="006E75A2"/>
    <w:rsid w:val="006F5530"/>
    <w:rsid w:val="00702BAD"/>
    <w:rsid w:val="0071199E"/>
    <w:rsid w:val="0071613E"/>
    <w:rsid w:val="00722FF0"/>
    <w:rsid w:val="007302CB"/>
    <w:rsid w:val="007317C7"/>
    <w:rsid w:val="0073308C"/>
    <w:rsid w:val="00751C5F"/>
    <w:rsid w:val="00766B77"/>
    <w:rsid w:val="00773B61"/>
    <w:rsid w:val="00774D90"/>
    <w:rsid w:val="0077680B"/>
    <w:rsid w:val="007A683A"/>
    <w:rsid w:val="007A7A8A"/>
    <w:rsid w:val="007D5368"/>
    <w:rsid w:val="007E41E2"/>
    <w:rsid w:val="007F051E"/>
    <w:rsid w:val="007F2F52"/>
    <w:rsid w:val="008008B3"/>
    <w:rsid w:val="00802C58"/>
    <w:rsid w:val="008247C3"/>
    <w:rsid w:val="00850019"/>
    <w:rsid w:val="00860B4B"/>
    <w:rsid w:val="008630DA"/>
    <w:rsid w:val="00867929"/>
    <w:rsid w:val="00872E4A"/>
    <w:rsid w:val="008758DC"/>
    <w:rsid w:val="00885D41"/>
    <w:rsid w:val="008874BD"/>
    <w:rsid w:val="00896AC6"/>
    <w:rsid w:val="00896DF0"/>
    <w:rsid w:val="008A294C"/>
    <w:rsid w:val="008A6EAF"/>
    <w:rsid w:val="008B550D"/>
    <w:rsid w:val="008C3A8B"/>
    <w:rsid w:val="008C5B7C"/>
    <w:rsid w:val="008C5EBA"/>
    <w:rsid w:val="008D3CCB"/>
    <w:rsid w:val="008D747C"/>
    <w:rsid w:val="008F08F6"/>
    <w:rsid w:val="00902C3F"/>
    <w:rsid w:val="00912B40"/>
    <w:rsid w:val="00921590"/>
    <w:rsid w:val="00923A61"/>
    <w:rsid w:val="00924CDC"/>
    <w:rsid w:val="0093239B"/>
    <w:rsid w:val="009439BC"/>
    <w:rsid w:val="00953657"/>
    <w:rsid w:val="00957EDF"/>
    <w:rsid w:val="00981509"/>
    <w:rsid w:val="00981AD3"/>
    <w:rsid w:val="00984188"/>
    <w:rsid w:val="00990272"/>
    <w:rsid w:val="009938AE"/>
    <w:rsid w:val="009A38B2"/>
    <w:rsid w:val="009B2787"/>
    <w:rsid w:val="009B3014"/>
    <w:rsid w:val="009B346A"/>
    <w:rsid w:val="009B4FBB"/>
    <w:rsid w:val="009C12CD"/>
    <w:rsid w:val="009D1E0E"/>
    <w:rsid w:val="009D70B7"/>
    <w:rsid w:val="009E0515"/>
    <w:rsid w:val="009E1B90"/>
    <w:rsid w:val="009F2AAE"/>
    <w:rsid w:val="009F3843"/>
    <w:rsid w:val="009F7DCD"/>
    <w:rsid w:val="00A137E3"/>
    <w:rsid w:val="00A15DD6"/>
    <w:rsid w:val="00A16031"/>
    <w:rsid w:val="00A21533"/>
    <w:rsid w:val="00A21BCD"/>
    <w:rsid w:val="00A258D7"/>
    <w:rsid w:val="00A25BA9"/>
    <w:rsid w:val="00A37D87"/>
    <w:rsid w:val="00A466B1"/>
    <w:rsid w:val="00A52ED0"/>
    <w:rsid w:val="00A54630"/>
    <w:rsid w:val="00A5600E"/>
    <w:rsid w:val="00A65AE4"/>
    <w:rsid w:val="00A771AF"/>
    <w:rsid w:val="00A81CF6"/>
    <w:rsid w:val="00A821C0"/>
    <w:rsid w:val="00A8338F"/>
    <w:rsid w:val="00A9008F"/>
    <w:rsid w:val="00A900C8"/>
    <w:rsid w:val="00A90A95"/>
    <w:rsid w:val="00A94639"/>
    <w:rsid w:val="00A9482C"/>
    <w:rsid w:val="00A9485A"/>
    <w:rsid w:val="00AB35AC"/>
    <w:rsid w:val="00AD1B10"/>
    <w:rsid w:val="00AD259B"/>
    <w:rsid w:val="00AD517E"/>
    <w:rsid w:val="00AD7AEC"/>
    <w:rsid w:val="00AE0FAA"/>
    <w:rsid w:val="00AF5AC9"/>
    <w:rsid w:val="00B06190"/>
    <w:rsid w:val="00B07662"/>
    <w:rsid w:val="00B12DFE"/>
    <w:rsid w:val="00B14CAF"/>
    <w:rsid w:val="00B21986"/>
    <w:rsid w:val="00B22D98"/>
    <w:rsid w:val="00B2423A"/>
    <w:rsid w:val="00B31287"/>
    <w:rsid w:val="00B36C75"/>
    <w:rsid w:val="00B404F5"/>
    <w:rsid w:val="00B41DAC"/>
    <w:rsid w:val="00B4221D"/>
    <w:rsid w:val="00B51D71"/>
    <w:rsid w:val="00B52B9A"/>
    <w:rsid w:val="00B624CA"/>
    <w:rsid w:val="00B640B4"/>
    <w:rsid w:val="00B64CF3"/>
    <w:rsid w:val="00B774B0"/>
    <w:rsid w:val="00B868B3"/>
    <w:rsid w:val="00B961B0"/>
    <w:rsid w:val="00B96714"/>
    <w:rsid w:val="00B97ADD"/>
    <w:rsid w:val="00BB252C"/>
    <w:rsid w:val="00BB78D0"/>
    <w:rsid w:val="00BC212A"/>
    <w:rsid w:val="00BC3544"/>
    <w:rsid w:val="00BE5189"/>
    <w:rsid w:val="00BE5FC4"/>
    <w:rsid w:val="00BF4D60"/>
    <w:rsid w:val="00C02495"/>
    <w:rsid w:val="00C041C7"/>
    <w:rsid w:val="00C05171"/>
    <w:rsid w:val="00C05F16"/>
    <w:rsid w:val="00C06D1E"/>
    <w:rsid w:val="00C07D37"/>
    <w:rsid w:val="00C13F17"/>
    <w:rsid w:val="00C15C61"/>
    <w:rsid w:val="00C41431"/>
    <w:rsid w:val="00C528B6"/>
    <w:rsid w:val="00C52B9C"/>
    <w:rsid w:val="00C53806"/>
    <w:rsid w:val="00C623E8"/>
    <w:rsid w:val="00C71FFC"/>
    <w:rsid w:val="00C82CFD"/>
    <w:rsid w:val="00C8623C"/>
    <w:rsid w:val="00C877CB"/>
    <w:rsid w:val="00C9155B"/>
    <w:rsid w:val="00C94D69"/>
    <w:rsid w:val="00CA0BC0"/>
    <w:rsid w:val="00CA60B4"/>
    <w:rsid w:val="00CC15AE"/>
    <w:rsid w:val="00CC3DBD"/>
    <w:rsid w:val="00CD2F3A"/>
    <w:rsid w:val="00CD76B9"/>
    <w:rsid w:val="00D0225E"/>
    <w:rsid w:val="00D02FFC"/>
    <w:rsid w:val="00D046F3"/>
    <w:rsid w:val="00D11C75"/>
    <w:rsid w:val="00D13DBE"/>
    <w:rsid w:val="00D27403"/>
    <w:rsid w:val="00D275F3"/>
    <w:rsid w:val="00D306FF"/>
    <w:rsid w:val="00D33F86"/>
    <w:rsid w:val="00D44A0E"/>
    <w:rsid w:val="00D47B23"/>
    <w:rsid w:val="00D7255B"/>
    <w:rsid w:val="00D81C44"/>
    <w:rsid w:val="00D822E1"/>
    <w:rsid w:val="00D84BAF"/>
    <w:rsid w:val="00D8520F"/>
    <w:rsid w:val="00D86A89"/>
    <w:rsid w:val="00D93578"/>
    <w:rsid w:val="00D93728"/>
    <w:rsid w:val="00DA28BC"/>
    <w:rsid w:val="00DA6783"/>
    <w:rsid w:val="00DC235B"/>
    <w:rsid w:val="00E02CA4"/>
    <w:rsid w:val="00E150CD"/>
    <w:rsid w:val="00E223DD"/>
    <w:rsid w:val="00E346F1"/>
    <w:rsid w:val="00E41F03"/>
    <w:rsid w:val="00E4768D"/>
    <w:rsid w:val="00E56335"/>
    <w:rsid w:val="00E56FF0"/>
    <w:rsid w:val="00E570A2"/>
    <w:rsid w:val="00E60A42"/>
    <w:rsid w:val="00E6214E"/>
    <w:rsid w:val="00E647E4"/>
    <w:rsid w:val="00E7022C"/>
    <w:rsid w:val="00E74A07"/>
    <w:rsid w:val="00E76258"/>
    <w:rsid w:val="00E90D47"/>
    <w:rsid w:val="00E92680"/>
    <w:rsid w:val="00E94452"/>
    <w:rsid w:val="00E954C1"/>
    <w:rsid w:val="00EA340C"/>
    <w:rsid w:val="00EA70E0"/>
    <w:rsid w:val="00EB595B"/>
    <w:rsid w:val="00EC066D"/>
    <w:rsid w:val="00EC3FF0"/>
    <w:rsid w:val="00ED1745"/>
    <w:rsid w:val="00ED20EC"/>
    <w:rsid w:val="00EF0060"/>
    <w:rsid w:val="00EF1B95"/>
    <w:rsid w:val="00EF3BE3"/>
    <w:rsid w:val="00EF3E1F"/>
    <w:rsid w:val="00F027A1"/>
    <w:rsid w:val="00F07324"/>
    <w:rsid w:val="00F14DBF"/>
    <w:rsid w:val="00F176D1"/>
    <w:rsid w:val="00F25271"/>
    <w:rsid w:val="00F5052C"/>
    <w:rsid w:val="00F5471A"/>
    <w:rsid w:val="00F56CB5"/>
    <w:rsid w:val="00F67D1F"/>
    <w:rsid w:val="00F74376"/>
    <w:rsid w:val="00F75D22"/>
    <w:rsid w:val="00F806CE"/>
    <w:rsid w:val="00F82832"/>
    <w:rsid w:val="00F9140F"/>
    <w:rsid w:val="00F97275"/>
    <w:rsid w:val="00FA6763"/>
    <w:rsid w:val="00FB12E5"/>
    <w:rsid w:val="00FB2BAE"/>
    <w:rsid w:val="00FC4DF9"/>
    <w:rsid w:val="00FD184C"/>
    <w:rsid w:val="00FD5888"/>
    <w:rsid w:val="00FE3B79"/>
    <w:rsid w:val="00FE7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2D1F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2A32CD"/>
    <w:pPr>
      <w:spacing w:line="240" w:lineRule="auto"/>
      <w:ind w:left="720"/>
      <w:contextualSpacing/>
    </w:pPr>
    <w:rPr>
      <w:rFonts w:asciiTheme="minorHAnsi" w:eastAsiaTheme="minorEastAsia" w:hAnsiTheme="minorHAnsi" w:cstheme="minorBidi"/>
      <w:color w:val="auto"/>
      <w:sz w:val="24"/>
      <w:szCs w:val="24"/>
    </w:rPr>
  </w:style>
  <w:style w:type="paragraph" w:styleId="BalloonText">
    <w:name w:val="Balloon Text"/>
    <w:basedOn w:val="Normal"/>
    <w:link w:val="BalloonTextChar"/>
    <w:uiPriority w:val="99"/>
    <w:semiHidden/>
    <w:unhideWhenUsed/>
    <w:rsid w:val="00E7022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22C"/>
    <w:rPr>
      <w:rFonts w:ascii="Lucida Grande" w:hAnsi="Lucida Grande" w:cs="Lucida Grande"/>
      <w:sz w:val="18"/>
      <w:szCs w:val="18"/>
    </w:rPr>
  </w:style>
  <w:style w:type="paragraph" w:styleId="Header">
    <w:name w:val="header"/>
    <w:basedOn w:val="Normal"/>
    <w:link w:val="HeaderChar"/>
    <w:uiPriority w:val="99"/>
    <w:unhideWhenUsed/>
    <w:rsid w:val="000956BF"/>
    <w:pPr>
      <w:tabs>
        <w:tab w:val="center" w:pos="4680"/>
        <w:tab w:val="right" w:pos="9360"/>
      </w:tabs>
      <w:spacing w:line="240" w:lineRule="auto"/>
    </w:pPr>
  </w:style>
  <w:style w:type="character" w:customStyle="1" w:styleId="HeaderChar">
    <w:name w:val="Header Char"/>
    <w:basedOn w:val="DefaultParagraphFont"/>
    <w:link w:val="Header"/>
    <w:uiPriority w:val="99"/>
    <w:rsid w:val="000956BF"/>
  </w:style>
  <w:style w:type="paragraph" w:styleId="Footer">
    <w:name w:val="footer"/>
    <w:basedOn w:val="Normal"/>
    <w:link w:val="FooterChar"/>
    <w:uiPriority w:val="99"/>
    <w:unhideWhenUsed/>
    <w:rsid w:val="000956BF"/>
    <w:pPr>
      <w:tabs>
        <w:tab w:val="center" w:pos="4680"/>
        <w:tab w:val="right" w:pos="9360"/>
      </w:tabs>
      <w:spacing w:line="240" w:lineRule="auto"/>
    </w:pPr>
  </w:style>
  <w:style w:type="character" w:customStyle="1" w:styleId="FooterChar">
    <w:name w:val="Footer Char"/>
    <w:basedOn w:val="DefaultParagraphFont"/>
    <w:link w:val="Footer"/>
    <w:uiPriority w:val="99"/>
    <w:rsid w:val="000956BF"/>
  </w:style>
  <w:style w:type="character" w:styleId="CommentReference">
    <w:name w:val="annotation reference"/>
    <w:basedOn w:val="DefaultParagraphFont"/>
    <w:uiPriority w:val="99"/>
    <w:semiHidden/>
    <w:unhideWhenUsed/>
    <w:rsid w:val="00537816"/>
    <w:rPr>
      <w:sz w:val="16"/>
      <w:szCs w:val="16"/>
    </w:rPr>
  </w:style>
  <w:style w:type="paragraph" w:styleId="CommentText">
    <w:name w:val="annotation text"/>
    <w:basedOn w:val="Normal"/>
    <w:link w:val="CommentTextChar"/>
    <w:uiPriority w:val="99"/>
    <w:semiHidden/>
    <w:unhideWhenUsed/>
    <w:rsid w:val="00537816"/>
    <w:pPr>
      <w:spacing w:line="240" w:lineRule="auto"/>
    </w:pPr>
    <w:rPr>
      <w:sz w:val="20"/>
      <w:szCs w:val="20"/>
    </w:rPr>
  </w:style>
  <w:style w:type="character" w:customStyle="1" w:styleId="CommentTextChar">
    <w:name w:val="Comment Text Char"/>
    <w:basedOn w:val="DefaultParagraphFont"/>
    <w:link w:val="CommentText"/>
    <w:uiPriority w:val="99"/>
    <w:semiHidden/>
    <w:rsid w:val="00537816"/>
    <w:rPr>
      <w:sz w:val="20"/>
      <w:szCs w:val="20"/>
    </w:rPr>
  </w:style>
  <w:style w:type="paragraph" w:styleId="CommentSubject">
    <w:name w:val="annotation subject"/>
    <w:basedOn w:val="CommentText"/>
    <w:next w:val="CommentText"/>
    <w:link w:val="CommentSubjectChar"/>
    <w:uiPriority w:val="99"/>
    <w:semiHidden/>
    <w:unhideWhenUsed/>
    <w:rsid w:val="00537816"/>
    <w:rPr>
      <w:b/>
      <w:bCs/>
    </w:rPr>
  </w:style>
  <w:style w:type="character" w:customStyle="1" w:styleId="CommentSubjectChar">
    <w:name w:val="Comment Subject Char"/>
    <w:basedOn w:val="CommentTextChar"/>
    <w:link w:val="CommentSubject"/>
    <w:uiPriority w:val="99"/>
    <w:semiHidden/>
    <w:rsid w:val="00537816"/>
    <w:rPr>
      <w:b/>
      <w:bCs/>
      <w:sz w:val="20"/>
      <w:szCs w:val="20"/>
    </w:rPr>
  </w:style>
  <w:style w:type="character" w:styleId="PlaceholderText">
    <w:name w:val="Placeholder Text"/>
    <w:basedOn w:val="DefaultParagraphFont"/>
    <w:uiPriority w:val="99"/>
    <w:semiHidden/>
    <w:rsid w:val="009323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1341">
      <w:bodyDiv w:val="1"/>
      <w:marLeft w:val="0"/>
      <w:marRight w:val="0"/>
      <w:marTop w:val="0"/>
      <w:marBottom w:val="0"/>
      <w:divBdr>
        <w:top w:val="none" w:sz="0" w:space="0" w:color="auto"/>
        <w:left w:val="none" w:sz="0" w:space="0" w:color="auto"/>
        <w:bottom w:val="none" w:sz="0" w:space="0" w:color="auto"/>
        <w:right w:val="none" w:sz="0" w:space="0" w:color="auto"/>
      </w:divBdr>
    </w:div>
    <w:div w:id="417869416">
      <w:bodyDiv w:val="1"/>
      <w:marLeft w:val="0"/>
      <w:marRight w:val="0"/>
      <w:marTop w:val="0"/>
      <w:marBottom w:val="0"/>
      <w:divBdr>
        <w:top w:val="none" w:sz="0" w:space="0" w:color="auto"/>
        <w:left w:val="none" w:sz="0" w:space="0" w:color="auto"/>
        <w:bottom w:val="none" w:sz="0" w:space="0" w:color="auto"/>
        <w:right w:val="none" w:sz="0" w:space="0" w:color="auto"/>
      </w:divBdr>
    </w:div>
    <w:div w:id="442922725">
      <w:bodyDiv w:val="1"/>
      <w:marLeft w:val="0"/>
      <w:marRight w:val="0"/>
      <w:marTop w:val="0"/>
      <w:marBottom w:val="0"/>
      <w:divBdr>
        <w:top w:val="none" w:sz="0" w:space="0" w:color="auto"/>
        <w:left w:val="none" w:sz="0" w:space="0" w:color="auto"/>
        <w:bottom w:val="none" w:sz="0" w:space="0" w:color="auto"/>
        <w:right w:val="none" w:sz="0" w:space="0" w:color="auto"/>
      </w:divBdr>
    </w:div>
    <w:div w:id="569970747">
      <w:bodyDiv w:val="1"/>
      <w:marLeft w:val="0"/>
      <w:marRight w:val="0"/>
      <w:marTop w:val="0"/>
      <w:marBottom w:val="0"/>
      <w:divBdr>
        <w:top w:val="none" w:sz="0" w:space="0" w:color="auto"/>
        <w:left w:val="none" w:sz="0" w:space="0" w:color="auto"/>
        <w:bottom w:val="none" w:sz="0" w:space="0" w:color="auto"/>
        <w:right w:val="none" w:sz="0" w:space="0" w:color="auto"/>
      </w:divBdr>
    </w:div>
    <w:div w:id="1455832468">
      <w:bodyDiv w:val="1"/>
      <w:marLeft w:val="0"/>
      <w:marRight w:val="0"/>
      <w:marTop w:val="0"/>
      <w:marBottom w:val="0"/>
      <w:divBdr>
        <w:top w:val="none" w:sz="0" w:space="0" w:color="auto"/>
        <w:left w:val="none" w:sz="0" w:space="0" w:color="auto"/>
        <w:bottom w:val="none" w:sz="0" w:space="0" w:color="auto"/>
        <w:right w:val="none" w:sz="0" w:space="0" w:color="auto"/>
      </w:divBdr>
    </w:div>
    <w:div w:id="1519081407">
      <w:bodyDiv w:val="1"/>
      <w:marLeft w:val="0"/>
      <w:marRight w:val="0"/>
      <w:marTop w:val="0"/>
      <w:marBottom w:val="0"/>
      <w:divBdr>
        <w:top w:val="none" w:sz="0" w:space="0" w:color="auto"/>
        <w:left w:val="none" w:sz="0" w:space="0" w:color="auto"/>
        <w:bottom w:val="none" w:sz="0" w:space="0" w:color="auto"/>
        <w:right w:val="none" w:sz="0" w:space="0" w:color="auto"/>
      </w:divBdr>
    </w:div>
    <w:div w:id="1731920227">
      <w:bodyDiv w:val="1"/>
      <w:marLeft w:val="0"/>
      <w:marRight w:val="0"/>
      <w:marTop w:val="0"/>
      <w:marBottom w:val="0"/>
      <w:divBdr>
        <w:top w:val="none" w:sz="0" w:space="0" w:color="auto"/>
        <w:left w:val="none" w:sz="0" w:space="0" w:color="auto"/>
        <w:bottom w:val="none" w:sz="0" w:space="0" w:color="auto"/>
        <w:right w:val="none" w:sz="0" w:space="0" w:color="auto"/>
      </w:divBdr>
    </w:div>
    <w:div w:id="2046514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Center for Open Science</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Irons</dc:creator>
  <cp:lastModifiedBy>Paul Scotti</cp:lastModifiedBy>
  <cp:revision>45</cp:revision>
  <dcterms:created xsi:type="dcterms:W3CDTF">2018-03-06T12:31:00Z</dcterms:created>
  <dcterms:modified xsi:type="dcterms:W3CDTF">2018-03-06T16:42:00Z</dcterms:modified>
</cp:coreProperties>
</file>