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8D5190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4D4B2F3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DE6241">
        <w:rPr>
          <w:rFonts w:ascii="Calibri" w:hAnsi="Calibri" w:cs="Calibri"/>
          <w:i/>
          <w:iCs/>
          <w:color w:val="auto"/>
        </w:rPr>
        <w:t xml:space="preserve">May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31CDEE59" w14:textId="3DD9E4E8" w:rsidR="002A582C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SUMMARIZED WORK</w:t>
      </w:r>
    </w:p>
    <w:p w14:paraId="443D9E01" w14:textId="77777777" w:rsidR="002A582C" w:rsidRPr="0096224F" w:rsidRDefault="002A582C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79CD4DF6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Neuroimaging methods</w:t>
      </w:r>
    </w:p>
    <w:p w14:paraId="5434CF86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models (to present at CNS/VSS 2021)</w:t>
      </w:r>
    </w:p>
    <w:p w14:paraId="090A3CF2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working memory</w:t>
      </w:r>
    </w:p>
    <w:p w14:paraId="68D0CDA7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2D6E7349" w14:textId="77777777" w:rsidR="002A582C" w:rsidRPr="00D55AE9" w:rsidRDefault="008D5190" w:rsidP="007A5C35">
      <w:pPr>
        <w:pStyle w:val="Default"/>
        <w:ind w:left="360"/>
        <w:rPr>
          <w:rFonts w:ascii="Calibri" w:hAnsi="Calibri" w:cs="Calibri"/>
          <w:color w:val="auto"/>
          <w:sz w:val="22"/>
          <w:szCs w:val="22"/>
        </w:rPr>
      </w:pPr>
      <w:hyperlink r:id="rId11" w:history="1"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>Scotti, Hong, Leber, &amp; Golomb, 2020;</w:t>
        </w:r>
        <w:r w:rsidR="002A582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PsyArXiv</w:t>
        </w:r>
      </w:hyperlink>
    </w:p>
    <w:p w14:paraId="0149756A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long-term memory</w:t>
      </w:r>
    </w:p>
    <w:p w14:paraId="7A2A1854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Statistical regularities during object encoding induce swap errors and repulsion/attraction biases </w:t>
      </w:r>
    </w:p>
    <w:p w14:paraId="3BF450E5" w14:textId="102B78A3" w:rsidR="002A582C" w:rsidRPr="0096224F" w:rsidRDefault="008D5190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2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Scotti, Hong, Golomb, &amp; Leber, 20</w:t>
        </w:r>
        <w:r w:rsidR="00C95B3B">
          <w:rPr>
            <w:rStyle w:val="Hyperlink"/>
            <w:rFonts w:ascii="Calibri" w:hAnsi="Calibri" w:cs="Calibri"/>
            <w:bCs/>
            <w:sz w:val="22"/>
            <w:szCs w:val="22"/>
          </w:rPr>
          <w:t>21;</w:t>
        </w:r>
      </w:hyperlink>
      <w:r w:rsidR="00C95B3B">
        <w:rPr>
          <w:rStyle w:val="Hyperlink"/>
          <w:rFonts w:ascii="Calibri" w:hAnsi="Calibri" w:cs="Calibri"/>
          <w:bCs/>
          <w:i/>
          <w:iCs/>
          <w:sz w:val="22"/>
          <w:szCs w:val="22"/>
        </w:rPr>
        <w:t xml:space="preserve"> Attention, Perception, &amp; Psychophysics</w:t>
      </w:r>
    </w:p>
    <w:p w14:paraId="26D0224E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operate over perceptually distinct real-world objects </w:t>
      </w:r>
    </w:p>
    <w:p w14:paraId="19C0DE42" w14:textId="77777777" w:rsidR="002A582C" w:rsidRPr="0056678E" w:rsidRDefault="008D5190" w:rsidP="007A5C35">
      <w:pPr>
        <w:pStyle w:val="Default"/>
        <w:ind w:left="360"/>
        <w:rPr>
          <w:rFonts w:ascii="Calibri" w:hAnsi="Calibri" w:cs="Calibri"/>
          <w:bCs/>
          <w:color w:val="auto"/>
          <w:sz w:val="22"/>
          <w:szCs w:val="22"/>
        </w:rPr>
      </w:pPr>
      <w:hyperlink r:id="rId13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Janakiefski, &amp; Maxcey, 2020; </w:t>
        </w:r>
        <w:r w:rsidR="002A582C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171B4E3D" w14:textId="51F8E802" w:rsidR="002A582C" w:rsidRPr="00CD0A08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underlie </w:t>
      </w:r>
      <w:r w:rsidR="00F82218">
        <w:rPr>
          <w:rFonts w:ascii="Calibri" w:hAnsi="Calibri" w:cs="Calibri"/>
          <w:bCs/>
        </w:rPr>
        <w:t xml:space="preserve">directed forgetting  &amp; </w:t>
      </w:r>
      <w:r>
        <w:rPr>
          <w:rFonts w:ascii="Calibri" w:hAnsi="Calibri" w:cs="Calibri"/>
          <w:bCs/>
        </w:rPr>
        <w:t xml:space="preserve">induced forgetting </w:t>
      </w:r>
    </w:p>
    <w:p w14:paraId="0D953FD9" w14:textId="42EDAACB" w:rsidR="002A582C" w:rsidRDefault="002A582C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Maxcey, 2020; </w:t>
      </w:r>
      <w:r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3D168F9B" w14:textId="77777777" w:rsidR="0008725B" w:rsidRPr="001A41E0" w:rsidRDefault="0008725B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</w:rPr>
        <w:t>Visual</w:t>
      </w:r>
      <w:r w:rsidRPr="001A41E0">
        <w:rPr>
          <w:rFonts w:ascii="Calibri" w:hAnsi="Calibri" w:cs="Calibri"/>
          <w:b/>
        </w:rPr>
        <w:t xml:space="preserve"> attention</w:t>
      </w:r>
    </w:p>
    <w:p w14:paraId="25901250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231B5B36" w14:textId="77777777" w:rsidR="0008725B" w:rsidRPr="0096224F" w:rsidRDefault="008D5190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4" w:history="1"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Collegio, Nah, Scotti, &amp; Shomstein, 2019; </w:t>
        </w:r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6B86D96B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32BDF96D" w14:textId="2127C8C7" w:rsidR="0008725B" w:rsidRPr="0008725B" w:rsidRDefault="008D5190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5" w:history="1"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Collegio, &amp; Shomstein, 2019; </w:t>
        </w:r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</w:hyperlink>
    </w:p>
    <w:p w14:paraId="31BF1876" w14:textId="14F380B2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Educational</w:t>
      </w:r>
      <w:r w:rsidR="007F6A63">
        <w:rPr>
          <w:rFonts w:ascii="Calibri" w:hAnsi="Calibri" w:cs="Calibri"/>
          <w:b/>
        </w:rPr>
        <w:t>/open-source</w:t>
      </w:r>
      <w:r w:rsidRPr="001A41E0">
        <w:rPr>
          <w:rFonts w:ascii="Calibri" w:hAnsi="Calibri" w:cs="Calibri"/>
          <w:b/>
        </w:rPr>
        <w:t xml:space="preserve"> neuroscience tools</w:t>
      </w:r>
    </w:p>
    <w:p w14:paraId="0887990F" w14:textId="17900373" w:rsidR="002A582C" w:rsidRPr="002558FC" w:rsidRDefault="002A582C" w:rsidP="007A5C35">
      <w:pPr>
        <w:pStyle w:val="Default"/>
        <w:numPr>
          <w:ilvl w:val="0"/>
          <w:numId w:val="19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712D0A">
        <w:rPr>
          <w:rFonts w:ascii="Calibri" w:hAnsi="Calibri" w:cs="Calibri"/>
          <w:bCs/>
        </w:rPr>
        <w:t xml:space="preserve">EduCortex </w:t>
      </w:r>
      <w:r w:rsidRPr="00712D0A">
        <w:rPr>
          <w:rFonts w:ascii="Calibri" w:hAnsi="Calibri" w:cs="Calibri"/>
          <w:bCs/>
          <w:sz w:val="22"/>
          <w:szCs w:val="22"/>
        </w:rPr>
        <w:t>(</w:t>
      </w:r>
      <w:hyperlink r:id="rId16" w:history="1">
        <w:r w:rsidRPr="00712D0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712D0A">
        <w:rPr>
          <w:rFonts w:ascii="Calibri" w:hAnsi="Calibri" w:cs="Calibri"/>
          <w:bCs/>
          <w:sz w:val="22"/>
          <w:szCs w:val="22"/>
        </w:rPr>
        <w:t>)</w:t>
      </w:r>
      <w:r w:rsidR="00712D0A" w:rsidRPr="00712D0A">
        <w:rPr>
          <w:rFonts w:ascii="Calibri" w:hAnsi="Calibri" w:cs="Calibri"/>
          <w:bCs/>
          <w:sz w:val="22"/>
          <w:szCs w:val="22"/>
        </w:rPr>
        <w:t xml:space="preserve"> </w:t>
      </w:r>
      <w:hyperlink r:id="rId17" w:history="1"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Scotti, Kulkarni, Mazor, Klapwijk, Yarkoni, &amp; Huth, 2020; </w:t>
        </w:r>
        <w:r w:rsidRP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J</w:t>
        </w:r>
        <w:r w:rsid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OS</w:t>
        </w:r>
        <w:r w:rsidR="00D07506">
          <w:rPr>
            <w:rStyle w:val="Hyperlink"/>
            <w:rFonts w:ascii="Calibri" w:hAnsi="Calibri" w:cs="Calibri"/>
            <w:i/>
            <w:iCs/>
            <w:sz w:val="22"/>
            <w:szCs w:val="22"/>
          </w:rPr>
          <w:t>E</w:t>
        </w:r>
      </w:hyperlink>
    </w:p>
    <w:p w14:paraId="046B8AFA" w14:textId="1E40BFEA" w:rsidR="002558FC" w:rsidRPr="002558FC" w:rsidRDefault="002558FC" w:rsidP="00032A87">
      <w:pPr>
        <w:pStyle w:val="Default"/>
        <w:numPr>
          <w:ilvl w:val="0"/>
          <w:numId w:val="19"/>
        </w:numPr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Cs/>
        </w:rPr>
        <w:t>Inverted Encoding Model</w:t>
      </w:r>
      <w:r w:rsidR="00F25D1B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 -- Python package</w:t>
      </w:r>
      <w:r w:rsidRPr="002558FC">
        <w:rPr>
          <w:rFonts w:ascii="Calibri" w:hAnsi="Calibri" w:cs="Calibri"/>
          <w:bCs/>
        </w:rPr>
        <w:t xml:space="preserve"> </w:t>
      </w:r>
      <w:r w:rsidRPr="002558FC">
        <w:rPr>
          <w:rFonts w:ascii="Calibri" w:hAnsi="Calibri" w:cs="Calibri"/>
          <w:bCs/>
          <w:sz w:val="22"/>
          <w:szCs w:val="22"/>
        </w:rPr>
        <w:t>(</w:t>
      </w:r>
      <w:hyperlink r:id="rId18" w:history="1">
        <w:r w:rsidRPr="00507108">
          <w:rPr>
            <w:rStyle w:val="Hyperlink"/>
            <w:rFonts w:ascii="Calibri" w:hAnsi="Calibri" w:cs="Calibri"/>
            <w:bCs/>
            <w:sz w:val="22"/>
            <w:szCs w:val="22"/>
          </w:rPr>
          <w:t>https://pypi.org/project/inverted-encoding/</w:t>
        </w:r>
      </w:hyperlink>
      <w:r>
        <w:rPr>
          <w:rFonts w:ascii="Calibri" w:hAnsi="Calibri" w:cs="Calibri"/>
          <w:bCs/>
          <w:sz w:val="22"/>
          <w:szCs w:val="22"/>
        </w:rPr>
        <w:t>)</w:t>
      </w:r>
    </w:p>
    <w:p w14:paraId="55079470" w14:textId="0940578E" w:rsidR="002A582C" w:rsidRPr="002558FC" w:rsidRDefault="002A582C" w:rsidP="002558FC">
      <w:pPr>
        <w:pStyle w:val="Default"/>
        <w:rPr>
          <w:rFonts w:ascii="Calibri" w:hAnsi="Calibri" w:cs="Calibri"/>
          <w:b/>
          <w:color w:val="auto"/>
          <w:sz w:val="20"/>
        </w:rPr>
      </w:pPr>
      <w:r w:rsidRPr="002558FC">
        <w:rPr>
          <w:rFonts w:ascii="Calibri" w:hAnsi="Calibri" w:cs="Calibri"/>
          <w:b/>
        </w:rPr>
        <w:t>Science communication</w:t>
      </w:r>
    </w:p>
    <w:p w14:paraId="1ED66B2D" w14:textId="489DDF21" w:rsidR="002A582C" w:rsidRPr="002A582C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OnNeuro</w:t>
      </w:r>
      <w:r w:rsidR="00322EA0">
        <w:rPr>
          <w:rFonts w:ascii="Calibri" w:hAnsi="Calibri" w:cs="Calibri"/>
          <w:bCs/>
        </w:rPr>
        <w:t xml:space="preserve"> lead</w:t>
      </w:r>
      <w:r w:rsidRPr="0096224F">
        <w:rPr>
          <w:rFonts w:ascii="Calibri" w:hAnsi="Calibri" w:cs="Calibri"/>
          <w:bCs/>
        </w:rPr>
        <w:t xml:space="preserve">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9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8610B57" w14:textId="39754F0C" w:rsidR="002D46D9" w:rsidRPr="007A5C35" w:rsidRDefault="00B76A1F" w:rsidP="007A5C3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2101B181" w:rsidR="001D3C4C" w:rsidRDefault="001D3C4C" w:rsidP="001D3C4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Hong, Y., Leber, A., B., &amp; Golomb,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accepted</w:t>
      </w:r>
      <w:r w:rsidRPr="00907537">
        <w:rPr>
          <w:rFonts w:ascii="Calibri" w:hAnsi="Calibri" w:cs="Calibri"/>
          <w:color w:val="auto"/>
        </w:rPr>
        <w:t xml:space="preserve">). </w:t>
      </w:r>
      <w:r w:rsidRPr="007974B9">
        <w:rPr>
          <w:rFonts w:ascii="Calibri" w:hAnsi="Calibri" w:cs="Calibri"/>
        </w:rPr>
        <w:t>Visual working memory items drift apart due to active, not passive, maintenance</w:t>
      </w:r>
      <w:r>
        <w:rPr>
          <w:rFonts w:ascii="Calibri" w:hAnsi="Calibri" w:cs="Calibri"/>
          <w:color w:val="auto"/>
        </w:rPr>
        <w:t xml:space="preserve">. </w:t>
      </w:r>
      <w:r>
        <w:rPr>
          <w:rFonts w:ascii="Calibri" w:hAnsi="Calibri" w:cs="Calibri"/>
          <w:i/>
          <w:iCs/>
          <w:color w:val="auto"/>
        </w:rPr>
        <w:t xml:space="preserve">Journal of Experimental Psychology: General. </w:t>
      </w:r>
    </w:p>
    <w:p w14:paraId="699325A2" w14:textId="4A0C1FB7" w:rsidR="00565BF6" w:rsidRDefault="00565BF6" w:rsidP="00565BF6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Mazor, M., Klapwijk, E., Huth, A. G. (</w:t>
      </w:r>
      <w:r>
        <w:rPr>
          <w:rFonts w:ascii="Calibri" w:hAnsi="Calibri" w:cs="Calibri"/>
          <w:color w:val="auto"/>
        </w:rPr>
        <w:t>accepted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Frontiers for Young Minds</w:t>
      </w:r>
      <w:r>
        <w:rPr>
          <w:rFonts w:ascii="Calibri" w:hAnsi="Calibri" w:cs="Calibri"/>
          <w:color w:val="auto"/>
        </w:rPr>
        <w:t>.</w:t>
      </w:r>
    </w:p>
    <w:p w14:paraId="4E299010" w14:textId="3184D3F9" w:rsidR="00170BBE" w:rsidRPr="00170BBE" w:rsidRDefault="00170BBE" w:rsidP="00170BBE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Leber, A., B. (</w:t>
      </w:r>
      <w:r>
        <w:rPr>
          <w:rFonts w:ascii="Calibri" w:hAnsi="Calibri" w:cs="Calibri"/>
          <w:color w:val="auto"/>
        </w:rPr>
        <w:t>2021</w:t>
      </w:r>
      <w:r w:rsidRPr="00907537">
        <w:rPr>
          <w:rFonts w:ascii="Calibri" w:hAnsi="Calibri" w:cs="Calibri"/>
          <w:color w:val="auto"/>
        </w:rPr>
        <w:t xml:space="preserve">). Statistical regularities </w:t>
      </w:r>
      <w:r>
        <w:rPr>
          <w:rFonts w:ascii="Calibri" w:hAnsi="Calibri" w:cs="Calibri"/>
          <w:color w:val="auto"/>
        </w:rPr>
        <w:t>as a reference point for memory distortions: Swap and shift errors</w:t>
      </w:r>
      <w:r w:rsidRPr="00907537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 xml:space="preserve">Attention, Perception, &amp; Psychophysics, </w:t>
      </w:r>
      <w:r>
        <w:rPr>
          <w:rFonts w:ascii="Calibri" w:hAnsi="Calibri" w:cs="Calibri"/>
          <w:color w:val="auto"/>
        </w:rPr>
        <w:t xml:space="preserve">(), 1-21. </w:t>
      </w:r>
      <w:hyperlink r:id="rId20" w:history="1">
        <w:r w:rsidRPr="005B2CC9">
          <w:rPr>
            <w:rStyle w:val="Hyperlink"/>
            <w:rFonts w:ascii="Calibri" w:hAnsi="Calibri" w:cs="Calibri"/>
          </w:rPr>
          <w:t>doi.org/10.3758/s13414-020-02236-3</w:t>
        </w:r>
      </w:hyperlink>
    </w:p>
    <w:p w14:paraId="7CD4A6C7" w14:textId="7D224AFA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Mazor, M., Klapwijk, E., Yarkoni, T., Huth, A. G. (2020). EduCortex: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>Journal of Open Source Education</w:t>
      </w:r>
      <w:r w:rsidRPr="00907537">
        <w:rPr>
          <w:rFonts w:ascii="Calibri" w:hAnsi="Calibri" w:cs="Calibri"/>
          <w:color w:val="auto"/>
        </w:rPr>
        <w:t>, 3(26), 75</w:t>
      </w:r>
      <w:r w:rsidR="002E418B">
        <w:rPr>
          <w:rFonts w:ascii="Calibri" w:hAnsi="Calibri" w:cs="Calibri"/>
          <w:color w:val="auto"/>
        </w:rPr>
        <w:t>.</w:t>
      </w:r>
      <w:r w:rsidRPr="00907537">
        <w:rPr>
          <w:rFonts w:ascii="Calibri" w:hAnsi="Calibri" w:cs="Calibri"/>
          <w:color w:val="auto"/>
        </w:rPr>
        <w:t xml:space="preserve"> </w:t>
      </w:r>
      <w:hyperlink r:id="rId21" w:history="1">
        <w:r w:rsidRPr="005B2CC9">
          <w:rPr>
            <w:rStyle w:val="Hyperlink"/>
            <w:rFonts w:ascii="Calibri" w:hAnsi="Calibri" w:cs="Calibri"/>
          </w:rPr>
          <w:t>doi.org/10.21105/jose.00075</w:t>
        </w:r>
      </w:hyperlink>
    </w:p>
    <w:p w14:paraId="050F1B54" w14:textId="15C0CA39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Janakiefski, L., &amp; Maxcey,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357–365. doi.org/10.3758/s13423-019-01693-8</w:t>
      </w:r>
    </w:p>
    <w:p w14:paraId="2F9822E2" w14:textId="14F5E97E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 xml:space="preserve">Collegio,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Shomstein,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 xml:space="preserve">, 3(1), 40-47. </w:t>
      </w:r>
      <w:hyperlink r:id="rId22" w:history="1">
        <w:r w:rsidRPr="005B2CC9">
          <w:rPr>
            <w:rStyle w:val="Hyperlink"/>
            <w:rFonts w:ascii="Calibri" w:hAnsi="Calibri" w:cs="Calibri"/>
          </w:rPr>
          <w:t>doi.org/10.1038/s41562-018-0485-2</w:t>
        </w:r>
      </w:hyperlink>
    </w:p>
    <w:p w14:paraId="7A7F08DF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11F68931" w14:textId="0CB0FB32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Preprints</w:t>
      </w:r>
    </w:p>
    <w:p w14:paraId="5A95B00A" w14:textId="49BF5D86" w:rsidR="00B45EB6" w:rsidRPr="00B45EB6" w:rsidRDefault="00B45EB6" w:rsidP="00B45EB6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 w:rsidRPr="00B45EB6">
        <w:rPr>
          <w:rFonts w:ascii="Calibri" w:hAnsi="Calibri" w:cs="Calibri"/>
          <w:b/>
          <w:bCs/>
        </w:rPr>
        <w:t>Scotti, P. S.</w:t>
      </w:r>
      <w:r w:rsidRPr="00B45EB6">
        <w:rPr>
          <w:rFonts w:ascii="Calibri" w:hAnsi="Calibri" w:cs="Calibri"/>
        </w:rPr>
        <w:t>, Collegio, A., &amp; Shomstein, S. (2019). Object-based attention is resilient to low-level (boundary) or high-level (semantic) disturbances, but not both.</w:t>
      </w:r>
      <w:r w:rsidR="00D2599D">
        <w:rPr>
          <w:rFonts w:ascii="Calibri" w:hAnsi="Calibri" w:cs="Calibri"/>
        </w:rPr>
        <w:t xml:space="preserve"> </w:t>
      </w:r>
      <w:r w:rsidR="00D2599D">
        <w:rPr>
          <w:rFonts w:ascii="Calibri" w:hAnsi="Calibri" w:cs="Calibri"/>
          <w:i/>
          <w:iCs/>
        </w:rPr>
        <w:t>PsyArXiv.</w:t>
      </w:r>
      <w:r w:rsidRPr="00B45EB6">
        <w:rPr>
          <w:rFonts w:ascii="Calibri" w:hAnsi="Calibri" w:cs="Calibri"/>
        </w:rPr>
        <w:t xml:space="preserve"> </w:t>
      </w:r>
      <w:hyperlink r:id="rId23" w:history="1">
        <w:r w:rsidR="005B2CC9" w:rsidRPr="005B2CC9">
          <w:rPr>
            <w:rStyle w:val="Hyperlink"/>
            <w:rFonts w:ascii="Calibri" w:hAnsi="Calibri" w:cs="Calibri"/>
          </w:rPr>
          <w:t>doi.org/10.31234/osf.io/yxqju</w:t>
        </w:r>
      </w:hyperlink>
    </w:p>
    <w:p w14:paraId="564A4225" w14:textId="77777777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</w:p>
    <w:p w14:paraId="76844BDE" w14:textId="01C8DDED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Under Review / Submitted</w:t>
      </w:r>
    </w:p>
    <w:p w14:paraId="014DDEF7" w14:textId="5C9C9DFB" w:rsidR="00111F81" w:rsidRPr="00907537" w:rsidRDefault="00111F81" w:rsidP="00924967">
      <w:pPr>
        <w:pStyle w:val="Default"/>
        <w:numPr>
          <w:ilvl w:val="0"/>
          <w:numId w:val="40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Maxcey, A. M. (submitted). Comparing the robustness of laboratory-induced forgetting across paradigms.</w:t>
      </w:r>
    </w:p>
    <w:p w14:paraId="5D2D6990" w14:textId="77777777" w:rsidR="00907537" w:rsidRPr="00907537" w:rsidRDefault="00907537" w:rsidP="007A5C35">
      <w:pPr>
        <w:pStyle w:val="Default"/>
        <w:spacing w:after="3"/>
        <w:rPr>
          <w:rFonts w:ascii="Calibri" w:hAnsi="Calibri" w:cs="Calibri"/>
          <w:color w:val="auto"/>
        </w:rPr>
      </w:pPr>
    </w:p>
    <w:p w14:paraId="3237A788" w14:textId="375379AE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In Prep</w:t>
      </w:r>
    </w:p>
    <w:p w14:paraId="4BAE1432" w14:textId="3E7D9360" w:rsidR="000D40F1" w:rsidRDefault="000D40F1" w:rsidP="000D40F1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Chen, J., &amp; Golomb,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in preparation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An improved method for evaluating inverted encoding models</w:t>
      </w:r>
      <w:r>
        <w:rPr>
          <w:rFonts w:ascii="Calibri" w:hAnsi="Calibri" w:cs="Calibri"/>
          <w:color w:val="auto"/>
        </w:rPr>
        <w:t>.</w:t>
      </w:r>
    </w:p>
    <w:p w14:paraId="728B9E51" w14:textId="7C6ECF22" w:rsidR="00600CB6" w:rsidRPr="00600CB6" w:rsidRDefault="00600CB6" w:rsidP="00600CB6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2CDCE1DE" w14:textId="219A1802" w:rsidR="00E77F51" w:rsidRDefault="00907537" w:rsidP="007A5C35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Shomstein, S. (in preparation). </w:t>
      </w:r>
      <w:r w:rsidR="007438C0">
        <w:rPr>
          <w:rFonts w:ascii="Calibri" w:hAnsi="Calibri" w:cs="Calibri"/>
          <w:color w:val="auto"/>
        </w:rPr>
        <w:t>Task-irrelevant semantic grouping weakens object-based effects in the two-rectangle paradigm</w:t>
      </w:r>
      <w:r w:rsidRPr="00907537"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Mazor, M., Klapwijk, E., Yarkoni, T., Huth, A. G. (2019, Dec). EduCortex: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Leber,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Leber,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Leber,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r w:rsidRPr="00F921D0">
        <w:rPr>
          <w:rFonts w:ascii="Calibri" w:hAnsi="Calibri" w:cs="Calibri"/>
          <w:bCs/>
        </w:rPr>
        <w:t xml:space="preserve">Janakiefski, L., Smerdell,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Maxcey, A. (2019, March). Does recognition-induced forgetting operate over temporally-grouped objects? </w:t>
      </w:r>
      <w:r w:rsidRPr="00F921D0">
        <w:rPr>
          <w:rFonts w:ascii="Calibri" w:hAnsi="Calibri" w:cs="Calibri"/>
          <w:bCs/>
          <w:i/>
          <w:iCs/>
        </w:rPr>
        <w:t>CogFest</w:t>
      </w:r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Leber,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Leber,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Leber,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Collegio, A., </w:t>
      </w:r>
      <w:r w:rsidRPr="00F921D0">
        <w:rPr>
          <w:rFonts w:ascii="Calibri" w:hAnsi="Calibri" w:cs="Calibri"/>
          <w:b/>
        </w:rPr>
        <w:t xml:space="preserve">Scotti, P. S., </w:t>
      </w:r>
      <w:r w:rsidRPr="00F921D0">
        <w:rPr>
          <w:rFonts w:ascii="Calibri" w:hAnsi="Calibri" w:cs="Calibri"/>
        </w:rPr>
        <w:t xml:space="preserve">Shomstein,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r w:rsidR="002A46E0" w:rsidRPr="002A46E0">
        <w:rPr>
          <w:rFonts w:ascii="Calibri" w:hAnsi="Calibri" w:cs="Calibri"/>
        </w:rPr>
        <w:t xml:space="preserve">Collegio,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Shomstein,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Collegio, A., &amp; Shomstein,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Mitroff, S., Shomstein,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Collegio,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Shomstein,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Collegio,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Shomstein,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Mitroff, S., Shomstein,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Shomstein,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Shomstein,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39E294FD" w14:textId="77777777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5FF46589" w14:textId="77777777" w:rsidR="00E35CAF" w:rsidRPr="00252879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(PyMC3, JAGS)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4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5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NY)   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26"/>
      <w:footerReference w:type="default" r:id="rId27"/>
      <w:headerReference w:type="first" r:id="rId28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96B94" w14:textId="77777777" w:rsidR="008D5190" w:rsidRDefault="008D5190" w:rsidP="00A00A1D">
      <w:r>
        <w:separator/>
      </w:r>
    </w:p>
  </w:endnote>
  <w:endnote w:type="continuationSeparator" w:id="0">
    <w:p w14:paraId="2B1241ED" w14:textId="77777777" w:rsidR="008D5190" w:rsidRDefault="008D519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C9F66" w14:textId="77777777" w:rsidR="008D5190" w:rsidRDefault="008D5190" w:rsidP="00A00A1D">
      <w:r>
        <w:separator/>
      </w:r>
    </w:p>
  </w:footnote>
  <w:footnote w:type="continuationSeparator" w:id="0">
    <w:p w14:paraId="56DEA192" w14:textId="77777777" w:rsidR="008D5190" w:rsidRDefault="008D5190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0DCEE15C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196ED3">
      <w:rPr>
        <w:rFonts w:ascii="Calibri" w:hAnsi="Calibri" w:cs="Calibri"/>
        <w:sz w:val="22"/>
        <w:szCs w:val="22"/>
      </w:rPr>
      <w:t xml:space="preserve">Jan. </w:t>
    </w:r>
    <w:r w:rsidR="00C44D95">
      <w:rPr>
        <w:rFonts w:ascii="Calibri" w:hAnsi="Calibri" w:cs="Calibri"/>
        <w:sz w:val="22"/>
        <w:szCs w:val="22"/>
      </w:rPr>
      <w:t>21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30"/>
  </w:num>
  <w:num w:numId="4">
    <w:abstractNumId w:val="29"/>
  </w:num>
  <w:num w:numId="5">
    <w:abstractNumId w:val="38"/>
  </w:num>
  <w:num w:numId="6">
    <w:abstractNumId w:val="12"/>
  </w:num>
  <w:num w:numId="7">
    <w:abstractNumId w:val="22"/>
  </w:num>
  <w:num w:numId="8">
    <w:abstractNumId w:val="18"/>
  </w:num>
  <w:num w:numId="9">
    <w:abstractNumId w:val="35"/>
  </w:num>
  <w:num w:numId="10">
    <w:abstractNumId w:val="37"/>
  </w:num>
  <w:num w:numId="11">
    <w:abstractNumId w:val="10"/>
  </w:num>
  <w:num w:numId="12">
    <w:abstractNumId w:val="32"/>
  </w:num>
  <w:num w:numId="13">
    <w:abstractNumId w:val="15"/>
  </w:num>
  <w:num w:numId="14">
    <w:abstractNumId w:val="14"/>
  </w:num>
  <w:num w:numId="15">
    <w:abstractNumId w:val="13"/>
  </w:num>
  <w:num w:numId="16">
    <w:abstractNumId w:val="36"/>
  </w:num>
  <w:num w:numId="17">
    <w:abstractNumId w:val="26"/>
  </w:num>
  <w:num w:numId="18">
    <w:abstractNumId w:val="16"/>
  </w:num>
  <w:num w:numId="19">
    <w:abstractNumId w:val="11"/>
  </w:num>
  <w:num w:numId="20">
    <w:abstractNumId w:val="21"/>
  </w:num>
  <w:num w:numId="21">
    <w:abstractNumId w:val="27"/>
  </w:num>
  <w:num w:numId="22">
    <w:abstractNumId w:val="31"/>
  </w:num>
  <w:num w:numId="23">
    <w:abstractNumId w:val="24"/>
  </w:num>
  <w:num w:numId="24">
    <w:abstractNumId w:val="28"/>
  </w:num>
  <w:num w:numId="25">
    <w:abstractNumId w:val="23"/>
  </w:num>
  <w:num w:numId="26">
    <w:abstractNumId w:val="39"/>
  </w:num>
  <w:num w:numId="27">
    <w:abstractNumId w:val="34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790C"/>
    <w:rsid w:val="0005025A"/>
    <w:rsid w:val="00050412"/>
    <w:rsid w:val="00051CF7"/>
    <w:rsid w:val="000555EE"/>
    <w:rsid w:val="00056539"/>
    <w:rsid w:val="00057BCF"/>
    <w:rsid w:val="00057EE0"/>
    <w:rsid w:val="00060215"/>
    <w:rsid w:val="000646AA"/>
    <w:rsid w:val="00064998"/>
    <w:rsid w:val="00074FAE"/>
    <w:rsid w:val="000751D7"/>
    <w:rsid w:val="00075533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6566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4103"/>
    <w:rsid w:val="00195CA5"/>
    <w:rsid w:val="00196ED3"/>
    <w:rsid w:val="00197743"/>
    <w:rsid w:val="001A41E0"/>
    <w:rsid w:val="001A77B6"/>
    <w:rsid w:val="001B08A4"/>
    <w:rsid w:val="001B0ED9"/>
    <w:rsid w:val="001B648D"/>
    <w:rsid w:val="001B6807"/>
    <w:rsid w:val="001B7638"/>
    <w:rsid w:val="001C0D1E"/>
    <w:rsid w:val="001C11E9"/>
    <w:rsid w:val="001C4375"/>
    <w:rsid w:val="001C45D3"/>
    <w:rsid w:val="001C5C14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4C2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56E9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2C43"/>
    <w:rsid w:val="002C2E3D"/>
    <w:rsid w:val="002C37D2"/>
    <w:rsid w:val="002C44CF"/>
    <w:rsid w:val="002D02D7"/>
    <w:rsid w:val="002D2B13"/>
    <w:rsid w:val="002D46D9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96E12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D93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023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4F3A9C"/>
    <w:rsid w:val="004F677F"/>
    <w:rsid w:val="00502929"/>
    <w:rsid w:val="00502B21"/>
    <w:rsid w:val="00503FA2"/>
    <w:rsid w:val="00505EA2"/>
    <w:rsid w:val="00506F69"/>
    <w:rsid w:val="00507D87"/>
    <w:rsid w:val="00510747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5BF6"/>
    <w:rsid w:val="0056678E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7692"/>
    <w:rsid w:val="005A28D7"/>
    <w:rsid w:val="005A2E35"/>
    <w:rsid w:val="005A7B05"/>
    <w:rsid w:val="005B1D32"/>
    <w:rsid w:val="005B2CC9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2D0A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800163"/>
    <w:rsid w:val="00800287"/>
    <w:rsid w:val="0080581A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0C9"/>
    <w:rsid w:val="008C7441"/>
    <w:rsid w:val="008D153C"/>
    <w:rsid w:val="008D5190"/>
    <w:rsid w:val="008D61BC"/>
    <w:rsid w:val="008E077B"/>
    <w:rsid w:val="008E0931"/>
    <w:rsid w:val="008E0BDB"/>
    <w:rsid w:val="008E18D4"/>
    <w:rsid w:val="008E225F"/>
    <w:rsid w:val="008E3048"/>
    <w:rsid w:val="008E58EF"/>
    <w:rsid w:val="008E5EFF"/>
    <w:rsid w:val="008E711E"/>
    <w:rsid w:val="008E7910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3729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F13CE"/>
    <w:rsid w:val="009F2B83"/>
    <w:rsid w:val="009F2E64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1986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F67"/>
    <w:rsid w:val="00C512A2"/>
    <w:rsid w:val="00C536EE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4C46"/>
    <w:rsid w:val="00CF57EC"/>
    <w:rsid w:val="00D027B0"/>
    <w:rsid w:val="00D057FE"/>
    <w:rsid w:val="00D070EA"/>
    <w:rsid w:val="00D07506"/>
    <w:rsid w:val="00D07716"/>
    <w:rsid w:val="00D10489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D76"/>
    <w:rsid w:val="00D3239C"/>
    <w:rsid w:val="00D33300"/>
    <w:rsid w:val="00D35B6B"/>
    <w:rsid w:val="00D37B78"/>
    <w:rsid w:val="00D40A3E"/>
    <w:rsid w:val="00D418DB"/>
    <w:rsid w:val="00D42B2F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A2A35"/>
    <w:rsid w:val="00DB2A68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1AA4"/>
    <w:rsid w:val="00E026E7"/>
    <w:rsid w:val="00E04BC0"/>
    <w:rsid w:val="00E050D2"/>
    <w:rsid w:val="00E05C37"/>
    <w:rsid w:val="00E063B2"/>
    <w:rsid w:val="00E06590"/>
    <w:rsid w:val="00E07AEC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49C"/>
    <w:rsid w:val="00E37D22"/>
    <w:rsid w:val="00E42470"/>
    <w:rsid w:val="00E44C54"/>
    <w:rsid w:val="00E45AA3"/>
    <w:rsid w:val="00E466A4"/>
    <w:rsid w:val="00E52773"/>
    <w:rsid w:val="00E55BE2"/>
    <w:rsid w:val="00E60648"/>
    <w:rsid w:val="00E615C1"/>
    <w:rsid w:val="00E61AC6"/>
    <w:rsid w:val="00E620F7"/>
    <w:rsid w:val="00E624C2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5E9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577C"/>
    <w:rsid w:val="00F46ADA"/>
    <w:rsid w:val="00F5019E"/>
    <w:rsid w:val="00F53B8F"/>
    <w:rsid w:val="00F5600E"/>
    <w:rsid w:val="00F62335"/>
    <w:rsid w:val="00F70451"/>
    <w:rsid w:val="00F74705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23C4"/>
    <w:rsid w:val="00FE006A"/>
    <w:rsid w:val="00FE1A2B"/>
    <w:rsid w:val="00FE4715"/>
    <w:rsid w:val="00FE5AB0"/>
    <w:rsid w:val="00FE6E8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link.springer.com/article/10.3758%2Fs13423-019-01693-8" TargetMode="External"/><Relationship Id="rId18" Type="http://schemas.openxmlformats.org/officeDocument/2006/relationships/hyperlink" Target="https://pypi.org/project/inverted-encoding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oi.org/10.21105/jose.0007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dcu.be/cdOa2" TargetMode="External"/><Relationship Id="rId17" Type="http://schemas.openxmlformats.org/officeDocument/2006/relationships/hyperlink" Target="https://jose.theoj.org/papers/10.21105/jose.00075.pdf" TargetMode="External"/><Relationship Id="rId25" Type="http://schemas.openxmlformats.org/officeDocument/2006/relationships/hyperlink" Target="https://play.google.com/store/apps/details?id=com.choiceofgames.popcornsodamurder&amp;hl=en_US&amp;gl=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aulscotti.com/educortex" TargetMode="External"/><Relationship Id="rId20" Type="http://schemas.openxmlformats.org/officeDocument/2006/relationships/hyperlink" Target="http://doi.org/10.3758/s13414-020-02236-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md5h4/" TargetMode="External"/><Relationship Id="rId24" Type="http://schemas.openxmlformats.org/officeDocument/2006/relationships/hyperlink" Target="https://gwu.campuslabs.com/engage/organization/gw-tabletop-gaming-socie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syarxiv.com/yxqju/" TargetMode="External"/><Relationship Id="rId23" Type="http://schemas.openxmlformats.org/officeDocument/2006/relationships/hyperlink" Target="http://doi.org/10.31234/osf.io/yxqju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www.onneur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www.nature.com/articles/s41562-018-0485-2" TargetMode="External"/><Relationship Id="rId22" Type="http://schemas.openxmlformats.org/officeDocument/2006/relationships/hyperlink" Target="http://doi.org/10.1038/s41562-018-0485-2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23</cp:revision>
  <cp:lastPrinted>2020-12-06T21:14:00Z</cp:lastPrinted>
  <dcterms:created xsi:type="dcterms:W3CDTF">2021-01-21T15:03:00Z</dcterms:created>
  <dcterms:modified xsi:type="dcterms:W3CDTF">2021-02-15T14:09:00Z</dcterms:modified>
</cp:coreProperties>
</file>