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BF560B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488DAA3C" w14:textId="622BAE88" w:rsidR="00BD7FD4" w:rsidRPr="00BD7FD4" w:rsidRDefault="00BD7FD4" w:rsidP="00BD7FD4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>, A. M. (</w:t>
      </w:r>
      <w:r>
        <w:rPr>
          <w:rFonts w:ascii="Calibri" w:hAnsi="Calibri"/>
          <w:color w:val="000000" w:themeColor="text1"/>
          <w:sz w:val="22"/>
          <w:szCs w:val="22"/>
        </w:rPr>
        <w:t>accepted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>
        <w:rPr>
          <w:rFonts w:ascii="Calibri" w:hAnsi="Calibri"/>
          <w:color w:val="000000" w:themeColor="text1"/>
          <w:sz w:val="22"/>
          <w:szCs w:val="22"/>
        </w:rPr>
        <w:t xml:space="preserve">Directed forgetting of pictures of everyday objects. </w:t>
      </w:r>
      <w:r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4F3DADEA" w14:textId="0BA809D3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1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1788DB51" w14:textId="28BF60E4" w:rsidR="00DA0BF6" w:rsidRPr="00DA0BF6" w:rsidRDefault="00DA0BF6" w:rsidP="00257CB1">
      <w:pPr>
        <w:pStyle w:val="Default"/>
        <w:numPr>
          <w:ilvl w:val="0"/>
          <w:numId w:val="42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Wallace, G., </w:t>
      </w:r>
      <w:proofErr w:type="spellStart"/>
      <w:r w:rsidR="00333274">
        <w:rPr>
          <w:rFonts w:ascii="Calibri" w:hAnsi="Calibri" w:cs="Calibri"/>
          <w:color w:val="auto"/>
          <w:sz w:val="22"/>
          <w:szCs w:val="22"/>
        </w:rPr>
        <w:t>Polcyn</w:t>
      </w:r>
      <w:proofErr w:type="spellEnd"/>
      <w:r w:rsidR="00333274">
        <w:rPr>
          <w:rFonts w:ascii="Calibri" w:hAnsi="Calibri" w:cs="Calibri"/>
          <w:color w:val="auto"/>
          <w:sz w:val="22"/>
          <w:szCs w:val="22"/>
        </w:rPr>
        <w:t>, S., Brooks, P. P., Mennen, A., Zhao, K.,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Scotti, P. S.,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Michelmann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OSF Preprints.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10.31219/osf.io/sbrg7</w:t>
        </w:r>
      </w:hyperlink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7C12711E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 xml:space="preserve">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6A8A97A3" w14:textId="1EA42C11" w:rsidR="00B127C3" w:rsidRPr="00B127C3" w:rsidRDefault="00B127C3" w:rsidP="00B127C3">
      <w:pPr>
        <w:pStyle w:val="ListParagraph"/>
        <w:numPr>
          <w:ilvl w:val="0"/>
          <w:numId w:val="27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>, A. M. (</w:t>
      </w:r>
      <w:r>
        <w:rPr>
          <w:rFonts w:ascii="Calibri" w:hAnsi="Calibri"/>
          <w:color w:val="000000" w:themeColor="text1"/>
          <w:sz w:val="22"/>
          <w:szCs w:val="22"/>
        </w:rPr>
        <w:t>in prep.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 xml:space="preserve">talks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C386090" w14:textId="630F82D8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4E17A93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727017C5" w14:textId="77777777" w:rsidR="000B6AF5" w:rsidRPr="002C14E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1FCBB019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>Psychonomic Bulletin &amp; Review</w:t>
      </w:r>
      <w:r w:rsidR="00A02BC8" w:rsidRPr="0062047F">
        <w:rPr>
          <w:rFonts w:ascii="Calibri" w:hAnsi="Calibri" w:cs="Calibri"/>
          <w:sz w:val="21"/>
          <w:szCs w:val="21"/>
        </w:rPr>
        <w:t xml:space="preserve">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 xml:space="preserve">; Memory;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ECD2B08" w:rsidR="00144C0D" w:rsidRPr="00494F80" w:rsidRDefault="00BF560B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2" w:history="1">
        <w:r w:rsidR="00144C0D" w:rsidRPr="001508CB">
          <w:rPr>
            <w:rStyle w:val="Hyperlink"/>
            <w:rFonts w:ascii="Calibri" w:hAnsi="Calibri" w:cs="Calibri"/>
            <w:u w:val="single"/>
          </w:rPr>
          <w:t>OnNeuro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lastRenderedPageBreak/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4"/>
      <w:footerReference w:type="default" r:id="rId25"/>
      <w:headerReference w:type="first" r:id="rId26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30FC" w14:textId="77777777" w:rsidR="00BF560B" w:rsidRDefault="00BF560B" w:rsidP="00A00A1D">
      <w:r>
        <w:separator/>
      </w:r>
    </w:p>
  </w:endnote>
  <w:endnote w:type="continuationSeparator" w:id="0">
    <w:p w14:paraId="1DDFDF08" w14:textId="77777777" w:rsidR="00BF560B" w:rsidRDefault="00BF560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F529" w14:textId="77777777" w:rsidR="00BF560B" w:rsidRDefault="00BF560B" w:rsidP="00A00A1D">
      <w:r>
        <w:separator/>
      </w:r>
    </w:p>
  </w:footnote>
  <w:footnote w:type="continuationSeparator" w:id="0">
    <w:p w14:paraId="6ACD3B59" w14:textId="77777777" w:rsidR="00BF560B" w:rsidRDefault="00BF560B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0BCC50C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547921">
      <w:rPr>
        <w:rFonts w:ascii="Calibri" w:hAnsi="Calibri" w:cs="Calibri"/>
        <w:sz w:val="22"/>
        <w:szCs w:val="22"/>
      </w:rPr>
      <w:t>Apr</w:t>
    </w:r>
    <w:r w:rsidR="00B127C3">
      <w:rPr>
        <w:rFonts w:ascii="Calibri" w:hAnsi="Calibri" w:cs="Calibri"/>
        <w:sz w:val="22"/>
        <w:szCs w:val="22"/>
      </w:rPr>
      <w:t xml:space="preserve"> </w:t>
    </w:r>
    <w:r w:rsidR="00547921">
      <w:rPr>
        <w:rFonts w:ascii="Calibri" w:hAnsi="Calibri" w:cs="Calibri"/>
        <w:sz w:val="22"/>
        <w:szCs w:val="22"/>
      </w:rPr>
      <w:t>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547921">
      <w:rPr>
        <w:rFonts w:ascii="Calibri" w:hAnsi="Calibri" w:cs="Calibri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08CB"/>
    <w:rsid w:val="001519BE"/>
    <w:rsid w:val="001541A4"/>
    <w:rsid w:val="00154C81"/>
    <w:rsid w:val="00157698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22BA"/>
    <w:rsid w:val="001A41E0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47E0"/>
    <w:rsid w:val="002F695E"/>
    <w:rsid w:val="002F7630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720D"/>
    <w:rsid w:val="003D7383"/>
    <w:rsid w:val="003E0A99"/>
    <w:rsid w:val="003E0D8E"/>
    <w:rsid w:val="003E1BB6"/>
    <w:rsid w:val="003E1D99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5112"/>
    <w:rsid w:val="00456011"/>
    <w:rsid w:val="00456426"/>
    <w:rsid w:val="004566AD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09B6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7C3"/>
    <w:rsid w:val="006E3EB8"/>
    <w:rsid w:val="006E4093"/>
    <w:rsid w:val="006E7EEF"/>
    <w:rsid w:val="006F0604"/>
    <w:rsid w:val="006F0789"/>
    <w:rsid w:val="006F07B1"/>
    <w:rsid w:val="006F0E1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865"/>
    <w:rsid w:val="00761C9C"/>
    <w:rsid w:val="0076252E"/>
    <w:rsid w:val="00763477"/>
    <w:rsid w:val="00764BE3"/>
    <w:rsid w:val="00765738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06D7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8AE"/>
    <w:rsid w:val="008220BC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2BB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A00A1D"/>
    <w:rsid w:val="00A00DF0"/>
    <w:rsid w:val="00A00ED6"/>
    <w:rsid w:val="00A02BC8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54B8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FA6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16EB"/>
    <w:rsid w:val="00CC65A6"/>
    <w:rsid w:val="00CC68B9"/>
    <w:rsid w:val="00CC6FE4"/>
    <w:rsid w:val="00CC7591"/>
    <w:rsid w:val="00CD0A08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4845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10.31219/osf.io/sbrg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oi.org/10.31234/osf.io/yxqj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1101/2021.05.21.4451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yperlink" Target="https://paulscotti.github.io/educorte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2.445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hyperlink" Target="https://www.youtube.com/channel/UCEGD13q4cWw5Lvkwo2uZKVg/vide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491</cp:revision>
  <cp:lastPrinted>2020-12-06T21:14:00Z</cp:lastPrinted>
  <dcterms:created xsi:type="dcterms:W3CDTF">2021-08-20T14:19:00Z</dcterms:created>
  <dcterms:modified xsi:type="dcterms:W3CDTF">2022-04-01T13:03:00Z</dcterms:modified>
</cp:coreProperties>
</file>