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277B12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16E545C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BC39538" w14:textId="32C0CFA1" w:rsidR="001D3C4C" w:rsidRPr="008E6C23" w:rsidRDefault="001D3C4C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 w:rsidR="001B6227" w:rsidRPr="00A22825">
        <w:rPr>
          <w:rFonts w:ascii="Calibri" w:hAnsi="Calibri" w:cs="Calibri"/>
          <w:color w:val="auto"/>
          <w:sz w:val="22"/>
          <w:szCs w:val="22"/>
        </w:rPr>
        <w:t>in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1B6227" w:rsidRPr="00A22825">
        <w:rPr>
          <w:rFonts w:ascii="Calibri" w:hAnsi="Calibri" w:cs="Calibri"/>
          <w:color w:val="auto"/>
          <w:sz w:val="22"/>
          <w:szCs w:val="22"/>
        </w:rPr>
        <w:t>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Experimental Psychology: General. </w:t>
      </w:r>
      <w:hyperlink r:id="rId11" w:history="1">
        <w:r w:rsidR="00AF077A" w:rsidRPr="006774B8">
          <w:rPr>
            <w:rStyle w:val="Hyperlink"/>
            <w:rFonts w:ascii="Calibri" w:hAnsi="Calibri" w:cs="Calibri"/>
            <w:sz w:val="22"/>
            <w:szCs w:val="22"/>
          </w:rPr>
          <w:t>Preprint:</w:t>
        </w:r>
        <w:r w:rsidR="00AF077A" w:rsidRPr="006774B8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r w:rsidR="006774B8" w:rsidRPr="006774B8">
          <w:rPr>
            <w:rStyle w:val="Hyperlink"/>
            <w:rFonts w:ascii="Calibri" w:hAnsi="Calibri" w:cs="Calibri"/>
            <w:sz w:val="22"/>
            <w:szCs w:val="22"/>
          </w:rPr>
          <w:t>10.31234/osf.io/md5h4</w:t>
        </w:r>
      </w:hyperlink>
    </w:p>
    <w:p w14:paraId="699325A2" w14:textId="4F374826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>in 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16D7A9C2" w14:textId="6B83D21A" w:rsidR="00C0040C" w:rsidRPr="00C0040C" w:rsidRDefault="00C0040C" w:rsidP="00C0040C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2" w:history="1">
        <w:r w:rsidR="00370EE4" w:rsidRPr="00370EE4">
          <w:rPr>
            <w:rStyle w:val="Hyperlink"/>
            <w:rFonts w:ascii="Calibri" w:hAnsi="Calibri" w:cs="Calibri"/>
            <w:sz w:val="22"/>
            <w:szCs w:val="22"/>
          </w:rPr>
          <w:t>d</w:t>
        </w:r>
        <w:r w:rsidR="00370EE4" w:rsidRPr="00370EE4">
          <w:rPr>
            <w:rStyle w:val="Hyperlink"/>
            <w:rFonts w:ascii="Calibri" w:hAnsi="Calibri" w:cs="Calibri"/>
            <w:sz w:val="22"/>
            <w:szCs w:val="22"/>
          </w:rPr>
          <w:t>oi.org/10.1186/s41235-021-00300-6</w:t>
        </w:r>
      </w:hyperlink>
    </w:p>
    <w:p w14:paraId="4E299010" w14:textId="6A367C03" w:rsidR="00170BBE" w:rsidRPr="00A22825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3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5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4D6222C1" w14:textId="2290CF4A" w:rsidR="006D2D77" w:rsidRPr="006D2D77" w:rsidRDefault="006D2D77" w:rsidP="006D2D77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S. (2019). Object-based attention is resilient to low-level (boundary) or high-level (semantic) disturbances, but not both. </w:t>
      </w:r>
      <w:proofErr w:type="spellStart"/>
      <w:r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</w:t>
        </w:r>
        <w:proofErr w:type="spellStart"/>
        <w:r w:rsidRPr="00A22825">
          <w:rPr>
            <w:rStyle w:val="Hyperlink"/>
            <w:rFonts w:ascii="Calibri" w:hAnsi="Calibri" w:cs="Calibri"/>
            <w:sz w:val="22"/>
            <w:szCs w:val="22"/>
          </w:rPr>
          <w:t>yxqju</w:t>
        </w:r>
        <w:proofErr w:type="spellEnd"/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7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76844BDE" w14:textId="01C8DDED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12F47535" w14:textId="73DBB2E2" w:rsidR="00E620AD" w:rsidRPr="00E620AD" w:rsidRDefault="00E620AD" w:rsidP="00E620AD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 w:rsidR="00806C35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(submitted).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BAE1432" w14:textId="54C86AB3" w:rsidR="000D40F1" w:rsidRPr="00A22825" w:rsidRDefault="000D40F1" w:rsidP="004A53EF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 (in </w:t>
      </w:r>
      <w:r w:rsidR="00114CDD" w:rsidRPr="00A22825">
        <w:rPr>
          <w:rFonts w:ascii="Calibri" w:hAnsi="Calibri" w:cs="Calibri"/>
          <w:color w:val="auto"/>
          <w:sz w:val="22"/>
          <w:szCs w:val="22"/>
        </w:rPr>
        <w:t>prep</w:t>
      </w:r>
      <w:r w:rsidR="00934EEE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An improved method for evaluating inverted encoding models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5C9FA05A" w14:textId="7BD71C97" w:rsidR="00396C7C" w:rsidRPr="00396C7C" w:rsidRDefault="00396C7C" w:rsidP="00396C7C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</w:t>
      </w:r>
      <w:proofErr w:type="spellStart"/>
      <w:r>
        <w:rPr>
          <w:rFonts w:ascii="Calibri" w:hAnsi="Calibri" w:cs="Calibri"/>
          <w:sz w:val="22"/>
          <w:szCs w:val="22"/>
        </w:rPr>
        <w:t>Golomb</w:t>
      </w:r>
      <w:proofErr w:type="spellEnd"/>
      <w:r>
        <w:rPr>
          <w:rFonts w:ascii="Calibri" w:hAnsi="Calibri" w:cs="Calibri"/>
          <w:sz w:val="22"/>
          <w:szCs w:val="22"/>
        </w:rPr>
        <w:t xml:space="preserve">, J. D. (in prep.).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 w:rsidR="00120223"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 w:rsidR="00120223"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 w:rsidR="00120223"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 w:rsidR="00120223">
        <w:rPr>
          <w:rFonts w:ascii="Calibri" w:hAnsi="Calibri" w:cs="Calibri"/>
          <w:sz w:val="22"/>
          <w:szCs w:val="22"/>
        </w:rPr>
        <w:t>.</w:t>
      </w:r>
    </w:p>
    <w:p w14:paraId="728B9E51" w14:textId="643C2FAB" w:rsidR="00600CB6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 w:cs="Calibri"/>
          <w:sz w:val="22"/>
          <w:szCs w:val="22"/>
        </w:rPr>
        <w:t>Golomb</w:t>
      </w:r>
      <w:proofErr w:type="spellEnd"/>
      <w:r w:rsidRPr="00E620AD">
        <w:rPr>
          <w:rFonts w:ascii="Calibri" w:hAnsi="Calibri" w:cs="Calibri"/>
          <w:sz w:val="22"/>
          <w:szCs w:val="22"/>
        </w:rPr>
        <w:t xml:space="preserve">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>). The dominance of spatial information in location judgments: A persistent congruency bias even amidst conflicting statistical regularities.</w:t>
      </w:r>
    </w:p>
    <w:p w14:paraId="3E66637B" w14:textId="5235E652" w:rsidR="00C10B40" w:rsidRPr="008F50CF" w:rsidRDefault="008F50CF" w:rsidP="007836A1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  <w:sz w:val="22"/>
          <w:szCs w:val="22"/>
        </w:rPr>
      </w:pPr>
      <w:r w:rsidRPr="008F50CF">
        <w:rPr>
          <w:rFonts w:ascii="Calibri" w:hAnsi="Calibri" w:cs="Calibri"/>
          <w:sz w:val="22"/>
          <w:szCs w:val="22"/>
        </w:rPr>
        <w:t>Jones,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 xml:space="preserve">, &amp; </w:t>
      </w:r>
      <w:proofErr w:type="spellStart"/>
      <w:r w:rsidRPr="008F50CF">
        <w:rPr>
          <w:rFonts w:ascii="Calibri" w:hAnsi="Calibri" w:cs="Calibri"/>
          <w:sz w:val="22"/>
          <w:szCs w:val="22"/>
        </w:rPr>
        <w:t>Golomb</w:t>
      </w:r>
      <w:proofErr w:type="spellEnd"/>
      <w:r w:rsidRPr="008F50CF">
        <w:rPr>
          <w:rFonts w:ascii="Calibri" w:hAnsi="Calibri" w:cs="Calibri"/>
          <w:sz w:val="22"/>
          <w:szCs w:val="22"/>
        </w:rPr>
        <w:t>, J. D. (in prep.). Feature-binding errors during saccadic remapping may affect perception of real-world objects.</w:t>
      </w:r>
    </w:p>
    <w:p w14:paraId="352E91BF" w14:textId="569A0F85" w:rsidR="00724C21" w:rsidRDefault="00724C21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  <w:sz w:val="22"/>
          <w:szCs w:val="22"/>
        </w:rPr>
      </w:pPr>
    </w:p>
    <w:p w14:paraId="6F5257ED" w14:textId="77777777" w:rsidR="00724C21" w:rsidRDefault="00724C21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50A088B7" w:rsidR="003B3E31" w:rsidRPr="00A22825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bookmarkStart w:id="0" w:name="OLE_LINK12"/>
      <w:bookmarkStart w:id="1" w:name="OLE_LINK13"/>
      <w:r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Chen, J.,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>, J. D. (202</w:t>
      </w:r>
      <w:r w:rsidR="00A96E1E" w:rsidRPr="00A22825">
        <w:rPr>
          <w:rFonts w:ascii="Calibri" w:hAnsi="Calibri" w:cs="Calibri"/>
          <w:sz w:val="18"/>
          <w:szCs w:val="18"/>
        </w:rPr>
        <w:t>1</w:t>
      </w:r>
      <w:r w:rsidRPr="00A22825">
        <w:rPr>
          <w:rFonts w:ascii="Calibri" w:hAnsi="Calibri" w:cs="Calibri"/>
          <w:sz w:val="18"/>
          <w:szCs w:val="18"/>
        </w:rPr>
        <w:t xml:space="preserve">, May). An improved method for evaluating inverted encoding models.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 xml:space="preserve">To be presented </w:t>
      </w:r>
      <w:r w:rsidR="00B71395" w:rsidRPr="00A22825">
        <w:rPr>
          <w:rFonts w:ascii="Calibri" w:hAnsi="Calibri" w:cs="Calibri"/>
          <w:i/>
          <w:iCs/>
          <w:sz w:val="18"/>
          <w:szCs w:val="18"/>
        </w:rPr>
        <w:t xml:space="preserve">as a poster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 xml:space="preserve">at </w:t>
      </w:r>
      <w:r w:rsidR="0053468D" w:rsidRPr="00A22825">
        <w:rPr>
          <w:rFonts w:ascii="Calibri" w:hAnsi="Calibri" w:cs="Calibri"/>
          <w:i/>
          <w:iCs/>
          <w:sz w:val="18"/>
          <w:szCs w:val="18"/>
        </w:rPr>
        <w:t xml:space="preserve">the </w:t>
      </w:r>
      <w:r w:rsidR="00E0099A" w:rsidRPr="00A22825">
        <w:rPr>
          <w:rFonts w:ascii="Calibri" w:hAnsi="Calibri" w:cs="Calibri"/>
          <w:i/>
          <w:iCs/>
          <w:sz w:val="18"/>
          <w:szCs w:val="18"/>
        </w:rPr>
        <w:t xml:space="preserve">2022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>Virtual Vision Sciences Society</w:t>
      </w:r>
      <w:r w:rsidR="00AC6B70" w:rsidRPr="00A22825">
        <w:rPr>
          <w:rFonts w:ascii="Calibri" w:hAnsi="Calibri" w:cs="Calibri"/>
          <w:i/>
          <w:iCs/>
          <w:sz w:val="18"/>
          <w:szCs w:val="18"/>
        </w:rPr>
        <w:t xml:space="preserve"> annual meeting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>.</w:t>
      </w:r>
    </w:p>
    <w:p w14:paraId="4DDCCB06" w14:textId="44F039A8" w:rsidR="00D410FD" w:rsidRPr="00A22825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Chen, J.,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>, J. D. (2021, Mar</w:t>
      </w:r>
      <w:r w:rsidR="0014444C" w:rsidRPr="00A22825">
        <w:rPr>
          <w:rFonts w:ascii="Calibri" w:hAnsi="Calibri" w:cs="Calibri"/>
          <w:sz w:val="18"/>
          <w:szCs w:val="18"/>
        </w:rPr>
        <w:t>ch</w:t>
      </w:r>
      <w:r w:rsidRPr="00A22825">
        <w:rPr>
          <w:rFonts w:ascii="Calibri" w:hAnsi="Calibri" w:cs="Calibri"/>
          <w:sz w:val="18"/>
          <w:szCs w:val="18"/>
        </w:rPr>
        <w:t>). An improved method for evaluating inverted encoding models.</w:t>
      </w:r>
      <w:r w:rsidR="00D75286" w:rsidRPr="00A22825">
        <w:rPr>
          <w:rFonts w:ascii="Calibri" w:hAnsi="Calibri" w:cs="Calibri"/>
          <w:sz w:val="18"/>
          <w:szCs w:val="18"/>
        </w:rPr>
        <w:t xml:space="preserve"> </w:t>
      </w:r>
      <w:r w:rsidR="00D75286" w:rsidRPr="00A22825">
        <w:rPr>
          <w:rFonts w:ascii="Calibri" w:hAnsi="Calibri" w:cs="Calibri"/>
          <w:i/>
          <w:iCs/>
          <w:sz w:val="18"/>
          <w:szCs w:val="18"/>
        </w:rPr>
        <w:t>Cognitive Neuroscience Society</w:t>
      </w:r>
      <w:r w:rsidR="00D75286" w:rsidRPr="00A22825">
        <w:rPr>
          <w:rFonts w:ascii="Calibri" w:hAnsi="Calibri" w:cs="Calibri"/>
          <w:sz w:val="18"/>
          <w:szCs w:val="18"/>
        </w:rPr>
        <w:t xml:space="preserve">. Virtual </w:t>
      </w:r>
      <w:r w:rsidR="00061F51" w:rsidRPr="00A22825">
        <w:rPr>
          <w:rFonts w:ascii="Calibri" w:hAnsi="Calibri" w:cs="Calibri"/>
          <w:sz w:val="18"/>
          <w:szCs w:val="18"/>
        </w:rPr>
        <w:t>conference</w:t>
      </w:r>
      <w:r w:rsidR="00D75286" w:rsidRPr="00A22825">
        <w:rPr>
          <w:rFonts w:ascii="Calibri" w:hAnsi="Calibri" w:cs="Calibri"/>
          <w:sz w:val="18"/>
          <w:szCs w:val="18"/>
        </w:rPr>
        <w:t>.</w:t>
      </w:r>
    </w:p>
    <w:p w14:paraId="45CF9925" w14:textId="3187A24A" w:rsidR="004A3928" w:rsidRPr="00A22825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Jones, C. M., </w:t>
      </w:r>
      <w:r w:rsidRPr="00A22825">
        <w:rPr>
          <w:rFonts w:ascii="Calibri" w:hAnsi="Calibri" w:cs="Calibri"/>
          <w:b/>
          <w:bCs/>
          <w:sz w:val="18"/>
          <w:szCs w:val="18"/>
        </w:rPr>
        <w:t xml:space="preserve">Scotti, P. S., </w:t>
      </w:r>
      <w:r w:rsidRPr="00A22825">
        <w:rPr>
          <w:rFonts w:ascii="Calibri" w:hAnsi="Calibri" w:cs="Calibri"/>
          <w:sz w:val="18"/>
          <w:szCs w:val="18"/>
        </w:rPr>
        <w:t xml:space="preserve">&amp;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 (2020, May). Feature-binding errors during saccadic remapping may affect perception of real-world objects.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. Virtual conference.</w:t>
      </w:r>
    </w:p>
    <w:p w14:paraId="05E27BC6" w14:textId="3F694D84" w:rsidR="00F921D0" w:rsidRPr="00A22825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Kulkarni, A., </w:t>
      </w:r>
      <w:proofErr w:type="spellStart"/>
      <w:r w:rsidRPr="00A22825">
        <w:rPr>
          <w:rFonts w:ascii="Calibri" w:hAnsi="Calibri" w:cs="Calibri"/>
          <w:sz w:val="18"/>
          <w:szCs w:val="18"/>
        </w:rPr>
        <w:t>Mazor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M., </w:t>
      </w:r>
      <w:proofErr w:type="spellStart"/>
      <w:r w:rsidRPr="00A22825">
        <w:rPr>
          <w:rFonts w:ascii="Calibri" w:hAnsi="Calibri" w:cs="Calibri"/>
          <w:sz w:val="18"/>
          <w:szCs w:val="18"/>
        </w:rPr>
        <w:t>Klapwijk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E., </w:t>
      </w:r>
      <w:proofErr w:type="spellStart"/>
      <w:r w:rsidRPr="00A22825">
        <w:rPr>
          <w:rFonts w:ascii="Calibri" w:hAnsi="Calibri" w:cs="Calibri"/>
          <w:sz w:val="18"/>
          <w:szCs w:val="18"/>
        </w:rPr>
        <w:t>Yarkoni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T., </w:t>
      </w:r>
      <w:proofErr w:type="spellStart"/>
      <w:r w:rsidRPr="00A22825">
        <w:rPr>
          <w:rFonts w:ascii="Calibri" w:hAnsi="Calibri" w:cs="Calibri"/>
          <w:sz w:val="18"/>
          <w:szCs w:val="18"/>
        </w:rPr>
        <w:t>Huth</w:t>
      </w:r>
      <w:proofErr w:type="spellEnd"/>
      <w:r w:rsidRPr="00A22825">
        <w:rPr>
          <w:rFonts w:ascii="Calibri" w:hAnsi="Calibri" w:cs="Calibri"/>
          <w:sz w:val="18"/>
          <w:szCs w:val="18"/>
        </w:rPr>
        <w:t>, A. G. (2019, Dec</w:t>
      </w:r>
      <w:r w:rsidR="009E77EA" w:rsidRPr="00A22825">
        <w:rPr>
          <w:rFonts w:ascii="Calibri" w:hAnsi="Calibri" w:cs="Calibri"/>
          <w:sz w:val="18"/>
          <w:szCs w:val="18"/>
        </w:rPr>
        <w:t>ember</w:t>
      </w:r>
      <w:r w:rsidRPr="00A22825">
        <w:rPr>
          <w:rFonts w:ascii="Calibri" w:hAnsi="Calibri" w:cs="Calibri"/>
          <w:sz w:val="18"/>
          <w:szCs w:val="18"/>
        </w:rPr>
        <w:t xml:space="preserve">). </w:t>
      </w:r>
      <w:proofErr w:type="spellStart"/>
      <w:r w:rsidRPr="00A22825">
        <w:rPr>
          <w:rFonts w:ascii="Calibri" w:hAnsi="Calibri" w:cs="Calibri"/>
          <w:sz w:val="18"/>
          <w:szCs w:val="18"/>
        </w:rPr>
        <w:t>EduCortex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: browser-based 3D brain visualization of fMRI meta-analysis maps. </w:t>
      </w:r>
      <w:r w:rsidRPr="00A22825">
        <w:rPr>
          <w:rFonts w:ascii="Calibri" w:hAnsi="Calibri" w:cs="Calibri"/>
          <w:b/>
          <w:sz w:val="18"/>
          <w:szCs w:val="18"/>
        </w:rPr>
        <w:t>Awarded best poster,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r w:rsidRPr="00A22825">
        <w:rPr>
          <w:rFonts w:ascii="Calibri" w:hAnsi="Calibri" w:cs="Calibri"/>
          <w:i/>
          <w:iCs/>
          <w:sz w:val="18"/>
          <w:szCs w:val="18"/>
        </w:rPr>
        <w:t>Center for Cognitive and Behavioral Brain Imaging Annual Research Days</w:t>
      </w:r>
      <w:r w:rsidRPr="00A22825">
        <w:rPr>
          <w:rFonts w:ascii="Calibri" w:hAnsi="Calibri" w:cs="Calibri"/>
          <w:sz w:val="18"/>
          <w:szCs w:val="18"/>
        </w:rPr>
        <w:t xml:space="preserve">, Columbus, OH. </w:t>
      </w:r>
    </w:p>
    <w:p w14:paraId="04729A3B" w14:textId="2AFC6E97" w:rsidR="00F41C6D" w:rsidRPr="00A22825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*Scotti, P. S.,</w:t>
      </w:r>
      <w:r w:rsidRPr="00A22825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A22825">
        <w:rPr>
          <w:rFonts w:ascii="Calibri" w:hAnsi="Calibri" w:cs="Calibri"/>
          <w:sz w:val="18"/>
          <w:szCs w:val="18"/>
        </w:rPr>
        <w:t>Leber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B.,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 (2019, November). Competition between similar visual working memory items underlies repulsion effects.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(OPAM),</w:t>
      </w:r>
      <w:r w:rsidRPr="00A22825">
        <w:rPr>
          <w:rFonts w:ascii="Calibri" w:hAnsi="Calibri" w:cs="Calibri"/>
          <w:sz w:val="18"/>
          <w:szCs w:val="18"/>
        </w:rPr>
        <w:t xml:space="preserve"> Montreal, Quebec.</w:t>
      </w:r>
    </w:p>
    <w:p w14:paraId="5CB31CF1" w14:textId="15E37C76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A22825">
        <w:rPr>
          <w:rFonts w:ascii="Calibri" w:hAnsi="Calibri" w:cs="Calibri"/>
          <w:sz w:val="18"/>
          <w:szCs w:val="18"/>
        </w:rPr>
        <w:t>Janakiefski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L.,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Maxcey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A22825">
        <w:rPr>
          <w:rFonts w:ascii="Calibri" w:hAnsi="Calibri" w:cs="Calibri"/>
          <w:i/>
          <w:iCs/>
          <w:sz w:val="18"/>
          <w:szCs w:val="18"/>
        </w:rPr>
        <w:t>Psychonomic</w:t>
      </w:r>
      <w:bookmarkEnd w:id="2"/>
      <w:bookmarkEnd w:id="3"/>
      <w:r w:rsidRPr="00A22825">
        <w:rPr>
          <w:rFonts w:ascii="Calibri" w:hAnsi="Calibri" w:cs="Calibri"/>
          <w:i/>
          <w:iCs/>
          <w:sz w:val="18"/>
          <w:szCs w:val="18"/>
        </w:rPr>
        <w:t xml:space="preserve"> Society</w:t>
      </w:r>
      <w:r w:rsidRPr="00A22825">
        <w:rPr>
          <w:rFonts w:ascii="Calibri" w:hAnsi="Calibri" w:cs="Calibri"/>
          <w:sz w:val="18"/>
          <w:szCs w:val="18"/>
        </w:rPr>
        <w:t>, Montreal, Quebec.</w:t>
      </w:r>
      <w:bookmarkEnd w:id="4"/>
      <w:bookmarkEnd w:id="5"/>
    </w:p>
    <w:p w14:paraId="5E6A245D" w14:textId="77777777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bookmarkStart w:id="6" w:name="OLE_LINK14"/>
      <w:bookmarkStart w:id="7" w:name="OLE_LINK15"/>
      <w:r w:rsidRPr="007C59AE">
        <w:rPr>
          <w:rFonts w:ascii="Calibri" w:hAnsi="Calibri" w:cs="Calibri"/>
          <w:b/>
          <w:bCs/>
          <w:sz w:val="18"/>
          <w:szCs w:val="18"/>
        </w:rPr>
        <w:t>Scotti, P. S.</w:t>
      </w:r>
      <w:r w:rsidRPr="007C59AE">
        <w:rPr>
          <w:rFonts w:ascii="Calibri" w:hAnsi="Calibri" w:cs="Calibri"/>
          <w:sz w:val="18"/>
          <w:szCs w:val="18"/>
        </w:rPr>
        <w:t xml:space="preserve">, Hong, Y., </w:t>
      </w:r>
      <w:proofErr w:type="spellStart"/>
      <w:r w:rsidRPr="007C59AE">
        <w:rPr>
          <w:rFonts w:ascii="Calibri" w:hAnsi="Calibri" w:cs="Calibri"/>
          <w:sz w:val="18"/>
          <w:szCs w:val="18"/>
        </w:rPr>
        <w:t>Leber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A., B., &amp; </w:t>
      </w:r>
      <w:proofErr w:type="spellStart"/>
      <w:r w:rsidRPr="007C59AE">
        <w:rPr>
          <w:rFonts w:ascii="Calibri" w:hAnsi="Calibri" w:cs="Calibri"/>
          <w:sz w:val="18"/>
          <w:szCs w:val="18"/>
        </w:rPr>
        <w:t>Golomb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J. D. (2019, October). </w:t>
      </w:r>
      <w:r w:rsidRPr="007C59AE">
        <w:rPr>
          <w:rFonts w:ascii="Calibri" w:hAnsi="Calibri" w:cs="Calibri"/>
          <w:iCs/>
          <w:sz w:val="18"/>
          <w:szCs w:val="18"/>
        </w:rPr>
        <w:t>Competition Between Similar Visual Working Memory Items Produces Repulsion Effects</w:t>
      </w:r>
      <w:r w:rsidRPr="007C59AE">
        <w:rPr>
          <w:rFonts w:ascii="Calibri" w:hAnsi="Calibri" w:cs="Calibri"/>
          <w:sz w:val="18"/>
          <w:szCs w:val="18"/>
        </w:rPr>
        <w:t xml:space="preserve">. </w:t>
      </w:r>
      <w:r w:rsidRPr="007C59AE">
        <w:rPr>
          <w:rFonts w:ascii="Calibri" w:hAnsi="Calibri" w:cs="Calibri"/>
          <w:i/>
          <w:iCs/>
          <w:sz w:val="18"/>
          <w:szCs w:val="18"/>
        </w:rPr>
        <w:t>Society for Neuroscience</w:t>
      </w:r>
      <w:r w:rsidRPr="007C59AE">
        <w:rPr>
          <w:rFonts w:ascii="Calibri" w:hAnsi="Calibri" w:cs="Calibri"/>
          <w:sz w:val="18"/>
          <w:szCs w:val="18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7C59AE">
        <w:rPr>
          <w:rFonts w:ascii="Calibri" w:hAnsi="Calibri" w:cs="Calibri"/>
          <w:b/>
          <w:bCs/>
          <w:sz w:val="18"/>
          <w:szCs w:val="18"/>
        </w:rPr>
        <w:t>Scotti, P. S.,</w:t>
      </w:r>
      <w:r w:rsidRPr="007C59AE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7C59AE">
        <w:rPr>
          <w:rFonts w:ascii="Calibri" w:hAnsi="Calibri" w:cs="Calibri"/>
          <w:sz w:val="18"/>
          <w:szCs w:val="18"/>
        </w:rPr>
        <w:t>Golomb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7C59AE">
        <w:rPr>
          <w:rFonts w:ascii="Calibri" w:hAnsi="Calibri" w:cs="Calibri"/>
          <w:sz w:val="18"/>
          <w:szCs w:val="18"/>
        </w:rPr>
        <w:t>Leber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A., B. (2019, May). </w:t>
      </w:r>
      <w:r w:rsidRPr="007C59AE">
        <w:rPr>
          <w:rFonts w:ascii="Calibri" w:hAnsi="Calibri" w:cs="Calibri"/>
          <w:iCs/>
          <w:sz w:val="18"/>
          <w:szCs w:val="18"/>
        </w:rPr>
        <w:t>Relational interactions between visual memory representations increase with maintenance duration</w:t>
      </w:r>
      <w:r w:rsidRPr="007C59AE">
        <w:rPr>
          <w:rFonts w:ascii="Calibri" w:hAnsi="Calibri" w:cs="Calibri"/>
          <w:sz w:val="18"/>
          <w:szCs w:val="18"/>
        </w:rPr>
        <w:t xml:space="preserve">. </w:t>
      </w:r>
      <w:r w:rsidRPr="007C59AE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7C59AE">
        <w:rPr>
          <w:rFonts w:ascii="Calibri" w:hAnsi="Calibri" w:cs="Calibri"/>
          <w:sz w:val="18"/>
          <w:szCs w:val="18"/>
        </w:rPr>
        <w:t>, St. Pete Beach, FL.</w:t>
      </w:r>
    </w:p>
    <w:p w14:paraId="487A8AF8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7C59AE">
        <w:rPr>
          <w:rFonts w:ascii="Calibri" w:hAnsi="Calibri" w:cs="Calibri"/>
          <w:sz w:val="18"/>
          <w:szCs w:val="18"/>
        </w:rPr>
        <w:t xml:space="preserve">Babu, A., </w:t>
      </w:r>
      <w:r w:rsidRPr="007C59AE">
        <w:rPr>
          <w:rFonts w:ascii="Calibri" w:hAnsi="Calibri" w:cs="Calibri"/>
          <w:b/>
          <w:bCs/>
          <w:sz w:val="18"/>
          <w:szCs w:val="18"/>
        </w:rPr>
        <w:t xml:space="preserve">Scotti, P. S., </w:t>
      </w:r>
      <w:proofErr w:type="spellStart"/>
      <w:r w:rsidRPr="007C59AE">
        <w:rPr>
          <w:rFonts w:ascii="Calibri" w:hAnsi="Calibri" w:cs="Calibri"/>
          <w:sz w:val="18"/>
          <w:szCs w:val="18"/>
        </w:rPr>
        <w:t>Golomb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J. D. (2019, May). </w:t>
      </w:r>
      <w:r w:rsidRPr="007C59AE">
        <w:rPr>
          <w:rFonts w:ascii="Calibri" w:hAnsi="Calibri" w:cs="Calibri"/>
          <w:iCs/>
          <w:sz w:val="18"/>
          <w:szCs w:val="18"/>
        </w:rPr>
        <w:t>The dominance</w:t>
      </w:r>
      <w:r w:rsidRPr="00A22825">
        <w:rPr>
          <w:rFonts w:ascii="Calibri" w:hAnsi="Calibri" w:cs="Calibri"/>
          <w:iCs/>
          <w:sz w:val="18"/>
          <w:szCs w:val="18"/>
        </w:rPr>
        <w:t xml:space="preserve"> of spatial information in location judgments: A persistent congruency bias even amidst conflicting statistical regularities</w:t>
      </w:r>
      <w:r w:rsidRPr="00A22825">
        <w:rPr>
          <w:rFonts w:ascii="Calibri" w:hAnsi="Calibri" w:cs="Calibri"/>
          <w:sz w:val="18"/>
          <w:szCs w:val="18"/>
        </w:rPr>
        <w:t xml:space="preserve">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20321F31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8"/>
          <w:szCs w:val="18"/>
        </w:rPr>
      </w:pPr>
      <w:proofErr w:type="spellStart"/>
      <w:r w:rsidRPr="00A22825">
        <w:rPr>
          <w:rFonts w:ascii="Calibri" w:hAnsi="Calibri" w:cs="Calibri"/>
          <w:bCs/>
          <w:sz w:val="18"/>
          <w:szCs w:val="18"/>
        </w:rPr>
        <w:t>Janakiefski</w:t>
      </w:r>
      <w:proofErr w:type="spellEnd"/>
      <w:r w:rsidRPr="00A22825">
        <w:rPr>
          <w:rFonts w:ascii="Calibri" w:hAnsi="Calibri" w:cs="Calibri"/>
          <w:bCs/>
          <w:sz w:val="18"/>
          <w:szCs w:val="18"/>
        </w:rPr>
        <w:t xml:space="preserve">, L., </w:t>
      </w:r>
      <w:proofErr w:type="spellStart"/>
      <w:r w:rsidRPr="00A22825">
        <w:rPr>
          <w:rFonts w:ascii="Calibri" w:hAnsi="Calibri" w:cs="Calibri"/>
          <w:bCs/>
          <w:sz w:val="18"/>
          <w:szCs w:val="18"/>
        </w:rPr>
        <w:t>Smerdell</w:t>
      </w:r>
      <w:proofErr w:type="spellEnd"/>
      <w:r w:rsidRPr="00A22825">
        <w:rPr>
          <w:rFonts w:ascii="Calibri" w:hAnsi="Calibri" w:cs="Calibri"/>
          <w:bCs/>
          <w:sz w:val="18"/>
          <w:szCs w:val="18"/>
        </w:rPr>
        <w:t xml:space="preserve">, M., </w:t>
      </w:r>
      <w:r w:rsidRPr="00A22825">
        <w:rPr>
          <w:rFonts w:ascii="Calibri" w:hAnsi="Calibri" w:cs="Calibri"/>
          <w:b/>
          <w:bCs/>
          <w:sz w:val="18"/>
          <w:szCs w:val="18"/>
        </w:rPr>
        <w:t>Scotti, P. S.</w:t>
      </w:r>
      <w:r w:rsidRPr="00A22825">
        <w:rPr>
          <w:rFonts w:ascii="Calibri" w:hAnsi="Calibri" w:cs="Calibri"/>
          <w:bCs/>
          <w:sz w:val="18"/>
          <w:szCs w:val="18"/>
        </w:rPr>
        <w:t xml:space="preserve">, </w:t>
      </w:r>
      <w:proofErr w:type="spellStart"/>
      <w:r w:rsidRPr="00A22825">
        <w:rPr>
          <w:rFonts w:ascii="Calibri" w:hAnsi="Calibri" w:cs="Calibri"/>
          <w:bCs/>
          <w:sz w:val="18"/>
          <w:szCs w:val="18"/>
        </w:rPr>
        <w:t>Maxcey</w:t>
      </w:r>
      <w:proofErr w:type="spellEnd"/>
      <w:r w:rsidRPr="00A22825">
        <w:rPr>
          <w:rFonts w:ascii="Calibri" w:hAnsi="Calibri" w:cs="Calibri"/>
          <w:bCs/>
          <w:sz w:val="18"/>
          <w:szCs w:val="18"/>
        </w:rPr>
        <w:t xml:space="preserve">, A. (2019, March). Does recognition-induced forgetting operate over </w:t>
      </w:r>
      <w:proofErr w:type="gramStart"/>
      <w:r w:rsidRPr="00A22825">
        <w:rPr>
          <w:rFonts w:ascii="Calibri" w:hAnsi="Calibri" w:cs="Calibri"/>
          <w:bCs/>
          <w:sz w:val="18"/>
          <w:szCs w:val="18"/>
        </w:rPr>
        <w:t>temporally-grouped</w:t>
      </w:r>
      <w:proofErr w:type="gramEnd"/>
      <w:r w:rsidRPr="00A22825">
        <w:rPr>
          <w:rFonts w:ascii="Calibri" w:hAnsi="Calibri" w:cs="Calibri"/>
          <w:bCs/>
          <w:sz w:val="18"/>
          <w:szCs w:val="18"/>
        </w:rPr>
        <w:t xml:space="preserve"> objects? </w:t>
      </w:r>
      <w:proofErr w:type="spellStart"/>
      <w:r w:rsidRPr="00A22825">
        <w:rPr>
          <w:rFonts w:ascii="Calibri" w:hAnsi="Calibri" w:cs="Calibri"/>
          <w:bCs/>
          <w:i/>
          <w:iCs/>
          <w:sz w:val="18"/>
          <w:szCs w:val="18"/>
        </w:rPr>
        <w:t>CogFest</w:t>
      </w:r>
      <w:proofErr w:type="spellEnd"/>
      <w:r w:rsidRPr="00A22825">
        <w:rPr>
          <w:rFonts w:ascii="Calibri" w:hAnsi="Calibri" w:cs="Calibri"/>
          <w:bCs/>
          <w:sz w:val="18"/>
          <w:szCs w:val="18"/>
        </w:rPr>
        <w:t>, Columbus, OH.</w:t>
      </w:r>
    </w:p>
    <w:p w14:paraId="3DE35F2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A22825">
        <w:rPr>
          <w:rFonts w:ascii="Calibri" w:hAnsi="Calibri" w:cs="Calibri"/>
          <w:sz w:val="18"/>
          <w:szCs w:val="18"/>
        </w:rPr>
        <w:t>Leber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B. (2018, November). Statistical regularities during object encoding distort long-term memory. </w:t>
      </w:r>
      <w:r w:rsidRPr="00A22825">
        <w:rPr>
          <w:rFonts w:ascii="Calibri" w:hAnsi="Calibri" w:cs="Calibri"/>
          <w:b/>
          <w:sz w:val="18"/>
          <w:szCs w:val="18"/>
        </w:rPr>
        <w:t>Awarded best poster ($200)</w:t>
      </w:r>
      <w:r w:rsidRPr="00A22825">
        <w:rPr>
          <w:rFonts w:ascii="Calibri" w:hAnsi="Calibri" w:cs="Calibri"/>
          <w:sz w:val="18"/>
          <w:szCs w:val="18"/>
        </w:rPr>
        <w:t xml:space="preserve">, </w:t>
      </w:r>
      <w:bookmarkStart w:id="8" w:name="OLE_LINK23"/>
      <w:bookmarkStart w:id="9" w:name="OLE_LINK24"/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bookmarkEnd w:id="8"/>
      <w:bookmarkEnd w:id="9"/>
      <w:r w:rsidRPr="00A22825">
        <w:rPr>
          <w:rFonts w:ascii="Calibri" w:hAnsi="Calibri" w:cs="Calibri"/>
          <w:sz w:val="18"/>
          <w:szCs w:val="18"/>
        </w:rPr>
        <w:t>, New Orleans, LA.</w:t>
      </w:r>
    </w:p>
    <w:p w14:paraId="56C58E5E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A22825">
        <w:rPr>
          <w:rFonts w:ascii="Calibri" w:hAnsi="Calibri" w:cs="Calibri"/>
          <w:sz w:val="18"/>
          <w:szCs w:val="18"/>
        </w:rPr>
        <w:t>Leber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B. (2018, September). Statistical regularities during object encoding distort long-term memory. </w:t>
      </w:r>
      <w:r w:rsidRPr="00A22825">
        <w:rPr>
          <w:rFonts w:ascii="Calibri" w:hAnsi="Calibri" w:cs="Calibri"/>
          <w:bCs/>
          <w:i/>
          <w:iCs/>
          <w:sz w:val="18"/>
          <w:szCs w:val="18"/>
        </w:rPr>
        <w:t>Center for Cognitive and Brain Sciences Fall Retreat</w:t>
      </w:r>
      <w:r w:rsidRPr="00A22825">
        <w:rPr>
          <w:rFonts w:ascii="Calibri" w:hAnsi="Calibri" w:cs="Calibri"/>
          <w:bCs/>
          <w:sz w:val="18"/>
          <w:szCs w:val="18"/>
        </w:rPr>
        <w:t>, Mt. Sterling, OH.</w:t>
      </w:r>
    </w:p>
    <w:p w14:paraId="73F37F04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A22825">
        <w:rPr>
          <w:rFonts w:ascii="Calibri" w:hAnsi="Calibri" w:cs="Calibri"/>
          <w:sz w:val="18"/>
          <w:szCs w:val="18"/>
        </w:rPr>
        <w:t>Leber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B. (2018, May). Statistical regularities during object encoding distort long-term memory.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5F5CB89C" w14:textId="1DF0A3F0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Adamo, S., Nah, J., </w:t>
      </w:r>
      <w:proofErr w:type="spellStart"/>
      <w:r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</w:t>
      </w:r>
      <w:r w:rsidRPr="00A22825">
        <w:rPr>
          <w:rFonts w:ascii="Calibri" w:hAnsi="Calibri" w:cs="Calibri"/>
          <w:b/>
          <w:sz w:val="18"/>
          <w:szCs w:val="18"/>
        </w:rPr>
        <w:t xml:space="preserve">Scotti, P. S.,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(2018, May). The flux capacitor account: A new theoretical account of multiple target visual search errors.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33CDF2BF" w14:textId="643CE6C9" w:rsidR="002A46E0" w:rsidRPr="00A22825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*</w:t>
      </w:r>
      <w:proofErr w:type="spellStart"/>
      <w:r w:rsidR="002A46E0"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="002A46E0" w:rsidRPr="00A22825">
        <w:rPr>
          <w:rFonts w:ascii="Calibri" w:hAnsi="Calibri" w:cs="Calibri"/>
          <w:sz w:val="18"/>
          <w:szCs w:val="18"/>
        </w:rPr>
        <w:t xml:space="preserve">, A., Nah, J., </w:t>
      </w:r>
      <w:r w:rsidR="002A46E0"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="002A46E0"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2A46E0"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="002A46E0" w:rsidRPr="00A22825">
        <w:rPr>
          <w:rFonts w:ascii="Calibri" w:hAnsi="Calibri" w:cs="Calibri"/>
          <w:sz w:val="18"/>
          <w:szCs w:val="18"/>
        </w:rPr>
        <w:t xml:space="preserve">, S. (2017, November). Real-world object size affects attentional allocation. </w:t>
      </w:r>
      <w:r w:rsidR="002A46E0"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(OPAM),</w:t>
      </w:r>
      <w:r w:rsidR="002A46E0" w:rsidRPr="00A22825">
        <w:rPr>
          <w:rFonts w:ascii="Calibri" w:hAnsi="Calibri" w:cs="Calibri"/>
          <w:sz w:val="18"/>
          <w:szCs w:val="18"/>
        </w:rPr>
        <w:t xml:space="preserve"> Vancouver, BC.</w:t>
      </w:r>
    </w:p>
    <w:p w14:paraId="032311C4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November). Task-irrelevant object category guides attentional allocation.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r w:rsidRPr="00A22825">
        <w:rPr>
          <w:rFonts w:ascii="Calibri" w:hAnsi="Calibri" w:cs="Calibri"/>
          <w:sz w:val="18"/>
          <w:szCs w:val="18"/>
        </w:rPr>
        <w:t>, Vancouver, BC.</w:t>
      </w:r>
    </w:p>
    <w:p w14:paraId="736D3E8D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Adamo, S., </w:t>
      </w:r>
      <w:proofErr w:type="spellStart"/>
      <w:r w:rsidRPr="00A22825">
        <w:rPr>
          <w:rFonts w:ascii="Calibri" w:hAnsi="Calibri" w:cs="Calibri"/>
          <w:sz w:val="18"/>
          <w:szCs w:val="18"/>
        </w:rPr>
        <w:t>Mitroff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S.,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May). Repetition priming preferentially benefits infrequent targets.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4105A9D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Adamo, S., Nah, J., </w:t>
      </w:r>
      <w:proofErr w:type="spellStart"/>
      <w:r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</w:t>
      </w: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May). Does orientation matter? Same or differently oriented targets in a multiple target search.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1150E52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proofErr w:type="spellStart"/>
      <w:r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Nah, J., </w:t>
      </w: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May). Real-world object size affects attentional allocation.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67732F41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Adamo, S., </w:t>
      </w:r>
      <w:proofErr w:type="spellStart"/>
      <w:r w:rsidRPr="00A22825">
        <w:rPr>
          <w:rFonts w:ascii="Calibri" w:hAnsi="Calibri" w:cs="Calibri"/>
          <w:sz w:val="18"/>
          <w:szCs w:val="18"/>
        </w:rPr>
        <w:t>Mitroff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S.,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April). Repetition priming preferentially benefits infrequent targets. </w:t>
      </w:r>
      <w:r w:rsidRPr="00A22825">
        <w:rPr>
          <w:rFonts w:ascii="Calibri" w:hAnsi="Calibri" w:cs="Calibri"/>
          <w:b/>
          <w:sz w:val="18"/>
          <w:szCs w:val="18"/>
        </w:rPr>
        <w:t>1</w:t>
      </w:r>
      <w:r w:rsidRPr="00A22825">
        <w:rPr>
          <w:rFonts w:ascii="Calibri" w:hAnsi="Calibri" w:cs="Calibri"/>
          <w:b/>
          <w:sz w:val="18"/>
          <w:szCs w:val="18"/>
          <w:vertAlign w:val="superscript"/>
        </w:rPr>
        <w:t>st</w:t>
      </w:r>
      <w:r w:rsidRPr="00A22825">
        <w:rPr>
          <w:rFonts w:ascii="Calibri" w:hAnsi="Calibri" w:cs="Calibri"/>
          <w:b/>
          <w:sz w:val="18"/>
          <w:szCs w:val="18"/>
        </w:rPr>
        <w:t xml:space="preserve"> place Psychology poster</w:t>
      </w:r>
      <w:r w:rsidRPr="00A22825">
        <w:rPr>
          <w:rFonts w:ascii="Calibri" w:hAnsi="Calibri" w:cs="Calibri"/>
          <w:sz w:val="18"/>
          <w:szCs w:val="18"/>
        </w:rPr>
        <w:t xml:space="preserve">, </w:t>
      </w:r>
      <w:r w:rsidRPr="00A22825">
        <w:rPr>
          <w:rFonts w:ascii="Calibri" w:hAnsi="Calibri" w:cs="Calibri"/>
          <w:i/>
          <w:iCs/>
          <w:sz w:val="18"/>
          <w:szCs w:val="18"/>
        </w:rPr>
        <w:t>GW Research Days event</w:t>
      </w:r>
      <w:r w:rsidRPr="00A22825">
        <w:rPr>
          <w:rFonts w:ascii="Calibri" w:hAnsi="Calibri" w:cs="Calibri"/>
          <w:sz w:val="18"/>
          <w:szCs w:val="18"/>
        </w:rPr>
        <w:t>, Washington, D.C.</w:t>
      </w:r>
    </w:p>
    <w:p w14:paraId="48E8ABA7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Malcolm, G.L., Peterson, M.,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(2016, November). Reality vs. Simplicity: The effects of real-world objects on attentional selection.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r w:rsidRPr="00A22825">
        <w:rPr>
          <w:rFonts w:ascii="Calibri" w:hAnsi="Calibri" w:cs="Calibri"/>
          <w:sz w:val="18"/>
          <w:szCs w:val="18"/>
        </w:rPr>
        <w:t>, Boston, MA.</w:t>
      </w:r>
    </w:p>
    <w:p w14:paraId="210DF3BF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Malcolm, G.L., Peterson, M.,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(2016, May). Reality vs. Simplicity: The effects of real-world objects on attentional selection.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3FF6927B" w14:textId="3C1C21D6" w:rsidR="00D410FD" w:rsidRDefault="00D410FD">
      <w:pPr>
        <w:rPr>
          <w:rFonts w:ascii="Calibri" w:hAnsi="Calibri" w:cs="Calibri"/>
          <w:b/>
          <w:bCs/>
        </w:rPr>
      </w:pPr>
    </w:p>
    <w:p w14:paraId="334239EA" w14:textId="77777777" w:rsidR="00A22825" w:rsidRDefault="00A2282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9E294FD" w14:textId="4971F14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51E7DF6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</w:t>
      </w:r>
      <w:proofErr w:type="spellStart"/>
      <w:r w:rsidRPr="002C14E5">
        <w:rPr>
          <w:rFonts w:ascii="Calibri" w:hAnsi="Calibri" w:cs="Calibri"/>
          <w:color w:val="auto"/>
        </w:rPr>
        <w:t>PyTorch</w:t>
      </w:r>
      <w:proofErr w:type="spellEnd"/>
      <w:r w:rsidRPr="002C14E5">
        <w:rPr>
          <w:rFonts w:ascii="Calibri" w:hAnsi="Calibri" w:cs="Calibri"/>
          <w:color w:val="auto"/>
        </w:rPr>
        <w:t>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18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19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OnNeuro</w:t>
      </w:r>
      <w:proofErr w:type="spellEnd"/>
      <w:r w:rsidRPr="00144C0D">
        <w:rPr>
          <w:rFonts w:ascii="Calibri" w:hAnsi="Calibri" w:cs="Calibri"/>
        </w:rPr>
        <w:t xml:space="preserve">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 xml:space="preserve">Leadership role where I organize interdisciplinary workshops and guest speaker presentations related to neuroimaging. Role also includes A/V support in cooperation with </w:t>
      </w:r>
      <w:proofErr w:type="spellStart"/>
      <w:r w:rsidRPr="00144C0D">
        <w:rPr>
          <w:rFonts w:ascii="Calibri" w:hAnsi="Calibri" w:cs="Calibri"/>
          <w:sz w:val="22"/>
          <w:szCs w:val="22"/>
        </w:rPr>
        <w:t>OnNeuro</w:t>
      </w:r>
      <w:proofErr w:type="spellEnd"/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F5019E">
      <w:pPr>
        <w:pStyle w:val="Default"/>
        <w:spacing w:after="3"/>
        <w:rPr>
          <w:rFonts w:ascii="Calibri" w:hAnsi="Calibri" w:cs="Calibri"/>
          <w:color w:val="auto"/>
        </w:rPr>
      </w:pPr>
    </w:p>
    <w:sectPr w:rsidR="00144C0D" w:rsidRPr="00DB7CF6" w:rsidSect="00632BAB">
      <w:footerReference w:type="even" r:id="rId20"/>
      <w:footerReference w:type="default" r:id="rId21"/>
      <w:headerReference w:type="first" r:id="rId22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C602E" w14:textId="77777777" w:rsidR="00277B12" w:rsidRDefault="00277B12" w:rsidP="00A00A1D">
      <w:r>
        <w:separator/>
      </w:r>
    </w:p>
  </w:endnote>
  <w:endnote w:type="continuationSeparator" w:id="0">
    <w:p w14:paraId="7F02C180" w14:textId="77777777" w:rsidR="00277B12" w:rsidRDefault="00277B12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2ED96" w14:textId="77777777" w:rsidR="00277B12" w:rsidRDefault="00277B12" w:rsidP="00A00A1D">
      <w:r>
        <w:separator/>
      </w:r>
    </w:p>
  </w:footnote>
  <w:footnote w:type="continuationSeparator" w:id="0">
    <w:p w14:paraId="58B5EB6E" w14:textId="77777777" w:rsidR="00277B12" w:rsidRDefault="00277B12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732F7C37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7F716C">
      <w:rPr>
        <w:rFonts w:ascii="Calibri" w:hAnsi="Calibri" w:cs="Calibri"/>
        <w:sz w:val="22"/>
        <w:szCs w:val="22"/>
      </w:rPr>
      <w:t>May 9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BB16A0">
      <w:rPr>
        <w:rFonts w:ascii="Calibri" w:hAnsi="Calibri" w:cs="Calibri"/>
        <w:sz w:val="22"/>
        <w:szCs w:val="2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31"/>
  </w:num>
  <w:num w:numId="4">
    <w:abstractNumId w:val="30"/>
  </w:num>
  <w:num w:numId="5">
    <w:abstractNumId w:val="39"/>
  </w:num>
  <w:num w:numId="6">
    <w:abstractNumId w:val="12"/>
  </w:num>
  <w:num w:numId="7">
    <w:abstractNumId w:val="22"/>
  </w:num>
  <w:num w:numId="8">
    <w:abstractNumId w:val="18"/>
  </w:num>
  <w:num w:numId="9">
    <w:abstractNumId w:val="36"/>
  </w:num>
  <w:num w:numId="10">
    <w:abstractNumId w:val="38"/>
  </w:num>
  <w:num w:numId="11">
    <w:abstractNumId w:val="10"/>
  </w:num>
  <w:num w:numId="12">
    <w:abstractNumId w:val="33"/>
  </w:num>
  <w:num w:numId="13">
    <w:abstractNumId w:val="15"/>
  </w:num>
  <w:num w:numId="14">
    <w:abstractNumId w:val="14"/>
  </w:num>
  <w:num w:numId="15">
    <w:abstractNumId w:val="13"/>
  </w:num>
  <w:num w:numId="16">
    <w:abstractNumId w:val="37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2"/>
  </w:num>
  <w:num w:numId="23">
    <w:abstractNumId w:val="24"/>
  </w:num>
  <w:num w:numId="24">
    <w:abstractNumId w:val="29"/>
  </w:num>
  <w:num w:numId="25">
    <w:abstractNumId w:val="23"/>
  </w:num>
  <w:num w:numId="26">
    <w:abstractNumId w:val="40"/>
  </w:num>
  <w:num w:numId="27">
    <w:abstractNumId w:val="35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3604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55EE"/>
    <w:rsid w:val="000562DE"/>
    <w:rsid w:val="00056539"/>
    <w:rsid w:val="00057487"/>
    <w:rsid w:val="00057BCF"/>
    <w:rsid w:val="00057EE0"/>
    <w:rsid w:val="00060215"/>
    <w:rsid w:val="00061F51"/>
    <w:rsid w:val="000646AA"/>
    <w:rsid w:val="00064998"/>
    <w:rsid w:val="00074FAE"/>
    <w:rsid w:val="000751D7"/>
    <w:rsid w:val="00075533"/>
    <w:rsid w:val="0007799E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4871"/>
    <w:rsid w:val="000C563A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58FE"/>
    <w:rsid w:val="000F0C7E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20223"/>
    <w:rsid w:val="001208A7"/>
    <w:rsid w:val="001224A3"/>
    <w:rsid w:val="00122B5C"/>
    <w:rsid w:val="00125B1A"/>
    <w:rsid w:val="00126A7D"/>
    <w:rsid w:val="00130890"/>
    <w:rsid w:val="001333E6"/>
    <w:rsid w:val="00133697"/>
    <w:rsid w:val="00136566"/>
    <w:rsid w:val="00136DC0"/>
    <w:rsid w:val="00137570"/>
    <w:rsid w:val="00140AD4"/>
    <w:rsid w:val="0014444C"/>
    <w:rsid w:val="00144C0D"/>
    <w:rsid w:val="001476E5"/>
    <w:rsid w:val="001519BE"/>
    <w:rsid w:val="00154C81"/>
    <w:rsid w:val="0016001F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3C4C"/>
    <w:rsid w:val="001D7AFD"/>
    <w:rsid w:val="001E2375"/>
    <w:rsid w:val="001E5359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244F"/>
    <w:rsid w:val="00204320"/>
    <w:rsid w:val="002044C2"/>
    <w:rsid w:val="00204C26"/>
    <w:rsid w:val="00204FEB"/>
    <w:rsid w:val="002056F5"/>
    <w:rsid w:val="002078BD"/>
    <w:rsid w:val="00211504"/>
    <w:rsid w:val="00211590"/>
    <w:rsid w:val="00211657"/>
    <w:rsid w:val="00211794"/>
    <w:rsid w:val="00212A09"/>
    <w:rsid w:val="0022015F"/>
    <w:rsid w:val="00240448"/>
    <w:rsid w:val="00243734"/>
    <w:rsid w:val="00247133"/>
    <w:rsid w:val="002474EF"/>
    <w:rsid w:val="00247DA6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49DD"/>
    <w:rsid w:val="002755B5"/>
    <w:rsid w:val="00275CF9"/>
    <w:rsid w:val="00276134"/>
    <w:rsid w:val="00277301"/>
    <w:rsid w:val="00277B12"/>
    <w:rsid w:val="00281B9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34E4"/>
    <w:rsid w:val="003209DC"/>
    <w:rsid w:val="00321E63"/>
    <w:rsid w:val="00322EA0"/>
    <w:rsid w:val="003253E2"/>
    <w:rsid w:val="003275A3"/>
    <w:rsid w:val="003278F6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70EE4"/>
    <w:rsid w:val="003713AF"/>
    <w:rsid w:val="00375EE5"/>
    <w:rsid w:val="00380EB5"/>
    <w:rsid w:val="003820C7"/>
    <w:rsid w:val="00382412"/>
    <w:rsid w:val="00385B7B"/>
    <w:rsid w:val="00386ED7"/>
    <w:rsid w:val="003900AC"/>
    <w:rsid w:val="00390ED0"/>
    <w:rsid w:val="00393BAB"/>
    <w:rsid w:val="00395D1D"/>
    <w:rsid w:val="00396C7C"/>
    <w:rsid w:val="00396E12"/>
    <w:rsid w:val="003A2291"/>
    <w:rsid w:val="003A32EE"/>
    <w:rsid w:val="003A389B"/>
    <w:rsid w:val="003A622E"/>
    <w:rsid w:val="003A70D9"/>
    <w:rsid w:val="003B3E31"/>
    <w:rsid w:val="003B4B85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676A"/>
    <w:rsid w:val="00427E78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476D9"/>
    <w:rsid w:val="004508B0"/>
    <w:rsid w:val="00455112"/>
    <w:rsid w:val="00456011"/>
    <w:rsid w:val="00456426"/>
    <w:rsid w:val="004566AD"/>
    <w:rsid w:val="00462736"/>
    <w:rsid w:val="00463A9E"/>
    <w:rsid w:val="00465929"/>
    <w:rsid w:val="00470512"/>
    <w:rsid w:val="00471269"/>
    <w:rsid w:val="00472207"/>
    <w:rsid w:val="0047282A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CAE"/>
    <w:rsid w:val="004E519A"/>
    <w:rsid w:val="004E5790"/>
    <w:rsid w:val="004E6377"/>
    <w:rsid w:val="004E66F0"/>
    <w:rsid w:val="004E7549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2988"/>
    <w:rsid w:val="00514D16"/>
    <w:rsid w:val="00515A06"/>
    <w:rsid w:val="00516573"/>
    <w:rsid w:val="005166A9"/>
    <w:rsid w:val="005172B1"/>
    <w:rsid w:val="005202B1"/>
    <w:rsid w:val="00521C03"/>
    <w:rsid w:val="00521CA8"/>
    <w:rsid w:val="00522BC7"/>
    <w:rsid w:val="005246E3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535BC"/>
    <w:rsid w:val="00555AEC"/>
    <w:rsid w:val="00555BC3"/>
    <w:rsid w:val="00556367"/>
    <w:rsid w:val="00557552"/>
    <w:rsid w:val="00560021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761A9"/>
    <w:rsid w:val="00582918"/>
    <w:rsid w:val="00582C91"/>
    <w:rsid w:val="00584CC0"/>
    <w:rsid w:val="00587EF3"/>
    <w:rsid w:val="00594D51"/>
    <w:rsid w:val="005950D1"/>
    <w:rsid w:val="00595826"/>
    <w:rsid w:val="0059591A"/>
    <w:rsid w:val="005968BC"/>
    <w:rsid w:val="00597692"/>
    <w:rsid w:val="005A0198"/>
    <w:rsid w:val="005A28D7"/>
    <w:rsid w:val="005A2E35"/>
    <w:rsid w:val="005A7B05"/>
    <w:rsid w:val="005B1D32"/>
    <w:rsid w:val="005B2CC9"/>
    <w:rsid w:val="005B31B1"/>
    <w:rsid w:val="005B5962"/>
    <w:rsid w:val="005B6AE8"/>
    <w:rsid w:val="005B7EAC"/>
    <w:rsid w:val="005C192C"/>
    <w:rsid w:val="005C5342"/>
    <w:rsid w:val="005C5B6E"/>
    <w:rsid w:val="005C625B"/>
    <w:rsid w:val="005D247F"/>
    <w:rsid w:val="005D3D90"/>
    <w:rsid w:val="005D5A79"/>
    <w:rsid w:val="005D602B"/>
    <w:rsid w:val="005D7059"/>
    <w:rsid w:val="005E1D7A"/>
    <w:rsid w:val="005E3C13"/>
    <w:rsid w:val="005E4A55"/>
    <w:rsid w:val="005E4AEF"/>
    <w:rsid w:val="005E4DD1"/>
    <w:rsid w:val="006004FB"/>
    <w:rsid w:val="00600CB6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2BAB"/>
    <w:rsid w:val="0063407D"/>
    <w:rsid w:val="0063435B"/>
    <w:rsid w:val="00635454"/>
    <w:rsid w:val="00636348"/>
    <w:rsid w:val="00641315"/>
    <w:rsid w:val="00644724"/>
    <w:rsid w:val="00647FF6"/>
    <w:rsid w:val="006553FB"/>
    <w:rsid w:val="00655A74"/>
    <w:rsid w:val="0065610E"/>
    <w:rsid w:val="006562AE"/>
    <w:rsid w:val="0065634F"/>
    <w:rsid w:val="006650B7"/>
    <w:rsid w:val="00665689"/>
    <w:rsid w:val="0066665D"/>
    <w:rsid w:val="00666A20"/>
    <w:rsid w:val="006700A1"/>
    <w:rsid w:val="00670DF5"/>
    <w:rsid w:val="006745D0"/>
    <w:rsid w:val="006774B8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22A8"/>
    <w:rsid w:val="006953D3"/>
    <w:rsid w:val="006A029E"/>
    <w:rsid w:val="006A032D"/>
    <w:rsid w:val="006A2749"/>
    <w:rsid w:val="006A3152"/>
    <w:rsid w:val="006A4FCF"/>
    <w:rsid w:val="006A57EF"/>
    <w:rsid w:val="006B0A82"/>
    <w:rsid w:val="006B1742"/>
    <w:rsid w:val="006B1CB8"/>
    <w:rsid w:val="006B2277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3B4D"/>
    <w:rsid w:val="00704713"/>
    <w:rsid w:val="00705C22"/>
    <w:rsid w:val="00712D0A"/>
    <w:rsid w:val="00717D29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6278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6234"/>
    <w:rsid w:val="00806C35"/>
    <w:rsid w:val="00810C37"/>
    <w:rsid w:val="00811CFC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4C5"/>
    <w:rsid w:val="008415CE"/>
    <w:rsid w:val="00843CC3"/>
    <w:rsid w:val="008455DE"/>
    <w:rsid w:val="00845D69"/>
    <w:rsid w:val="008467E4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576"/>
    <w:rsid w:val="008C6833"/>
    <w:rsid w:val="008C70C9"/>
    <w:rsid w:val="008C7441"/>
    <w:rsid w:val="008D0FF4"/>
    <w:rsid w:val="008D153C"/>
    <w:rsid w:val="008D5190"/>
    <w:rsid w:val="008D61BC"/>
    <w:rsid w:val="008E077B"/>
    <w:rsid w:val="008E0931"/>
    <w:rsid w:val="008E0BDB"/>
    <w:rsid w:val="008E18D4"/>
    <w:rsid w:val="008E225F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222E"/>
    <w:rsid w:val="00913729"/>
    <w:rsid w:val="0091707B"/>
    <w:rsid w:val="00917112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3355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75A0D"/>
    <w:rsid w:val="00980CE9"/>
    <w:rsid w:val="00984226"/>
    <w:rsid w:val="00987BF7"/>
    <w:rsid w:val="009909BC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301F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6FF8"/>
    <w:rsid w:val="00A279D1"/>
    <w:rsid w:val="00A27CE3"/>
    <w:rsid w:val="00A30886"/>
    <w:rsid w:val="00A31986"/>
    <w:rsid w:val="00A31B94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96E1E"/>
    <w:rsid w:val="00AA001E"/>
    <w:rsid w:val="00AA0C4F"/>
    <w:rsid w:val="00AA3674"/>
    <w:rsid w:val="00AA4765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A1"/>
    <w:rsid w:val="00AC012A"/>
    <w:rsid w:val="00AC0D5A"/>
    <w:rsid w:val="00AC192F"/>
    <w:rsid w:val="00AC219D"/>
    <w:rsid w:val="00AC56FE"/>
    <w:rsid w:val="00AC6B70"/>
    <w:rsid w:val="00AD0743"/>
    <w:rsid w:val="00AD1B1A"/>
    <w:rsid w:val="00AD1F8D"/>
    <w:rsid w:val="00AD2917"/>
    <w:rsid w:val="00AD42D8"/>
    <w:rsid w:val="00AD4B4D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0372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5CED"/>
    <w:rsid w:val="00B55F55"/>
    <w:rsid w:val="00B56070"/>
    <w:rsid w:val="00B6094B"/>
    <w:rsid w:val="00B61D53"/>
    <w:rsid w:val="00B621AD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439C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3961"/>
    <w:rsid w:val="00BD4586"/>
    <w:rsid w:val="00BD5AC3"/>
    <w:rsid w:val="00BD5B40"/>
    <w:rsid w:val="00BD5C42"/>
    <w:rsid w:val="00BD5C56"/>
    <w:rsid w:val="00BD61C3"/>
    <w:rsid w:val="00BD6532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40C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40078"/>
    <w:rsid w:val="00C406D1"/>
    <w:rsid w:val="00C44D95"/>
    <w:rsid w:val="00C47C90"/>
    <w:rsid w:val="00C47F67"/>
    <w:rsid w:val="00C512A2"/>
    <w:rsid w:val="00C536EE"/>
    <w:rsid w:val="00C602ED"/>
    <w:rsid w:val="00C60310"/>
    <w:rsid w:val="00C6265B"/>
    <w:rsid w:val="00C643A7"/>
    <w:rsid w:val="00C67D46"/>
    <w:rsid w:val="00C720E8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27B0"/>
    <w:rsid w:val="00D04E21"/>
    <w:rsid w:val="00D057FE"/>
    <w:rsid w:val="00D070EA"/>
    <w:rsid w:val="00D07506"/>
    <w:rsid w:val="00D07716"/>
    <w:rsid w:val="00D10489"/>
    <w:rsid w:val="00D10EB8"/>
    <w:rsid w:val="00D1246F"/>
    <w:rsid w:val="00D12657"/>
    <w:rsid w:val="00D13719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1C7"/>
    <w:rsid w:val="00DB7771"/>
    <w:rsid w:val="00DB7CF6"/>
    <w:rsid w:val="00DC2E09"/>
    <w:rsid w:val="00DC4852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099A"/>
    <w:rsid w:val="00E01AA4"/>
    <w:rsid w:val="00E026E7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52773"/>
    <w:rsid w:val="00E54355"/>
    <w:rsid w:val="00E55BE2"/>
    <w:rsid w:val="00E60648"/>
    <w:rsid w:val="00E615C1"/>
    <w:rsid w:val="00E61AC6"/>
    <w:rsid w:val="00E620AD"/>
    <w:rsid w:val="00E620F7"/>
    <w:rsid w:val="00E624C2"/>
    <w:rsid w:val="00E657A0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172F"/>
    <w:rsid w:val="00F22143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62335"/>
    <w:rsid w:val="00F70451"/>
    <w:rsid w:val="00F72965"/>
    <w:rsid w:val="00F74705"/>
    <w:rsid w:val="00F76F52"/>
    <w:rsid w:val="00F80B75"/>
    <w:rsid w:val="00F81604"/>
    <w:rsid w:val="00F82218"/>
    <w:rsid w:val="00F82563"/>
    <w:rsid w:val="00F82662"/>
    <w:rsid w:val="00F84EA6"/>
    <w:rsid w:val="00F8505D"/>
    <w:rsid w:val="00F921D0"/>
    <w:rsid w:val="00F93F4D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23C4"/>
    <w:rsid w:val="00FD52E3"/>
    <w:rsid w:val="00FE006A"/>
    <w:rsid w:val="00FE1A2B"/>
    <w:rsid w:val="00FE3F97"/>
    <w:rsid w:val="00FE4715"/>
    <w:rsid w:val="00FE5AB0"/>
    <w:rsid w:val="00FE6E80"/>
    <w:rsid w:val="00FE77EB"/>
    <w:rsid w:val="00FF1310"/>
    <w:rsid w:val="00FF3799"/>
    <w:rsid w:val="00FF4DBC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3758/s13414-020-02236-3" TargetMode="External"/><Relationship Id="rId18" Type="http://schemas.openxmlformats.org/officeDocument/2006/relationships/hyperlink" Target="https://gwu.campuslabs.com/engage/organization/gw-tabletop-gaming-society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doi.org/10.1186/s41235-021-00300-6" TargetMode="External"/><Relationship Id="rId17" Type="http://schemas.openxmlformats.org/officeDocument/2006/relationships/hyperlink" Target="http://doi.org/10.1038/s41562-018-0485-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i.org/10.31234/osf.io/yxqju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scotti/Documents/GitHub/paulscotti.github.io/10.31234/osf.io/md5h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3758/s13423-019-01693-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s://play.google.com/store/apps/details?id=com.choiceofgames.popcornsodamurder&amp;hl=en_US&amp;gl=U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21105/jose.00075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1760</Words>
  <Characters>10037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23</cp:revision>
  <cp:lastPrinted>2020-12-06T21:14:00Z</cp:lastPrinted>
  <dcterms:created xsi:type="dcterms:W3CDTF">2021-05-01T16:33:00Z</dcterms:created>
  <dcterms:modified xsi:type="dcterms:W3CDTF">2021-05-09T14:21:00Z</dcterms:modified>
</cp:coreProperties>
</file>