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0C3334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0C3334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0C3334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0C3334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0C3334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0C3334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0C3334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346E3C" w14:textId="6A15ABED" w:rsidR="00D7551A" w:rsidRPr="0096224F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2375AD0B" w14:textId="77777777" w:rsidR="001F75AE" w:rsidRPr="0096224F" w:rsidRDefault="001F75AE" w:rsidP="00D20300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54CC42" w14:textId="38A9C43F" w:rsidR="007E7783" w:rsidRDefault="007E7783" w:rsidP="007E7783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Relevant </w:t>
      </w:r>
      <w:r w:rsidR="008B1516">
        <w:rPr>
          <w:rFonts w:ascii="Calibri" w:hAnsi="Calibri" w:cs="Calibri"/>
          <w:b/>
          <w:bCs/>
          <w:color w:val="auto"/>
        </w:rPr>
        <w:t>s</w:t>
      </w:r>
      <w:r>
        <w:rPr>
          <w:rFonts w:ascii="Calibri" w:hAnsi="Calibri" w:cs="Calibri"/>
          <w:b/>
          <w:bCs/>
          <w:color w:val="auto"/>
        </w:rPr>
        <w:t>kills</w:t>
      </w:r>
    </w:p>
    <w:p w14:paraId="1B2725C2" w14:textId="49976A10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0CCC493" w14:textId="2C496881" w:rsidR="00B61D53" w:rsidRDefault="00B61D5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5C58B4B" w14:textId="22C34DE3" w:rsidR="004D487A" w:rsidRDefault="004D487A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Amazon </w:t>
      </w:r>
      <w:r w:rsidR="007E7783">
        <w:rPr>
          <w:rFonts w:ascii="Calibri" w:hAnsi="Calibri" w:cs="Calibri"/>
          <w:color w:val="auto"/>
        </w:rPr>
        <w:t>Mechanical Turk (built experiments using GitHub hosted HTML / CSS / JavaScript)</w:t>
      </w:r>
    </w:p>
    <w:p w14:paraId="1D1F861E" w14:textId="472A82B4" w:rsidR="007E7783" w:rsidRDefault="007E7783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</w:t>
      </w:r>
      <w:r w:rsidR="006E2249">
        <w:rPr>
          <w:rFonts w:ascii="Calibri" w:hAnsi="Calibri" w:cs="Calibri"/>
          <w:color w:val="auto"/>
        </w:rPr>
        <w:t xml:space="preserve"> </w:t>
      </w:r>
      <w:r w:rsidR="00955751">
        <w:rPr>
          <w:rFonts w:ascii="Calibri" w:hAnsi="Calibri" w:cs="Calibri"/>
          <w:color w:val="auto"/>
        </w:rPr>
        <w:t>/</w:t>
      </w:r>
      <w:r w:rsidR="006E2249">
        <w:rPr>
          <w:rFonts w:ascii="Calibri" w:hAnsi="Calibri" w:cs="Calibri"/>
          <w:color w:val="auto"/>
        </w:rPr>
        <w:t xml:space="preserve"> cloud computing</w:t>
      </w:r>
      <w:r>
        <w:rPr>
          <w:rFonts w:ascii="Calibri" w:hAnsi="Calibri" w:cs="Calibri"/>
          <w:color w:val="auto"/>
        </w:rPr>
        <w:t xml:space="preserve"> (Ohio Supercomputer Center </w:t>
      </w:r>
      <w:r w:rsidR="004D487A">
        <w:rPr>
          <w:rFonts w:ascii="Calibri" w:hAnsi="Calibri" w:cs="Calibri"/>
          <w:color w:val="auto"/>
        </w:rPr>
        <w:t xml:space="preserve">and </w:t>
      </w:r>
      <w:r w:rsidR="004E43A8">
        <w:rPr>
          <w:rFonts w:ascii="Calibri" w:hAnsi="Calibri" w:cs="Calibri"/>
          <w:color w:val="auto"/>
        </w:rPr>
        <w:t>Amazon Web Services</w:t>
      </w:r>
      <w:r w:rsidR="004D487A">
        <w:rPr>
          <w:rFonts w:ascii="Calibri" w:hAnsi="Calibri" w:cs="Calibri"/>
          <w:color w:val="auto"/>
        </w:rPr>
        <w:t>)</w:t>
      </w:r>
    </w:p>
    <w:p w14:paraId="0A4E8D16" w14:textId="78FDFA76" w:rsidR="005535BC" w:rsidRDefault="00386ED7" w:rsidP="002866B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</w:t>
      </w:r>
      <w:r w:rsidR="00B772C0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JAGS)</w:t>
      </w:r>
    </w:p>
    <w:p w14:paraId="5F50149A" w14:textId="0DDA74B5" w:rsidR="007E7783" w:rsidRPr="0096224F" w:rsidRDefault="009A0569" w:rsidP="002866B6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</w:t>
      </w:r>
      <w:r w:rsidR="00A26FF8">
        <w:rPr>
          <w:rFonts w:ascii="Calibri" w:hAnsi="Calibri" w:cs="Calibri"/>
          <w:color w:val="auto"/>
        </w:rPr>
        <w:t xml:space="preserve"> (experience using/designing experiments for </w:t>
      </w:r>
      <w:proofErr w:type="spellStart"/>
      <w:r w:rsidR="00A26FF8">
        <w:rPr>
          <w:rFonts w:ascii="Calibri" w:hAnsi="Calibri" w:cs="Calibri"/>
          <w:color w:val="auto"/>
        </w:rPr>
        <w:t>EyeLink</w:t>
      </w:r>
      <w:proofErr w:type="spellEnd"/>
      <w:r w:rsidR="00A26FF8">
        <w:rPr>
          <w:rFonts w:ascii="Calibri" w:hAnsi="Calibri" w:cs="Calibri"/>
          <w:color w:val="auto"/>
        </w:rPr>
        <w:t xml:space="preserve"> 1000 Plus)</w:t>
      </w:r>
    </w:p>
    <w:p w14:paraId="5690B0C1" w14:textId="77777777" w:rsidR="003820C7" w:rsidRDefault="00D7551A" w:rsidP="00252903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336546A2" w14:textId="3273A849" w:rsidR="003820C7" w:rsidRDefault="00597692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Board gam</w:t>
      </w:r>
      <w:r w:rsidR="009D5187" w:rsidRPr="0096224F">
        <w:rPr>
          <w:rFonts w:ascii="Calibri" w:hAnsi="Calibri" w:cs="Calibri"/>
          <w:color w:val="auto"/>
        </w:rPr>
        <w:t>es</w:t>
      </w:r>
      <w:r w:rsidRPr="0096224F">
        <w:rPr>
          <w:rFonts w:ascii="Calibri" w:hAnsi="Calibri" w:cs="Calibri"/>
          <w:color w:val="auto"/>
        </w:rPr>
        <w:t xml:space="preserve">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 w:rsidR="008218AE">
        <w:rPr>
          <w:rFonts w:ascii="Calibri" w:hAnsi="Calibri" w:cs="Calibri"/>
          <w:color w:val="auto"/>
        </w:rPr>
        <w:t>;</w:t>
      </w:r>
      <w:r w:rsidR="00DF7AD0">
        <w:rPr>
          <w:rFonts w:ascii="Calibri" w:hAnsi="Calibri" w:cs="Calibri"/>
          <w:color w:val="auto"/>
        </w:rPr>
        <w:t xml:space="preserve"> </w:t>
      </w:r>
      <w:r w:rsidR="00FC65ED">
        <w:rPr>
          <w:rFonts w:ascii="Calibri" w:hAnsi="Calibri" w:cs="Calibri"/>
          <w:color w:val="auto"/>
        </w:rPr>
        <w:t>can lead</w:t>
      </w:r>
      <w:r w:rsidR="008218AE">
        <w:rPr>
          <w:rFonts w:ascii="Calibri" w:hAnsi="Calibri" w:cs="Calibri"/>
          <w:color w:val="auto"/>
        </w:rPr>
        <w:t xml:space="preserve"> board gam</w:t>
      </w:r>
      <w:r w:rsidR="00040628">
        <w:rPr>
          <w:rFonts w:ascii="Calibri" w:hAnsi="Calibri" w:cs="Calibri"/>
          <w:color w:val="auto"/>
        </w:rPr>
        <w:t xml:space="preserve">ing </w:t>
      </w:r>
      <w:r w:rsidR="00FC65ED">
        <w:rPr>
          <w:rFonts w:ascii="Calibri" w:hAnsi="Calibri" w:cs="Calibri"/>
          <w:color w:val="auto"/>
        </w:rPr>
        <w:t>to</w:t>
      </w:r>
      <w:r w:rsidR="008218AE">
        <w:rPr>
          <w:rFonts w:ascii="Calibri" w:hAnsi="Calibri" w:cs="Calibri"/>
          <w:color w:val="auto"/>
        </w:rPr>
        <w:t xml:space="preserve"> </w:t>
      </w:r>
      <w:r w:rsidR="0060746F">
        <w:rPr>
          <w:rFonts w:ascii="Calibri" w:hAnsi="Calibri" w:cs="Calibri"/>
          <w:color w:val="auto"/>
        </w:rPr>
        <w:t>increase</w:t>
      </w:r>
      <w:r w:rsidR="008218AE">
        <w:rPr>
          <w:rFonts w:ascii="Calibri" w:hAnsi="Calibri" w:cs="Calibri"/>
          <w:color w:val="auto"/>
        </w:rPr>
        <w:t xml:space="preserve"> </w:t>
      </w:r>
      <w:r w:rsidR="00BB5F17">
        <w:rPr>
          <w:rFonts w:ascii="Calibri" w:hAnsi="Calibri" w:cs="Calibri"/>
          <w:color w:val="auto"/>
        </w:rPr>
        <w:t>lab bonding)</w:t>
      </w:r>
    </w:p>
    <w:p w14:paraId="78DCADCC" w14:textId="407DAC68" w:rsidR="002D46D9" w:rsidRPr="0018159C" w:rsidRDefault="003820C7" w:rsidP="00036C5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="009D5187" w:rsidRPr="0096224F">
        <w:rPr>
          <w:rFonts w:ascii="Calibri" w:hAnsi="Calibri" w:cs="Calibri"/>
          <w:color w:val="auto"/>
        </w:rPr>
        <w:t>urder mysteries</w:t>
      </w:r>
      <w:r w:rsidR="00A850B3" w:rsidRPr="0096224F">
        <w:rPr>
          <w:rFonts w:ascii="Calibri" w:hAnsi="Calibri" w:cs="Calibri"/>
          <w:color w:val="auto"/>
        </w:rPr>
        <w:t xml:space="preserve"> (developed the mobile app </w:t>
      </w:r>
      <w:hyperlink r:id="rId20" w:history="1">
        <w:r w:rsidR="00A850B3"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="00A850B3" w:rsidRPr="0096224F">
        <w:rPr>
          <w:rFonts w:ascii="Calibri" w:hAnsi="Calibri" w:cs="Calibri"/>
          <w:color w:val="auto"/>
        </w:rPr>
        <w:t xml:space="preserve"> for Android/iOS)</w:t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Journal of </w:t>
      </w:r>
      <w:proofErr w:type="gramStart"/>
      <w:r w:rsidRPr="00907537">
        <w:rPr>
          <w:rFonts w:ascii="Calibri" w:hAnsi="Calibri" w:cs="Calibri"/>
          <w:color w:val="auto"/>
        </w:rPr>
        <w:t>Open Source</w:t>
      </w:r>
      <w:proofErr w:type="gramEnd"/>
      <w:r w:rsidRPr="00907537">
        <w:rPr>
          <w:rFonts w:ascii="Calibri" w:hAnsi="Calibri" w:cs="Calibri"/>
          <w:color w:val="auto"/>
        </w:rPr>
        <w:t xml:space="preserve"> Education, 3(26), 75, https://doi.org/10.21105/jose.00075</w:t>
      </w:r>
    </w:p>
    <w:p w14:paraId="050F1B54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>, A. M. (2020). Recognition-induced forgetting of schematically related pictures. Psychonomic Bulletin &amp; Review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(2019). Attention scales according to inferred real-world object size. Nature Human Behavior,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77777777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227E483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2020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28B03DC5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0C3A1DFE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B91A0" w14:textId="77777777" w:rsidR="000C3334" w:rsidRDefault="000C3334" w:rsidP="00A00A1D">
      <w:r>
        <w:separator/>
      </w:r>
    </w:p>
  </w:endnote>
  <w:endnote w:type="continuationSeparator" w:id="0">
    <w:p w14:paraId="32BA99DB" w14:textId="77777777" w:rsidR="000C3334" w:rsidRDefault="000C333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99C0" w14:textId="77777777" w:rsidR="000C3334" w:rsidRDefault="000C3334" w:rsidP="00A00A1D">
      <w:r>
        <w:separator/>
      </w:r>
    </w:p>
  </w:footnote>
  <w:footnote w:type="continuationSeparator" w:id="0">
    <w:p w14:paraId="254D98B7" w14:textId="77777777" w:rsidR="000C3334" w:rsidRDefault="000C3334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380CE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FAC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12A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7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CE59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523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CAE8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6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08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16B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334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2F695E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502929"/>
    <w:rsid w:val="00502B21"/>
    <w:rsid w:val="00503FA2"/>
    <w:rsid w:val="00505EA2"/>
    <w:rsid w:val="00506F69"/>
    <w:rsid w:val="00507D87"/>
    <w:rsid w:val="00510747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95E"/>
    <w:rPr>
      <w:color w:val="17365D" w:themeColor="text2" w:themeShade="BF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F695E"/>
    <w:rPr>
      <w:color w:val="17365D" w:themeColor="text2" w:themeShade="BF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2020-12-06T23:15:00Z</dcterms:created>
  <dcterms:modified xsi:type="dcterms:W3CDTF">2020-12-06T23:19:00Z</dcterms:modified>
</cp:coreProperties>
</file>