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77777777"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77777777" w:rsidR="00A31E01" w:rsidRDefault="00A31E01" w:rsidP="00A31E01">
      <w:pPr>
        <w:pStyle w:val="Normal1"/>
      </w:pPr>
      <w:r>
        <w:t>Feature-Binding Errors in Associated Objects (</w:t>
      </w:r>
      <w:proofErr w:type="spellStart"/>
      <w:r>
        <w:t>Expt</w:t>
      </w:r>
      <w:proofErr w:type="spellEnd"/>
      <w:r>
        <w:t xml:space="preserve"> 3)</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 xml:space="preserve">Paul Scotti, </w:t>
      </w:r>
      <w:proofErr w:type="spellStart"/>
      <w:r w:rsidRPr="00536804">
        <w:t>Yoolim</w:t>
      </w:r>
      <w:proofErr w:type="spellEnd"/>
      <w:r w:rsidRPr="00536804">
        <w:t xml:space="preserve"> Hong, Andrew </w:t>
      </w:r>
      <w:proofErr w:type="spellStart"/>
      <w:r w:rsidRPr="00536804">
        <w:t>Leber</w:t>
      </w:r>
      <w:proofErr w:type="spellEnd"/>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p>
    <w:p w14:paraId="5537646F" w14:textId="77777777" w:rsidR="00A31E01" w:rsidRDefault="00A31E01" w:rsidP="00A31E01">
      <w:pPr>
        <w:pStyle w:val="Normal1"/>
      </w:pPr>
    </w:p>
    <w:p w14:paraId="4914E12C" w14:textId="77777777" w:rsidR="00A31E01" w:rsidRDefault="00A31E01" w:rsidP="00A31E01">
      <w:pPr>
        <w:pStyle w:val="Normal1"/>
      </w:pPr>
      <w:r w:rsidRPr="000C3718">
        <w:t xml:space="preserve">In Experiment </w:t>
      </w:r>
      <w:r>
        <w:t>3</w:t>
      </w:r>
      <w:r w:rsidRPr="000C3718">
        <w:t xml:space="preserve">, we </w:t>
      </w:r>
      <w:r>
        <w:t xml:space="preserve">aim to merge Experiment 1 (1 sec delay) and Experiment 2 (3 sec delay) into a within-subject design for increased statistical power. </w:t>
      </w:r>
      <w:r w:rsidRPr="000C3718">
        <w:t>We hypothesize that</w:t>
      </w:r>
      <w:r>
        <w:t xml:space="preserve"> trials with a 3-second</w:t>
      </w:r>
      <w:r w:rsidRPr="000C3718">
        <w:t xml:space="preserve"> maintenance </w:t>
      </w:r>
      <w:r>
        <w:t>delay will demonstrate larger shift and/or swap errors than trials with a 1-second maintenance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685BB5FF" w:rsidR="00A31E01" w:rsidRDefault="00A31E01" w:rsidP="00A31E01">
      <w:pPr>
        <w:pStyle w:val="Normal1"/>
        <w:numPr>
          <w:ilvl w:val="0"/>
          <w:numId w:val="2"/>
        </w:numPr>
        <w:ind w:hanging="360"/>
      </w:pPr>
      <w: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t>, and the maintenance delay will be either 1</w:t>
      </w:r>
      <w:r w:rsidR="00432D65">
        <w:t xml:space="preserve"> </w:t>
      </w:r>
      <w:r w:rsidR="00CF7878">
        <w:t>second or 3</w:t>
      </w:r>
      <w:r w:rsidR="00432D65">
        <w:t xml:space="preserve"> </w:t>
      </w:r>
      <w:bookmarkStart w:id="0" w:name="_GoBack"/>
      <w:bookmarkEnd w:id="0"/>
      <w:r w:rsidR="00061E7E">
        <w:t>seconds.</w:t>
      </w:r>
      <w:commentRangeStart w:id="1"/>
      <w:r w:rsidR="00061E7E">
        <w:t xml:space="preserve"> Each of these four critical conditions (1sec/45deg, 1sec/90deg, 3sec/45deg, 3sec/90deg) will occur for 70 trials each, and their presentation order will be randomized within each subject</w:t>
      </w:r>
      <w:r>
        <w:t xml:space="preserve">. </w:t>
      </w:r>
      <w:commentRangeEnd w:id="1"/>
      <w:r w:rsidR="00061E7E">
        <w:rPr>
          <w:rStyle w:val="CommentReference"/>
        </w:rPr>
        <w:commentReference w:id="1"/>
      </w:r>
      <w:r>
        <w:t xml:space="preserve">Participants </w:t>
      </w:r>
      <w:r w:rsidR="00CF7878">
        <w:t xml:space="preserve">will </w:t>
      </w:r>
      <w:r>
        <w:t xml:space="preserve">be probed with a grayscale representation of one of the two objects, and have to select the original color of the object and specify a confidence range (the smallest range of colors they believe contains the correct color; see Chen, </w:t>
      </w:r>
      <w:proofErr w:type="spellStart"/>
      <w:r>
        <w:t>Leber</w:t>
      </w:r>
      <w:proofErr w:type="spellEnd"/>
      <w:r>
        <w:t xml:space="preserve">, &amp; Golomb, </w:t>
      </w:r>
      <w:r w:rsidR="008354F3">
        <w:t>under revision</w:t>
      </w:r>
      <w:r>
        <w:t xml:space="preserve">).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 </w:t>
      </w:r>
    </w:p>
    <w:p w14:paraId="4F3D512E" w14:textId="4597314C"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w:t>
      </w:r>
      <w:r w:rsidR="00A74C04">
        <w:t xml:space="preserve">absolute </w:t>
      </w:r>
      <w:r w:rsidRPr="00952544">
        <w:lastRenderedPageBreak/>
        <w:t xml:space="preserve">degrees of error, then cents awarded equals </w:t>
      </w:r>
      <w:r w:rsidRPr="00197FA2">
        <w:rPr>
          <w:i/>
        </w:rPr>
        <w:t>(</w:t>
      </w:r>
      <w:r w:rsidR="00197FA2" w:rsidRPr="00197FA2">
        <w:rPr>
          <w:i/>
        </w:rPr>
        <w:t>1 – x/45</w:t>
      </w:r>
      <w:r w:rsidRPr="00197FA2">
        <w:rPr>
          <w:i/>
        </w:rPr>
        <w:t>)</w:t>
      </w:r>
      <w:r w:rsidRPr="00952544">
        <w:t>, such that more fractions of a penny are awarded for less deg</w:t>
      </w:r>
      <w:r>
        <w:t>.</w:t>
      </w:r>
      <w:r w:rsidRPr="00952544">
        <w:t xml:space="preserve"> of error but nothing is awarded if x&gt;=45. The 2nd part is based on the confidence report, specifically, if y is the </w:t>
      </w:r>
      <w:r>
        <w:t xml:space="preserve">confidence range </w:t>
      </w:r>
      <w:r w:rsidRPr="00952544">
        <w:t>(360 being a highlight of the entire color wheel), then cents awarded equals</w:t>
      </w:r>
      <w:r w:rsidR="00197FA2">
        <w:t xml:space="preserve"> </w:t>
      </w:r>
      <w:r w:rsidR="00197FA2" w:rsidRPr="00197FA2">
        <w:rPr>
          <w:i/>
        </w:rPr>
        <w:t>(</w:t>
      </w:r>
      <w:r w:rsidR="00A74C04">
        <w:rPr>
          <w:i/>
        </w:rPr>
        <w:t>360 - y</w:t>
      </w:r>
      <w:r w:rsidR="00197FA2" w:rsidRPr="00197FA2">
        <w:rPr>
          <w:i/>
        </w:rPr>
        <w:t>)</w:t>
      </w:r>
      <w:r w:rsidR="00A74C04">
        <w:rPr>
          <w:i/>
        </w:rPr>
        <w:t>/359</w:t>
      </w:r>
      <w:r w:rsidRPr="00952544">
        <w:t>, such that smaller intervals award more money</w:t>
      </w:r>
      <w:r w:rsidR="00A74C04">
        <w:t xml:space="preserve"> (359 because the smallest highlight possible encompasses 1 degree)</w:t>
      </w:r>
      <w:r w:rsidRPr="00952544">
        <w:t xml:space="preserve">. Except, this only occurs if the highlighted region contains the true original color, if it doesn't, then no bonus is awarded for this part. A negative bonus </w:t>
      </w:r>
      <w:r>
        <w:t>is never awarded</w:t>
      </w:r>
      <w:r w:rsidRPr="00952544">
        <w:t xml:space="preserve">. </w:t>
      </w:r>
    </w:p>
    <w:p w14:paraId="7E602879" w14:textId="77777777" w:rsidR="00A31E01" w:rsidRDefault="00A31E01" w:rsidP="00A31E01">
      <w:pPr>
        <w:pStyle w:val="Normal1"/>
      </w:pPr>
    </w:p>
    <w:p w14:paraId="49FDB732" w14:textId="77777777" w:rsidR="00A31E01" w:rsidRDefault="00A31E01" w:rsidP="002B3A85">
      <w:pPr>
        <w:pStyle w:val="Normal1"/>
        <w:jc w:val="center"/>
      </w:pPr>
      <w:r>
        <w:rPr>
          <w:noProof/>
        </w:rPr>
        <w:drawing>
          <wp:inline distT="0" distB="0" distL="0" distR="0" wp14:anchorId="5283A3C6" wp14:editId="498EC9FD">
            <wp:extent cx="4355027" cy="169716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procedure_InterGroup_top2.png"/>
                    <pic:cNvPicPr/>
                  </pic:nvPicPr>
                  <pic:blipFill>
                    <a:blip r:embed="rId11"/>
                    <a:stretch>
                      <a:fillRect/>
                    </a:stretch>
                  </pic:blipFill>
                  <pic:spPr>
                    <a:xfrm>
                      <a:off x="0" y="0"/>
                      <a:ext cx="4355027" cy="1697160"/>
                    </a:xfrm>
                    <a:prstGeom prst="rect">
                      <a:avLst/>
                    </a:prstGeom>
                  </pic:spPr>
                </pic:pic>
              </a:graphicData>
            </a:graphic>
          </wp:inline>
        </w:drawing>
      </w:r>
    </w:p>
    <w:p w14:paraId="2569E224" w14:textId="77777777" w:rsidR="00A31E01" w:rsidRDefault="00A31E01" w:rsidP="002B3A85">
      <w:pPr>
        <w:pStyle w:val="Normal1"/>
        <w:jc w:val="center"/>
      </w:pPr>
      <w:r>
        <w:rPr>
          <w:noProof/>
        </w:rPr>
        <w:drawing>
          <wp:inline distT="0" distB="0" distL="0" distR="0" wp14:anchorId="60E57DED" wp14:editId="5F1CCFA0">
            <wp:extent cx="4313891" cy="16633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l_procedure_InterGroup_bottom.png"/>
                    <pic:cNvPicPr/>
                  </pic:nvPicPr>
                  <pic:blipFill>
                    <a:blip r:embed="rId12"/>
                    <a:stretch>
                      <a:fillRect/>
                    </a:stretch>
                  </pic:blipFill>
                  <pic:spPr>
                    <a:xfrm>
                      <a:off x="0" y="0"/>
                      <a:ext cx="4339999" cy="1673404"/>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3F3E28EE"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rsidR="001169CF">
        <w:t>Spring</w:t>
      </w:r>
      <w:r w:rsidRPr="00536804">
        <w:t xml:space="preserve"> 201</w:t>
      </w:r>
      <w:r w:rsidR="001169CF">
        <w:t>9</w:t>
      </w:r>
      <w:r w:rsidRPr="00536804">
        <w:t xml:space="preserve">,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7F7B96A7" w:rsidR="00A31E01" w:rsidRDefault="00A31E01" w:rsidP="00A31E01">
      <w:pPr>
        <w:pStyle w:val="Normal1"/>
        <w:numPr>
          <w:ilvl w:val="1"/>
          <w:numId w:val="2"/>
        </w:numPr>
        <w:ind w:hanging="360"/>
        <w:contextualSpacing/>
      </w:pPr>
      <w:r>
        <w:t xml:space="preserve">Expt. </w:t>
      </w:r>
      <w:r w:rsidR="002B3A85">
        <w:t>3</w:t>
      </w:r>
      <w:r>
        <w:t xml:space="preserve">: </w:t>
      </w:r>
      <w:r w:rsidRPr="00536804">
        <w:t xml:space="preserve">Amazon Mechanical Turk: </w:t>
      </w:r>
      <w:r w:rsidR="002B3A85">
        <w:t>81</w:t>
      </w:r>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lastRenderedPageBreak/>
        <w:t>Sample Size Rationale</w:t>
      </w:r>
    </w:p>
    <w:p w14:paraId="510702E0" w14:textId="1C4CC65E" w:rsidR="002B3A85" w:rsidRPr="002B3A85" w:rsidRDefault="002B3A85" w:rsidP="002B3A85">
      <w:pPr>
        <w:pStyle w:val="ListParagraph"/>
        <w:numPr>
          <w:ilvl w:val="1"/>
          <w:numId w:val="2"/>
        </w:numPr>
        <w:spacing w:line="240" w:lineRule="auto"/>
        <w:ind w:hanging="360"/>
        <w:rPr>
          <w:rFonts w:ascii="Times New Roman" w:eastAsia="Times New Roman" w:hAnsi="Times New Roman" w:cs="Times New Roman"/>
          <w:color w:val="auto"/>
          <w:sz w:val="24"/>
          <w:szCs w:val="24"/>
        </w:rPr>
      </w:pPr>
      <w:r w:rsidRPr="002B3A85">
        <w:rPr>
          <w:rFonts w:eastAsiaTheme="minorHAnsi"/>
          <w:color w:val="auto"/>
        </w:rPr>
        <w:t xml:space="preserve">The overall idea behind </w:t>
      </w:r>
      <w:r>
        <w:rPr>
          <w:rFonts w:eastAsiaTheme="minorHAnsi"/>
          <w:color w:val="auto"/>
        </w:rPr>
        <w:t>our</w:t>
      </w:r>
      <w:r w:rsidRPr="002B3A85">
        <w:rPr>
          <w:rFonts w:eastAsiaTheme="minorHAnsi"/>
          <w:color w:val="auto"/>
        </w:rPr>
        <w:t xml:space="preserve"> power analysis was to </w:t>
      </w:r>
      <w:r w:rsidR="0031236F">
        <w:rPr>
          <w:rFonts w:eastAsiaTheme="minorHAnsi"/>
          <w:color w:val="auto"/>
        </w:rPr>
        <w:t>estimate the necessary sample size to conduct within-subject statistics between maintenance delays, as opposed to the between-subject statistics available for experiments 1 and 2. To do this, we estimated</w:t>
      </w:r>
      <w:r w:rsidRPr="002B3A85">
        <w:rPr>
          <w:rFonts w:eastAsiaTheme="minorHAnsi"/>
          <w:color w:val="auto"/>
        </w:rPr>
        <w:t xml:space="preserve"> within-subject variability </w:t>
      </w:r>
      <w:r w:rsidR="0031236F">
        <w:rPr>
          <w:rFonts w:eastAsiaTheme="minorHAnsi"/>
          <w:color w:val="auto"/>
        </w:rPr>
        <w:t xml:space="preserve">for the </w:t>
      </w:r>
      <w:r w:rsidRPr="002B3A85">
        <w:rPr>
          <w:rFonts w:eastAsiaTheme="minorHAnsi"/>
          <w:color w:val="auto"/>
        </w:rPr>
        <w:t xml:space="preserve">decreased </w:t>
      </w:r>
      <w:r w:rsidR="0031236F">
        <w:rPr>
          <w:rFonts w:eastAsiaTheme="minorHAnsi"/>
          <w:color w:val="auto"/>
        </w:rPr>
        <w:t>number of trials in our</w:t>
      </w:r>
      <w:r w:rsidRPr="002B3A85">
        <w:rPr>
          <w:rFonts w:eastAsiaTheme="minorHAnsi"/>
          <w:color w:val="auto"/>
        </w:rPr>
        <w:t xml:space="preserve"> critical condition (i.e., </w:t>
      </w:r>
      <w:r>
        <w:rPr>
          <w:rFonts w:eastAsiaTheme="minorHAnsi"/>
          <w:color w:val="auto"/>
        </w:rPr>
        <w:t>mu parameter</w:t>
      </w:r>
      <w:r w:rsidRPr="002B3A85">
        <w:rPr>
          <w:rFonts w:eastAsiaTheme="minorHAnsi"/>
          <w:color w:val="auto"/>
        </w:rPr>
        <w:t xml:space="preserve"> differs dependent on delay)</w:t>
      </w:r>
      <w:r w:rsidR="0031236F">
        <w:rPr>
          <w:rFonts w:eastAsiaTheme="minorHAnsi"/>
          <w:color w:val="auto"/>
        </w:rPr>
        <w:t xml:space="preserve"> and incorporated the </w:t>
      </w:r>
      <w:r w:rsidRPr="002B3A85">
        <w:rPr>
          <w:rFonts w:eastAsiaTheme="minorHAnsi"/>
          <w:color w:val="auto"/>
        </w:rPr>
        <w:t xml:space="preserve">expected change in effect size by </w:t>
      </w:r>
      <w:r w:rsidR="0031236F">
        <w:rPr>
          <w:rFonts w:eastAsiaTheme="minorHAnsi"/>
          <w:color w:val="auto"/>
        </w:rPr>
        <w:t>taking the</w:t>
      </w:r>
      <w:r w:rsidRPr="002B3A85">
        <w:rPr>
          <w:rFonts w:eastAsiaTheme="minorHAnsi"/>
          <w:color w:val="auto"/>
        </w:rPr>
        <w:t xml:space="preserve"> </w:t>
      </w:r>
      <w:r w:rsidR="00407F77">
        <w:rPr>
          <w:rFonts w:eastAsiaTheme="minorHAnsi"/>
          <w:color w:val="auto"/>
        </w:rPr>
        <w:t xml:space="preserve">difference in </w:t>
      </w:r>
      <w:r w:rsidRPr="002B3A85">
        <w:rPr>
          <w:rFonts w:eastAsiaTheme="minorHAnsi"/>
          <w:color w:val="auto"/>
        </w:rPr>
        <w:t xml:space="preserve">averaged </w:t>
      </w:r>
      <w:r>
        <w:rPr>
          <w:rFonts w:eastAsiaTheme="minorHAnsi"/>
          <w:color w:val="auto"/>
        </w:rPr>
        <w:t xml:space="preserve">mu parameter </w:t>
      </w:r>
      <w:r w:rsidR="00407F77">
        <w:rPr>
          <w:rFonts w:eastAsiaTheme="minorHAnsi"/>
          <w:color w:val="auto"/>
        </w:rPr>
        <w:t>estimates for</w:t>
      </w:r>
      <w:r>
        <w:rPr>
          <w:rFonts w:eastAsiaTheme="minorHAnsi"/>
          <w:color w:val="auto"/>
        </w:rPr>
        <w:t xml:space="preserve"> experiments 1 and 2</w:t>
      </w:r>
      <w:r w:rsidR="0031236F">
        <w:rPr>
          <w:rFonts w:eastAsiaTheme="minorHAnsi"/>
          <w:color w:val="auto"/>
        </w:rPr>
        <w:t xml:space="preserve">. </w:t>
      </w:r>
    </w:p>
    <w:p w14:paraId="7D163B92" w14:textId="27AD8BD1" w:rsidR="00407F77" w:rsidRPr="00407F77" w:rsidRDefault="002B3A85" w:rsidP="00407F77">
      <w:pPr>
        <w:pStyle w:val="ListParagraph"/>
        <w:numPr>
          <w:ilvl w:val="1"/>
          <w:numId w:val="2"/>
        </w:numPr>
        <w:spacing w:line="240" w:lineRule="auto"/>
        <w:ind w:hanging="360"/>
        <w:rPr>
          <w:rFonts w:eastAsia="Times New Roman"/>
          <w:color w:val="auto"/>
        </w:rPr>
      </w:pPr>
      <w:r w:rsidRPr="002B3A85">
        <w:rPr>
          <w:rFonts w:eastAsiaTheme="minorHAnsi"/>
          <w:color w:val="auto"/>
        </w:rPr>
        <w:t xml:space="preserve">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1 (1 sec delay</w:t>
      </w:r>
      <w:r>
        <w:rPr>
          <w:rFonts w:eastAsiaTheme="minorHAnsi"/>
          <w:color w:val="auto"/>
        </w:rPr>
        <w:t>,</w:t>
      </w:r>
      <w:r w:rsidRPr="002B3A85">
        <w:rPr>
          <w:rFonts w:eastAsiaTheme="minorHAnsi"/>
          <w:color w:val="auto"/>
        </w:rPr>
        <w:t xml:space="preserve"> 50 subjects), the average </w:t>
      </w:r>
      <w:r>
        <w:rPr>
          <w:rFonts w:eastAsiaTheme="minorHAnsi"/>
          <w:color w:val="auto"/>
        </w:rPr>
        <w:t>mu parameter estimate</w:t>
      </w:r>
      <w:r w:rsidRPr="002B3A85">
        <w:rPr>
          <w:rFonts w:eastAsiaTheme="minorHAnsi"/>
          <w:color w:val="auto"/>
        </w:rPr>
        <w:t xml:space="preserve"> across subjects was -0.35</w:t>
      </w:r>
      <w:r>
        <w:rPr>
          <w:rFonts w:eastAsiaTheme="minorHAnsi"/>
          <w:color w:val="auto"/>
        </w:rPr>
        <w:t>, with a standard deviation of 5.29</w:t>
      </w:r>
      <w:r w:rsidRPr="002B3A85">
        <w:rPr>
          <w:rFonts w:eastAsiaTheme="minorHAnsi"/>
          <w:color w:val="auto"/>
        </w:rPr>
        <w:t xml:space="preserve">. 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2 (3 sec dela</w:t>
      </w:r>
      <w:r>
        <w:rPr>
          <w:rFonts w:eastAsiaTheme="minorHAnsi"/>
          <w:color w:val="auto"/>
        </w:rPr>
        <w:t>y,</w:t>
      </w:r>
      <w:r w:rsidRPr="002B3A85">
        <w:rPr>
          <w:rFonts w:eastAsiaTheme="minorHAnsi"/>
          <w:color w:val="auto"/>
        </w:rPr>
        <w:t xml:space="preserve"> 50 subjects), the av</w:t>
      </w:r>
      <w:r>
        <w:rPr>
          <w:rFonts w:eastAsiaTheme="minorHAnsi"/>
          <w:color w:val="auto"/>
        </w:rPr>
        <w:t xml:space="preserve">erage mu parameter estimate </w:t>
      </w:r>
      <w:r w:rsidRPr="002B3A85">
        <w:rPr>
          <w:rFonts w:eastAsiaTheme="minorHAnsi"/>
          <w:color w:val="auto"/>
        </w:rPr>
        <w:t>was -1.82</w:t>
      </w:r>
      <w:r>
        <w:rPr>
          <w:rFonts w:eastAsiaTheme="minorHAnsi"/>
          <w:color w:val="auto"/>
        </w:rPr>
        <w:t xml:space="preserve">, with a standard deviation of </w:t>
      </w:r>
      <w:r w:rsidRPr="002B3A85">
        <w:rPr>
          <w:rFonts w:eastAsiaTheme="minorHAnsi"/>
          <w:color w:val="auto"/>
        </w:rPr>
        <w:t xml:space="preserve">2.72. </w:t>
      </w:r>
      <w:r>
        <w:rPr>
          <w:rFonts w:eastAsiaTheme="minorHAnsi"/>
          <w:color w:val="auto"/>
        </w:rPr>
        <w:t>We</w:t>
      </w:r>
      <w:r w:rsidRPr="002B3A85">
        <w:rPr>
          <w:rFonts w:eastAsiaTheme="minorHAnsi"/>
          <w:color w:val="auto"/>
        </w:rPr>
        <w:t xml:space="preserve"> took </w:t>
      </w:r>
      <w:r>
        <w:rPr>
          <w:rFonts w:eastAsiaTheme="minorHAnsi"/>
          <w:color w:val="auto"/>
        </w:rPr>
        <w:t xml:space="preserve">the experiment with the larger standard deviation, </w:t>
      </w:r>
      <w:proofErr w:type="spellStart"/>
      <w:r>
        <w:rPr>
          <w:rFonts w:eastAsiaTheme="minorHAnsi"/>
          <w:color w:val="auto"/>
        </w:rPr>
        <w:t>Expt</w:t>
      </w:r>
      <w:proofErr w:type="spellEnd"/>
      <w:r>
        <w:rPr>
          <w:rFonts w:eastAsiaTheme="minorHAnsi"/>
          <w:color w:val="auto"/>
        </w:rPr>
        <w:t xml:space="preserve"> 1,</w:t>
      </w:r>
      <w:r w:rsidRPr="002B3A85">
        <w:rPr>
          <w:rFonts w:eastAsiaTheme="minorHAnsi"/>
          <w:color w:val="auto"/>
        </w:rPr>
        <w:t xml:space="preserve"> and ran every subject through </w:t>
      </w:r>
      <w:r>
        <w:rPr>
          <w:rFonts w:eastAsiaTheme="minorHAnsi"/>
          <w:color w:val="auto"/>
        </w:rPr>
        <w:t>both a</w:t>
      </w:r>
      <w:r w:rsidRPr="002B3A85">
        <w:rPr>
          <w:rFonts w:eastAsiaTheme="minorHAnsi"/>
          <w:color w:val="auto"/>
        </w:rPr>
        <w:t xml:space="preserve"> model that only included their odd-numbered trials</w:t>
      </w:r>
      <w:r>
        <w:rPr>
          <w:rFonts w:eastAsiaTheme="minorHAnsi"/>
          <w:color w:val="auto"/>
        </w:rPr>
        <w:t xml:space="preserve"> and a</w:t>
      </w:r>
      <w:r w:rsidRPr="002B3A85">
        <w:rPr>
          <w:rFonts w:eastAsiaTheme="minorHAnsi"/>
          <w:color w:val="auto"/>
        </w:rPr>
        <w:t xml:space="preserve"> model that only included their even-numbered trials. </w:t>
      </w:r>
      <w:r>
        <w:rPr>
          <w:rFonts w:eastAsiaTheme="minorHAnsi"/>
          <w:color w:val="auto"/>
        </w:rPr>
        <w:t>This yielded</w:t>
      </w:r>
      <w:r w:rsidRPr="002B3A85">
        <w:rPr>
          <w:rFonts w:eastAsiaTheme="minorHAnsi"/>
          <w:color w:val="auto"/>
        </w:rPr>
        <w:t xml:space="preserve"> 50 even-models and 50 odd-models. </w:t>
      </w:r>
      <w:r>
        <w:rPr>
          <w:rFonts w:eastAsiaTheme="minorHAnsi"/>
          <w:color w:val="auto"/>
        </w:rPr>
        <w:t>We</w:t>
      </w:r>
      <w:r w:rsidRPr="002B3A85">
        <w:rPr>
          <w:rFonts w:eastAsiaTheme="minorHAnsi"/>
          <w:color w:val="auto"/>
        </w:rPr>
        <w:t xml:space="preserve"> removed the mean difference in the two groups (group 1: odd</w:t>
      </w:r>
      <w:r>
        <w:rPr>
          <w:rFonts w:eastAsiaTheme="minorHAnsi"/>
          <w:color w:val="auto"/>
        </w:rPr>
        <w:t xml:space="preserve"> models</w:t>
      </w:r>
      <w:r w:rsidRPr="002B3A85">
        <w:rPr>
          <w:rFonts w:eastAsiaTheme="minorHAnsi"/>
          <w:color w:val="auto"/>
        </w:rPr>
        <w:t xml:space="preserve">, group 2: even models) so that each group had the same average </w:t>
      </w:r>
      <w:r>
        <w:rPr>
          <w:rFonts w:eastAsiaTheme="minorHAnsi"/>
          <w:color w:val="auto"/>
        </w:rPr>
        <w:t>mu parameter estimates</w:t>
      </w:r>
      <w:r w:rsidRPr="002B3A85">
        <w:rPr>
          <w:rFonts w:eastAsiaTheme="minorHAnsi"/>
          <w:color w:val="auto"/>
        </w:rPr>
        <w:t xml:space="preserve"> across subjects. </w:t>
      </w:r>
      <w:r>
        <w:rPr>
          <w:rFonts w:eastAsiaTheme="minorHAnsi"/>
          <w:color w:val="auto"/>
        </w:rPr>
        <w:t xml:space="preserve">We </w:t>
      </w:r>
      <w:r w:rsidRPr="002B3A85">
        <w:rPr>
          <w:rFonts w:eastAsiaTheme="minorHAnsi"/>
          <w:color w:val="auto"/>
        </w:rPr>
        <w:t xml:space="preserve">then subtracted 1.47 from the </w:t>
      </w:r>
      <w:r>
        <w:rPr>
          <w:rFonts w:eastAsiaTheme="minorHAnsi"/>
          <w:color w:val="auto"/>
        </w:rPr>
        <w:t xml:space="preserve">mu parameter estimate </w:t>
      </w:r>
      <w:r w:rsidRPr="002B3A85">
        <w:rPr>
          <w:rFonts w:eastAsiaTheme="minorHAnsi"/>
          <w:color w:val="auto"/>
        </w:rPr>
        <w:t xml:space="preserve">for each of the 50 subjects for the odd </w:t>
      </w:r>
      <w:r w:rsidRPr="00407F77">
        <w:rPr>
          <w:rFonts w:eastAsiaTheme="minorHAnsi"/>
          <w:color w:val="auto"/>
        </w:rPr>
        <w:t xml:space="preserve">models (1.47 was obtained by taking the difference between -1.82 and -0.35). </w:t>
      </w:r>
      <w:r w:rsidR="00407F77" w:rsidRPr="00407F77">
        <w:rPr>
          <w:rFonts w:eastAsiaTheme="minorHAnsi"/>
          <w:color w:val="auto"/>
        </w:rPr>
        <w:t xml:space="preserve">G*Power was then utilized for a two-tailed paired t-test, suggesting a sample size of 81 subjects for a power of .80 (see figure below). </w:t>
      </w:r>
    </w:p>
    <w:p w14:paraId="305984DC" w14:textId="20E8B15E" w:rsidR="002B3A85" w:rsidRPr="00407F77" w:rsidRDefault="00407F77" w:rsidP="002B3A85">
      <w:pPr>
        <w:pStyle w:val="ListParagraph"/>
        <w:numPr>
          <w:ilvl w:val="1"/>
          <w:numId w:val="2"/>
        </w:numPr>
        <w:spacing w:line="240" w:lineRule="auto"/>
        <w:ind w:hanging="360"/>
        <w:rPr>
          <w:rFonts w:eastAsia="Times New Roman"/>
          <w:color w:val="auto"/>
        </w:rPr>
      </w:pPr>
      <w:r w:rsidRPr="00407F77">
        <w:rPr>
          <w:rFonts w:eastAsia="Times New Roman"/>
          <w:color w:val="auto"/>
        </w:rPr>
        <w:t xml:space="preserve">Note that this power analysis </w:t>
      </w:r>
      <w:r w:rsidR="007770A6">
        <w:rPr>
          <w:rFonts w:eastAsia="Times New Roman"/>
          <w:color w:val="auto"/>
        </w:rPr>
        <w:t>wa</w:t>
      </w:r>
      <w:r w:rsidRPr="00407F77">
        <w:rPr>
          <w:rFonts w:eastAsia="Times New Roman"/>
          <w:color w:val="auto"/>
        </w:rPr>
        <w:t>s fairly conservative because we chose to estimate within-subject variability based on the experiment with larger variance in mu parameter estimates across subjects.</w:t>
      </w:r>
    </w:p>
    <w:p w14:paraId="043E68FC" w14:textId="77777777" w:rsidR="00407F77" w:rsidRPr="002B3A85" w:rsidRDefault="00407F77" w:rsidP="00407F77">
      <w:pPr>
        <w:pStyle w:val="ListParagraph"/>
        <w:spacing w:line="240" w:lineRule="auto"/>
        <w:ind w:left="1440"/>
        <w:rPr>
          <w:rFonts w:ascii="Times New Roman" w:eastAsia="Times New Roman" w:hAnsi="Times New Roman" w:cs="Times New Roman"/>
          <w:color w:val="auto"/>
          <w:sz w:val="24"/>
          <w:szCs w:val="24"/>
        </w:rPr>
      </w:pPr>
    </w:p>
    <w:p w14:paraId="550FF166" w14:textId="64CC17C3" w:rsidR="002B3A85" w:rsidRPr="002B3A85" w:rsidRDefault="002B3A85" w:rsidP="002B3A85">
      <w:pPr>
        <w:pStyle w:val="ListParagraph"/>
        <w:spacing w:line="240" w:lineRule="auto"/>
        <w:ind w:left="1080"/>
        <w:jc w:val="center"/>
        <w:rPr>
          <w:rFonts w:ascii="Times New Roman" w:eastAsia="Times New Roman" w:hAnsi="Times New Roman" w:cs="Times New Roman"/>
          <w:color w:val="auto"/>
          <w:sz w:val="24"/>
          <w:szCs w:val="24"/>
        </w:rPr>
      </w:pPr>
      <w:r w:rsidRPr="002B3A85">
        <w:rPr>
          <w:rFonts w:ascii="Times New Roman" w:eastAsia="Times New Roman" w:hAnsi="Times New Roman" w:cs="Times New Roman"/>
          <w:color w:val="auto"/>
          <w:sz w:val="24"/>
          <w:szCs w:val="24"/>
        </w:rPr>
        <w:fldChar w:fldCharType="begin"/>
      </w:r>
      <w:r w:rsidRPr="002B3A85">
        <w:rPr>
          <w:rFonts w:ascii="Times New Roman" w:eastAsia="Times New Roman" w:hAnsi="Times New Roman" w:cs="Times New Roman"/>
          <w:color w:val="auto"/>
          <w:sz w:val="24"/>
          <w:szCs w:val="24"/>
        </w:rPr>
        <w:instrText xml:space="preserve"> INCLUDEPICTURE "https://puu.sh/CDD9r/fdae0770bc.png" \* MERGEFORMATINET </w:instrText>
      </w:r>
      <w:r w:rsidRPr="002B3A85">
        <w:rPr>
          <w:rFonts w:ascii="Times New Roman" w:eastAsia="Times New Roman" w:hAnsi="Times New Roman" w:cs="Times New Roman"/>
          <w:color w:val="auto"/>
          <w:sz w:val="24"/>
          <w:szCs w:val="24"/>
        </w:rPr>
        <w:fldChar w:fldCharType="separate"/>
      </w:r>
      <w:r w:rsidRPr="002B3A85">
        <w:rPr>
          <w:noProof/>
        </w:rPr>
        <w:drawing>
          <wp:inline distT="0" distB="0" distL="0" distR="0" wp14:anchorId="74B168D7" wp14:editId="69768C38">
            <wp:extent cx="4327635" cy="2181849"/>
            <wp:effectExtent l="0" t="0" r="3175" b="3175"/>
            <wp:docPr id="4" name="Picture 4" descr="https://puu.sh/CDD9r/fdae0770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DD9r/fdae0770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4289" cy="2185204"/>
                    </a:xfrm>
                    <a:prstGeom prst="rect">
                      <a:avLst/>
                    </a:prstGeom>
                    <a:noFill/>
                    <a:ln>
                      <a:noFill/>
                    </a:ln>
                  </pic:spPr>
                </pic:pic>
              </a:graphicData>
            </a:graphic>
          </wp:inline>
        </w:drawing>
      </w:r>
      <w:r w:rsidRPr="002B3A85">
        <w:rPr>
          <w:rFonts w:ascii="Times New Roman" w:eastAsia="Times New Roman" w:hAnsi="Times New Roman" w:cs="Times New Roman"/>
          <w:color w:val="auto"/>
          <w:sz w:val="24"/>
          <w:szCs w:val="24"/>
        </w:rPr>
        <w:fldChar w:fldCharType="end"/>
      </w:r>
    </w:p>
    <w:p w14:paraId="7DCD0F28" w14:textId="3B323651" w:rsidR="002B3A85" w:rsidRPr="002B3A85" w:rsidRDefault="002B3A85" w:rsidP="002B3A85">
      <w:pPr>
        <w:spacing w:line="240" w:lineRule="auto"/>
        <w:rPr>
          <w:rFonts w:ascii="Times New Roman" w:eastAsia="Times New Roman" w:hAnsi="Times New Roman" w:cs="Times New Roman"/>
          <w:color w:val="auto"/>
          <w:sz w:val="24"/>
          <w:szCs w:val="24"/>
        </w:rPr>
      </w:pP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77777777"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lastRenderedPageBreak/>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23A2989A"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00DA363A">
        <w:rPr>
          <w:i/>
          <w:color w:val="000000" w:themeColor="text1"/>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00DA363A">
        <w:rPr>
          <w:i/>
          <w:color w:val="000000" w:themeColor="text1"/>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84EB90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m:t>
          </m:r>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12071436" w:rsidR="00A31E01" w:rsidRDefault="00A31E01" w:rsidP="00A31E01">
      <w:pPr>
        <w:pStyle w:val="Normal1"/>
        <w:numPr>
          <w:ilvl w:val="1"/>
          <w:numId w:val="2"/>
        </w:numPr>
        <w:ind w:hanging="360"/>
        <w:contextualSpacing/>
      </w:pPr>
      <w:r>
        <w:t>For each participant, we will separately model responses for trials containing objects that were 45 deg. apart in color space, and trials containing objects that were 90 deg. apart in color space.</w:t>
      </w:r>
      <w:r w:rsidR="00565AEA">
        <w:t xml:space="preserve"> We will also model responses for all trials regardless of distance in color space.</w:t>
      </w:r>
      <w:r>
        <w:t xml:space="preserve"> We will use standard t-tests and ANOVAs to compare maximum </w:t>
      </w:r>
      <w:proofErr w:type="gramStart"/>
      <w:r>
        <w:t>a posteriori</w:t>
      </w:r>
      <w:proofErr w:type="gramEnd"/>
      <w:r>
        <w:t xml:space="preserve">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Default="00A31E01" w:rsidP="00CB741E">
      <w:pPr>
        <w:pStyle w:val="Normal1"/>
        <w:numPr>
          <w:ilvl w:val="1"/>
          <w:numId w:val="2"/>
        </w:numPr>
        <w:ind w:hanging="360"/>
        <w:contextualSpacing/>
      </w:pPr>
      <w:r>
        <w:t>We may</w:t>
      </w:r>
      <w:r w:rsidR="00B70234">
        <w:t>,</w:t>
      </w:r>
      <w:r>
        <w:t xml:space="preserve"> in addition</w:t>
      </w:r>
      <w:r w:rsidR="00B70234">
        <w:t>,</w:t>
      </w:r>
      <w:r>
        <w:t xml:space="preserve"> use a Bayesian hierarchical model to fit memory responses. We can then attain both group-level and subject-level parameter estimates and </w:t>
      </w:r>
      <w:r>
        <w:lastRenderedPageBreak/>
        <w:t>use 95% highest posterior density intervals (HDIs) to determine significance (</w:t>
      </w:r>
      <w:proofErr w:type="spellStart"/>
      <w:r>
        <w:t>Kruschke</w:t>
      </w:r>
      <w:proofErr w:type="spellEnd"/>
      <w:r>
        <w:t xml:space="preserve">, 2011). </w:t>
      </w:r>
    </w:p>
    <w:p w14:paraId="4F7AF324" w14:textId="77777777" w:rsidR="00197FA2" w:rsidRPr="00536804" w:rsidRDefault="00197FA2" w:rsidP="00197FA2">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t>Follow-up Analyses</w:t>
      </w:r>
    </w:p>
    <w:p w14:paraId="2578E7C7" w14:textId="77777777" w:rsidR="00A31E01" w:rsidRPr="00536804" w:rsidRDefault="00A31E01" w:rsidP="00A31E01">
      <w:pPr>
        <w:pStyle w:val="Normal1"/>
      </w:pPr>
    </w:p>
    <w:p w14:paraId="2A607C0C" w14:textId="20526F25"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r w:rsidR="00DE34EA">
        <w:t>We will report any additional analyses as exploratory.</w:t>
      </w:r>
    </w:p>
    <w:p w14:paraId="43117D2F" w14:textId="179F4FE7" w:rsidR="0069737A" w:rsidRPr="00A31E01" w:rsidRDefault="00F55FC0" w:rsidP="00A31E01"/>
    <w:sectPr w:rsidR="0069737A" w:rsidRPr="00A31E0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Scotti" w:date="2019-02-04T11:06:00Z" w:initials="PS">
    <w:p w14:paraId="6B03D8A3" w14:textId="7C92F1E8" w:rsidR="00061E7E" w:rsidRDefault="00061E7E">
      <w:pPr>
        <w:pStyle w:val="CommentText"/>
      </w:pPr>
      <w:r>
        <w:rPr>
          <w:rStyle w:val="CommentReference"/>
        </w:rPr>
        <w:annotationRef/>
      </w:r>
      <w:r>
        <w:t>Don’t want bunching up of colors for one condition or the other. Implement this. But don’t need to explicitly mention this in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03D8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03D8A3" w16cid:durableId="20029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60C3D" w14:textId="77777777" w:rsidR="00F55FC0" w:rsidRDefault="00F55FC0">
      <w:pPr>
        <w:spacing w:line="240" w:lineRule="auto"/>
      </w:pPr>
      <w:r>
        <w:separator/>
      </w:r>
    </w:p>
  </w:endnote>
  <w:endnote w:type="continuationSeparator" w:id="0">
    <w:p w14:paraId="31E130FA" w14:textId="77777777" w:rsidR="00F55FC0" w:rsidRDefault="00F55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F55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F55F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F55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FA0A5" w14:textId="77777777" w:rsidR="00F55FC0" w:rsidRDefault="00F55FC0">
      <w:pPr>
        <w:spacing w:line="240" w:lineRule="auto"/>
      </w:pPr>
      <w:r>
        <w:separator/>
      </w:r>
    </w:p>
  </w:footnote>
  <w:footnote w:type="continuationSeparator" w:id="0">
    <w:p w14:paraId="23620730" w14:textId="77777777" w:rsidR="00F55FC0" w:rsidRDefault="00F55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F55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F55F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F55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2AF"/>
    <w:rsid w:val="000B166A"/>
    <w:rsid w:val="000B48F5"/>
    <w:rsid w:val="000C3718"/>
    <w:rsid w:val="000C7A45"/>
    <w:rsid w:val="000D1965"/>
    <w:rsid w:val="000D31F4"/>
    <w:rsid w:val="000D344E"/>
    <w:rsid w:val="000E0D7C"/>
    <w:rsid w:val="000E16AD"/>
    <w:rsid w:val="000E3D02"/>
    <w:rsid w:val="000E7643"/>
    <w:rsid w:val="000E7B0D"/>
    <w:rsid w:val="000E7D0C"/>
    <w:rsid w:val="000F1555"/>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20BC"/>
    <w:rsid w:val="00183C08"/>
    <w:rsid w:val="00184DD9"/>
    <w:rsid w:val="001854E1"/>
    <w:rsid w:val="001876B9"/>
    <w:rsid w:val="00190E77"/>
    <w:rsid w:val="00196FBA"/>
    <w:rsid w:val="00197218"/>
    <w:rsid w:val="00197FA2"/>
    <w:rsid w:val="001A3C54"/>
    <w:rsid w:val="001A60C2"/>
    <w:rsid w:val="001A66F5"/>
    <w:rsid w:val="001A6A42"/>
    <w:rsid w:val="001B2AD7"/>
    <w:rsid w:val="001B2E48"/>
    <w:rsid w:val="001B362F"/>
    <w:rsid w:val="001B42A2"/>
    <w:rsid w:val="001B62AD"/>
    <w:rsid w:val="001B7CDD"/>
    <w:rsid w:val="001C6D90"/>
    <w:rsid w:val="001D2BB4"/>
    <w:rsid w:val="001D3BE6"/>
    <w:rsid w:val="001D3FF1"/>
    <w:rsid w:val="001D638A"/>
    <w:rsid w:val="001D710A"/>
    <w:rsid w:val="001D7267"/>
    <w:rsid w:val="001E0137"/>
    <w:rsid w:val="001E1A1A"/>
    <w:rsid w:val="001E1B55"/>
    <w:rsid w:val="001E30D0"/>
    <w:rsid w:val="001E3543"/>
    <w:rsid w:val="001E3FD5"/>
    <w:rsid w:val="001F172C"/>
    <w:rsid w:val="001F7252"/>
    <w:rsid w:val="002013B8"/>
    <w:rsid w:val="0020346C"/>
    <w:rsid w:val="00203A11"/>
    <w:rsid w:val="0020683E"/>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C2EA0"/>
    <w:rsid w:val="002C4A1C"/>
    <w:rsid w:val="002C64C2"/>
    <w:rsid w:val="002C72AA"/>
    <w:rsid w:val="002D3421"/>
    <w:rsid w:val="002D5875"/>
    <w:rsid w:val="002E0943"/>
    <w:rsid w:val="002E1C3B"/>
    <w:rsid w:val="002E4FEC"/>
    <w:rsid w:val="002F6BC2"/>
    <w:rsid w:val="00303986"/>
    <w:rsid w:val="00305435"/>
    <w:rsid w:val="0031236F"/>
    <w:rsid w:val="00312560"/>
    <w:rsid w:val="00312CB9"/>
    <w:rsid w:val="00315B33"/>
    <w:rsid w:val="0031615C"/>
    <w:rsid w:val="00321164"/>
    <w:rsid w:val="003211BF"/>
    <w:rsid w:val="00323BEF"/>
    <w:rsid w:val="00326F28"/>
    <w:rsid w:val="00330C59"/>
    <w:rsid w:val="00334E4A"/>
    <w:rsid w:val="003413AF"/>
    <w:rsid w:val="00343A7A"/>
    <w:rsid w:val="003459C3"/>
    <w:rsid w:val="00346A84"/>
    <w:rsid w:val="003471B2"/>
    <w:rsid w:val="00347980"/>
    <w:rsid w:val="00352CD3"/>
    <w:rsid w:val="00355C97"/>
    <w:rsid w:val="00356844"/>
    <w:rsid w:val="003614D3"/>
    <w:rsid w:val="00361660"/>
    <w:rsid w:val="0036396E"/>
    <w:rsid w:val="00363A55"/>
    <w:rsid w:val="00365090"/>
    <w:rsid w:val="00371068"/>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3F6B41"/>
    <w:rsid w:val="004054A7"/>
    <w:rsid w:val="00407F77"/>
    <w:rsid w:val="0041493B"/>
    <w:rsid w:val="00416FD1"/>
    <w:rsid w:val="00420423"/>
    <w:rsid w:val="0042278B"/>
    <w:rsid w:val="004249F7"/>
    <w:rsid w:val="00424A5A"/>
    <w:rsid w:val="00425E03"/>
    <w:rsid w:val="00427765"/>
    <w:rsid w:val="00430FA1"/>
    <w:rsid w:val="00432D65"/>
    <w:rsid w:val="00433F07"/>
    <w:rsid w:val="00434AEE"/>
    <w:rsid w:val="004400D4"/>
    <w:rsid w:val="00443ED6"/>
    <w:rsid w:val="00444068"/>
    <w:rsid w:val="00444F5E"/>
    <w:rsid w:val="0044601F"/>
    <w:rsid w:val="0044629F"/>
    <w:rsid w:val="00451B80"/>
    <w:rsid w:val="00461AE1"/>
    <w:rsid w:val="0046345F"/>
    <w:rsid w:val="00471096"/>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7678"/>
    <w:rsid w:val="005E047C"/>
    <w:rsid w:val="005E1C51"/>
    <w:rsid w:val="005E3CE6"/>
    <w:rsid w:val="005E4B4B"/>
    <w:rsid w:val="005E6746"/>
    <w:rsid w:val="005F223B"/>
    <w:rsid w:val="005F2E2B"/>
    <w:rsid w:val="005F552C"/>
    <w:rsid w:val="005F5911"/>
    <w:rsid w:val="005F637F"/>
    <w:rsid w:val="005F6744"/>
    <w:rsid w:val="00602269"/>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567CF"/>
    <w:rsid w:val="00660439"/>
    <w:rsid w:val="00663938"/>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3989"/>
    <w:rsid w:val="007645EC"/>
    <w:rsid w:val="0076491D"/>
    <w:rsid w:val="0076541C"/>
    <w:rsid w:val="00765FCC"/>
    <w:rsid w:val="0077000F"/>
    <w:rsid w:val="0077354F"/>
    <w:rsid w:val="007770A6"/>
    <w:rsid w:val="00777CE4"/>
    <w:rsid w:val="00786BFC"/>
    <w:rsid w:val="007871B7"/>
    <w:rsid w:val="0079049B"/>
    <w:rsid w:val="00797D37"/>
    <w:rsid w:val="007A1351"/>
    <w:rsid w:val="007A306F"/>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354F3"/>
    <w:rsid w:val="00850E67"/>
    <w:rsid w:val="00856EEB"/>
    <w:rsid w:val="0086128B"/>
    <w:rsid w:val="00862FE5"/>
    <w:rsid w:val="008632E9"/>
    <w:rsid w:val="00864384"/>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D7A7D"/>
    <w:rsid w:val="008E7EC7"/>
    <w:rsid w:val="008F7F1D"/>
    <w:rsid w:val="0090092D"/>
    <w:rsid w:val="00911F38"/>
    <w:rsid w:val="00913D07"/>
    <w:rsid w:val="00916222"/>
    <w:rsid w:val="00920D65"/>
    <w:rsid w:val="009215C9"/>
    <w:rsid w:val="00922FF7"/>
    <w:rsid w:val="0092445F"/>
    <w:rsid w:val="00924A7E"/>
    <w:rsid w:val="00932039"/>
    <w:rsid w:val="00933BEC"/>
    <w:rsid w:val="00940338"/>
    <w:rsid w:val="009516BE"/>
    <w:rsid w:val="009517B6"/>
    <w:rsid w:val="009519EF"/>
    <w:rsid w:val="00952544"/>
    <w:rsid w:val="00952854"/>
    <w:rsid w:val="009534AB"/>
    <w:rsid w:val="009562E9"/>
    <w:rsid w:val="0095739C"/>
    <w:rsid w:val="00960F7B"/>
    <w:rsid w:val="00962BCB"/>
    <w:rsid w:val="00966A2D"/>
    <w:rsid w:val="00966FC8"/>
    <w:rsid w:val="009751D4"/>
    <w:rsid w:val="00976D88"/>
    <w:rsid w:val="009812F8"/>
    <w:rsid w:val="00981503"/>
    <w:rsid w:val="009846AF"/>
    <w:rsid w:val="009858C4"/>
    <w:rsid w:val="009A1759"/>
    <w:rsid w:val="009A2487"/>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8B"/>
    <w:rsid w:val="00A827B4"/>
    <w:rsid w:val="00A8381E"/>
    <w:rsid w:val="00A94082"/>
    <w:rsid w:val="00AA0BC6"/>
    <w:rsid w:val="00AA1FB4"/>
    <w:rsid w:val="00AB430F"/>
    <w:rsid w:val="00AB7B7D"/>
    <w:rsid w:val="00AC0B62"/>
    <w:rsid w:val="00AC3613"/>
    <w:rsid w:val="00AC4EA4"/>
    <w:rsid w:val="00AC7B53"/>
    <w:rsid w:val="00AC7C60"/>
    <w:rsid w:val="00AD1DA2"/>
    <w:rsid w:val="00AD3118"/>
    <w:rsid w:val="00AD4832"/>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26891"/>
    <w:rsid w:val="00B3437A"/>
    <w:rsid w:val="00B367E6"/>
    <w:rsid w:val="00B37E13"/>
    <w:rsid w:val="00B40DA8"/>
    <w:rsid w:val="00B44102"/>
    <w:rsid w:val="00B44992"/>
    <w:rsid w:val="00B528C5"/>
    <w:rsid w:val="00B533A1"/>
    <w:rsid w:val="00B5522D"/>
    <w:rsid w:val="00B558BE"/>
    <w:rsid w:val="00B560ED"/>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46E6"/>
    <w:rsid w:val="00BD6970"/>
    <w:rsid w:val="00BD7955"/>
    <w:rsid w:val="00BE1EF4"/>
    <w:rsid w:val="00BE3321"/>
    <w:rsid w:val="00BF33C4"/>
    <w:rsid w:val="00BF4164"/>
    <w:rsid w:val="00BF4EB1"/>
    <w:rsid w:val="00BF7DD9"/>
    <w:rsid w:val="00C00F50"/>
    <w:rsid w:val="00C024E3"/>
    <w:rsid w:val="00C02694"/>
    <w:rsid w:val="00C07F7D"/>
    <w:rsid w:val="00C1386F"/>
    <w:rsid w:val="00C1567C"/>
    <w:rsid w:val="00C177FF"/>
    <w:rsid w:val="00C223BC"/>
    <w:rsid w:val="00C2407A"/>
    <w:rsid w:val="00C2748A"/>
    <w:rsid w:val="00C30BB0"/>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3F0"/>
    <w:rsid w:val="00D63672"/>
    <w:rsid w:val="00D669A6"/>
    <w:rsid w:val="00D66D57"/>
    <w:rsid w:val="00D7004B"/>
    <w:rsid w:val="00D76ECC"/>
    <w:rsid w:val="00D77FD4"/>
    <w:rsid w:val="00D82F3D"/>
    <w:rsid w:val="00D84423"/>
    <w:rsid w:val="00D84C41"/>
    <w:rsid w:val="00D84EE5"/>
    <w:rsid w:val="00D85988"/>
    <w:rsid w:val="00D90CED"/>
    <w:rsid w:val="00D93217"/>
    <w:rsid w:val="00DA363A"/>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5FC0"/>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3AA6"/>
    <w:rsid w:val="00FC56EC"/>
    <w:rsid w:val="00FC649F"/>
    <w:rsid w:val="00FC7A19"/>
    <w:rsid w:val="00FD0E61"/>
    <w:rsid w:val="00FD3BDA"/>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8CC9-43BF-DA4C-8A9F-083F9724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91</cp:revision>
  <dcterms:created xsi:type="dcterms:W3CDTF">2019-01-10T18:15:00Z</dcterms:created>
  <dcterms:modified xsi:type="dcterms:W3CDTF">2019-02-04T16:26:00Z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