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9" w:lineRule="auto"/>
        <w:jc w:val="center"/>
      </w:pPr>
      <w:r>
        <w:rPr>
          <w:rFonts w:ascii="Helvetica Neue" w:hAnsi="Helvetica Neue"/>
          <w:b/>
          <w:color w:val="0D47A1"/>
          <w:sz w:val="30"/>
        </w:rPr>
        <w:t>Trading-Strategie · ICT/SMC Multi-Timeframe (FINAL v3)</w:t>
      </w:r>
    </w:p>
    <w:p>
      <w:pPr>
        <w:spacing w:before="0" w:after="120" w:line="269" w:lineRule="auto"/>
        <w:jc w:val="center"/>
      </w:pPr>
      <w:r>
        <w:rPr>
          <w:rFonts w:ascii="Helvetica Neue" w:hAnsi="Helvetica Neue"/>
          <w:color w:val="555555"/>
          <w:sz w:val="18"/>
        </w:rPr>
        <w:t>FTMO Funded Swing $10.000  ·  1 % Risk  ·  Hebel 1:30  ·  US500 · US30 · US100 · US2000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F1F5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color w:val="555555"/>
                <w:sz w:val="14"/>
              </w:rPr>
              <w:t>ACCOUNT</w:t>
            </w:r>
          </w:p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sz w:val="21"/>
              </w:rPr>
              <w:t>$10.000</w:t>
            </w:r>
          </w:p>
        </w:tc>
        <w:tc>
          <w:tcPr>
            <w:tcW w:type="dxa" w:w="2551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F1F5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color w:val="555555"/>
                <w:sz w:val="14"/>
              </w:rPr>
              <w:t>RISK / TRADE</w:t>
            </w:r>
          </w:p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sz w:val="21"/>
              </w:rPr>
              <w:t>1 % = $100</w:t>
            </w:r>
          </w:p>
        </w:tc>
        <w:tc>
          <w:tcPr>
            <w:tcW w:type="dxa" w:w="2551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F1F5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color w:val="555555"/>
                <w:sz w:val="14"/>
              </w:rPr>
              <w:t>HEBEL</w:t>
            </w:r>
          </w:p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sz w:val="21"/>
              </w:rPr>
              <w:t>1:30</w:t>
            </w:r>
          </w:p>
        </w:tc>
        <w:tc>
          <w:tcPr>
            <w:tcW w:type="dxa" w:w="2551"/>
            <w:tcMar>
              <w:top w:w="80" w:type="dxa"/>
              <w:left w:w="140" w:type="dxa"/>
              <w:bottom w:w="80" w:type="dxa"/>
              <w:right w:w="140" w:type="dxa"/>
            </w:tcMar>
            <w:shd w:val="clear" w:color="auto" w:fill="F1F5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color w:val="555555"/>
                <w:sz w:val="14"/>
              </w:rPr>
              <w:t>PARTIALS TP</w:t>
            </w:r>
          </w:p>
          <w:p>
            <w:pPr>
              <w:spacing w:before="0" w:after="40" w:line="269" w:lineRule="auto"/>
              <w:jc w:val="center"/>
            </w:pPr>
            <w:r>
              <w:rPr>
                <w:rFonts w:ascii="Helvetica Neue" w:hAnsi="Helvetica Neue"/>
                <w:b/>
                <w:sz w:val="21"/>
              </w:rPr>
              <w:t>33 / 33 / 34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180" w:type="dxa"/>
            </w:tcMar>
          </w:tcPr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0 · Wochenvorbereitung (Sonntag)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Levels markieren: Order Blocks, BPRs (auch inverse), Fair Value Gaps (auch inverse).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Inverse FVG: Gap wird ohne Reaktion durchbrochen, Preis kehrt in die Zone zurück und reagiert von dort in die entgegengesetzte Richtung der ursprünglichen FVG.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1 · Weekly Bias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Richtung des letzten Break of Structure auf Weekly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ODER: 5 aufeinanderfolgende Closes (bull/bear)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Bias bull → nur Long-Setups · Bias bear → nur Short-Setups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2 · Daily Liquidity Sweep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Long-Setup: Pivot-Low wird kurz untertroffen, Close darüber.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Short-Setup: Pivot-High wird kurz überschritten, Close darunter.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3 · Order Block (4H)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Letzter gegensätzlich-farbiger Move-Block VOR dem Sweep markieren.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Bei mehrfachem Sweep: alle 3 OBs prüfen, denjenigen mit den besten Confluences wählen.</w:t>
            </w:r>
          </w:p>
        </w:tc>
        <w:tc>
          <w:tcPr>
            <w:tcW w:type="dxa" w:w="5102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80" w:type="dxa"/>
              <w:bottom w:w="80" w:type="dxa"/>
              <w:right w:w="0" w:type="dxa"/>
            </w:tcMar>
          </w:tcPr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4 · Entry-Sequenz (1H) — KERN</w:t>
            </w:r>
          </w:p>
          <w:p>
            <w:pPr>
              <w:spacing w:before="0" w:after="40" w:line="269" w:lineRule="auto"/>
              <w:ind w:left="227" w:hanging="227"/>
            </w:pPr>
            <w:r>
              <w:rPr>
                <w:rFonts w:ascii="Helvetica Neue" w:hAnsi="Helvetica Neue"/>
                <w:b/>
                <w:color w:val="2662FF"/>
                <w:sz w:val="17"/>
              </w:rPr>
              <w:t xml:space="preserve">①  </w:t>
            </w:r>
            <w:r>
              <w:rPr>
                <w:rFonts w:ascii="Helvetica Neue" w:hAnsi="Helvetica Neue"/>
                <w:sz w:val="17"/>
              </w:rPr>
              <w:t>Preis muss AUS dem Order Block RAUSKOMMEN.</w:t>
            </w:r>
          </w:p>
          <w:p>
            <w:pPr>
              <w:spacing w:before="0" w:after="40" w:line="269" w:lineRule="auto"/>
              <w:ind w:left="227" w:hanging="227"/>
            </w:pPr>
            <w:r>
              <w:rPr>
                <w:rFonts w:ascii="Helvetica Neue" w:hAnsi="Helvetica Neue"/>
                <w:b/>
                <w:color w:val="2662FF"/>
                <w:sz w:val="17"/>
              </w:rPr>
              <w:t xml:space="preserve">②  </w:t>
            </w:r>
            <w:r>
              <w:rPr>
                <w:rFonts w:ascii="Helvetica Neue" w:hAnsi="Helvetica Neue"/>
                <w:sz w:val="17"/>
              </w:rPr>
              <w:t>Preis muss WIEDER REINKOMMEN in den OB.</w:t>
            </w:r>
          </w:p>
          <w:p>
            <w:pPr>
              <w:spacing w:before="0" w:after="40" w:line="269" w:lineRule="auto"/>
              <w:ind w:left="227" w:hanging="227"/>
            </w:pPr>
            <w:r>
              <w:rPr>
                <w:rFonts w:ascii="Helvetica Neue" w:hAnsi="Helvetica Neue"/>
                <w:b/>
                <w:color w:val="2662FF"/>
                <w:sz w:val="17"/>
              </w:rPr>
              <w:t xml:space="preserve">③  </w:t>
            </w:r>
            <w:r>
              <w:rPr>
                <w:rFonts w:ascii="Helvetica Neue" w:hAnsi="Helvetica Neue"/>
                <w:sz w:val="17"/>
              </w:rPr>
              <w:t>Im OB muss eine Confluence (FVG / inverse FVG / BPR) entstehen — darf den OB überlappen.</w:t>
            </w:r>
          </w:p>
          <w:p>
            <w:pPr>
              <w:spacing w:before="0" w:after="40" w:line="269" w:lineRule="auto"/>
              <w:ind w:left="227" w:hanging="227"/>
            </w:pPr>
            <w:r>
              <w:rPr>
                <w:rFonts w:ascii="Helvetica Neue" w:hAnsi="Helvetica Neue"/>
                <w:b/>
                <w:color w:val="2662FF"/>
                <w:sz w:val="17"/>
              </w:rPr>
              <w:t xml:space="preserve">④  </w:t>
            </w:r>
            <w:r>
              <w:rPr>
                <w:rFonts w:ascii="Helvetica Neue" w:hAnsi="Helvetica Neue"/>
                <w:sz w:val="17"/>
              </w:rPr>
              <w:t>BOS RAUS aus der Confluence (nicht aus dem OB).</w:t>
            </w:r>
          </w:p>
          <w:p>
            <w:pPr>
              <w:spacing w:before="0" w:after="40" w:line="269" w:lineRule="auto"/>
              <w:ind w:left="227" w:hanging="227"/>
            </w:pPr>
            <w:r>
              <w:rPr>
                <w:rFonts w:ascii="Helvetica Neue" w:hAnsi="Helvetica Neue"/>
                <w:b/>
                <w:color w:val="2662FF"/>
                <w:sz w:val="17"/>
              </w:rPr>
              <w:t xml:space="preserve">⑤  </w:t>
            </w:r>
            <w:r>
              <w:rPr>
                <w:rFonts w:ascii="Helvetica Neue" w:hAnsi="Helvetica Neue"/>
                <w:sz w:val="17"/>
              </w:rPr>
              <w:t>ENTRY am Close der BOS-Bestätigung.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5 · Stop Loss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Unter dem OB (Long) / über dem OB (Short).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Puffer: 0.5 × ATR(4H).  Beispiel: ATR(4H)=100 → SL = OB-Low − 50.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6 · Take Profits (3 Stufen)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TP1 = 1 : 1 RR  (sichert Break-even).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TP3 = nächste Previous Area of Liquidity (PAL) in Gewinnrichtung.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TP2 = Mitte zwischen TP1 und TP3.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Plausibilität: wenn TP1 ≈ 2 %, dann TP3 ≥ 3 %.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Wenn keine PAL: Fib-Extension auf Daily (Swing-Low → Swing-High → Low vor Entry), Ziele 1.272 / 1.618 / 2.0.</w:t>
            </w:r>
          </w:p>
          <w:p>
            <w:pPr>
              <w:spacing w:before="80" w:after="40" w:line="269" w:lineRule="auto"/>
            </w:pPr>
            <w:r>
              <w:rPr>
                <w:rFonts w:ascii="Helvetica Neue" w:hAnsi="Helvetica Neue"/>
                <w:b/>
                <w:color w:val="0D47A1"/>
                <w:sz w:val="21"/>
              </w:rPr>
              <w:t>7 · Risk Management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1 % Risk pro Trade ($100 bei $10k Account).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Partial-Close: 33 / 33 / 34 %.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Nach TP1 Treffer: SL auf Break-even.</w:t>
            </w:r>
          </w:p>
          <w:p>
            <w:pPr>
              <w:spacing w:before="0" w:after="40" w:line="269" w:lineRule="auto"/>
              <w:ind w:left="227"/>
            </w:pPr>
            <w:r>
              <w:rPr>
                <w:rFonts w:ascii="Helvetica Neue" w:hAnsi="Helvetica Neue"/>
                <w:sz w:val="17"/>
              </w:rPr>
              <w:t>•  Daily Kill-Switch: −3 % Tagesverlust → Stopp.</w:t>
            </w:r>
          </w:p>
        </w:tc>
      </w:tr>
    </w:tbl>
    <w:p>
      <w:pPr>
        <w:spacing w:before="80" w:after="40" w:line="269" w:lineRule="auto"/>
      </w:pPr>
    </w:p>
    <w:p>
      <w:pPr>
        <w:spacing w:before="0" w:after="40" w:line="269" w:lineRule="auto"/>
        <w:jc w:val="center"/>
      </w:pPr>
      <w:r>
        <w:rPr>
          <w:rFonts w:ascii="Helvetica Neue" w:hAnsi="Helvetica Neue"/>
          <w:i/>
          <w:color w:val="555555"/>
          <w:sz w:val="17"/>
        </w:rPr>
        <w:t>Weekly Bias → Daily Sweep → 4H Order Block → 1H raus/rein/FVG/BOS → Entry → SL/TPs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