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9) Preparen una lista de “datos no proporcionados” (si es que los hay) que consideren que son necesarios para elaborar los casos de prueba. Y dado que probablemente no tendremos tiempo de averiguar las respuestas en esta oportunidad, anoten las premisas que tomarán para tal fin.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Fila 2, HU1: La documentación no aclara</w:t>
      </w:r>
      <w:r w:rsidDel="00000000" w:rsidR="00000000" w:rsidRPr="00000000">
        <w:rPr>
          <w:sz w:val="23"/>
          <w:szCs w:val="23"/>
          <w:highlight w:val="white"/>
          <w:rtl w:val="0"/>
        </w:rPr>
        <w:t xml:space="preserve"> el mensaje de error que debería desplegarse. Se utiliza "Ingrese un email válido" con letras rojas en el campo de email.</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3"/>
          <w:szCs w:val="23"/>
          <w:highlight w:val="white"/>
        </w:rPr>
      </w:pPr>
      <w:r w:rsidDel="00000000" w:rsidR="00000000" w:rsidRPr="00000000">
        <w:rPr>
          <w:sz w:val="24"/>
          <w:szCs w:val="24"/>
          <w:rtl w:val="0"/>
        </w:rPr>
        <w:t xml:space="preserve">Fila 3: HU1: </w:t>
      </w:r>
      <w:r w:rsidDel="00000000" w:rsidR="00000000" w:rsidRPr="00000000">
        <w:rPr>
          <w:sz w:val="24"/>
          <w:szCs w:val="24"/>
          <w:rtl w:val="0"/>
        </w:rPr>
        <w:t xml:space="preserve">La documentación no aclara</w:t>
      </w:r>
      <w:r w:rsidDel="00000000" w:rsidR="00000000" w:rsidRPr="00000000">
        <w:rPr>
          <w:sz w:val="23"/>
          <w:szCs w:val="23"/>
          <w:highlight w:val="white"/>
          <w:rtl w:val="0"/>
        </w:rPr>
        <w:t xml:space="preserve"> el mensaje de error que debería desplegarse. Se utiliza "Por favor, complete todos los campos requeridos" con letras rojas y no permite finalizar el registro.</w:t>
      </w:r>
    </w:p>
    <w:p w:rsidR="00000000" w:rsidDel="00000000" w:rsidP="00000000" w:rsidRDefault="00000000" w:rsidRPr="00000000" w14:paraId="00000006">
      <w:pPr>
        <w:rPr>
          <w:sz w:val="23"/>
          <w:szCs w:val="23"/>
          <w:highlight w:val="white"/>
        </w:rPr>
      </w:pP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sz w:val="23"/>
          <w:szCs w:val="23"/>
          <w:highlight w:val="white"/>
          <w:rtl w:val="0"/>
        </w:rPr>
        <w:t xml:space="preserve">Fila 7: HU5: </w:t>
      </w:r>
      <w:r w:rsidDel="00000000" w:rsidR="00000000" w:rsidRPr="00000000">
        <w:rPr>
          <w:sz w:val="24"/>
          <w:szCs w:val="24"/>
          <w:rtl w:val="0"/>
        </w:rPr>
        <w:t xml:space="preserve">La documentación no aclara</w:t>
      </w:r>
      <w:r w:rsidDel="00000000" w:rsidR="00000000" w:rsidRPr="00000000">
        <w:rPr>
          <w:sz w:val="23"/>
          <w:szCs w:val="23"/>
          <w:highlight w:val="white"/>
          <w:rtl w:val="0"/>
        </w:rPr>
        <w:t xml:space="preserve"> el mensaje de error que debería desplegarse. Se utiliza el mensaje de error "Por favor, complete todos los campos requeridos" con letras rojas y no permite finalizar el inicio de sesión.</w:t>
      </w:r>
    </w:p>
    <w:p w:rsidR="00000000" w:rsidDel="00000000" w:rsidP="00000000" w:rsidRDefault="00000000" w:rsidRPr="00000000" w14:paraId="00000008">
      <w:pPr>
        <w:rPr>
          <w:sz w:val="23"/>
          <w:szCs w:val="23"/>
          <w:highlight w:val="whit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Fila 18, HU8 (confirmar nº TC): La documentación no aclara qué sucede cuando el cliente intenta crear una cuarta cuenta, teniendo en consideración que el límite son tres por usuario. Inferimos que debe anular la opción de crear una cuenta nueva.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Fila 19, HU10 (confirmar nº TC): La documentación no aclara a quién debe transferirse el dinero para poder cumplir con el criterio de aceptación. Se realizará la transferencia entre dos cuentas del mismo usuario para tomar como verificado el caso de prueba. Por su parte, no se indica el monto de la transferencia, así que se tomará un monto de $20.000. Tampoco se aclara el mensaje que enviará el sistema, por lo cuál se tomará el texto genérico: “Operación realizada con éxito”.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Fila 21, HU10: La documentación no aclara cuáles son los campos obligatorios para realizar la transferencia y esto tampoco se indica en la página. Se infiere que los datos obligatorios son: Cuenta origen, cuenta destino y monto.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Fila 22, HU8: La documentación no hace referencia a la forma en la que se debe eliminar una caja de ahorros de la cuenta de un cliente. Se realizó un smoke test y se extrajeron los pasos de la página para efectuar el caso de prueba.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Fila 23, HU10: La documentación no hace referencia a la forma en la que se debe descargar los resúmenes de transacciones de la cuenta de un cliente. Se realizó un smoke test y se extrajeron los pasos de la página para efectuar el caso de prueba.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Fila 25, HU10: La documentación no hace referencia a este tipo de operación. Se realizó un smoke test y se extrajeron los pasos de la página para efectuar el caso de prueba.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Fila 31, HU3: La documentación no hace referencia a este tipo de operación. Se realizó un smoke test y se extrajeron los pasos de la página para efectuar el caso de prueba.</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Fila 34, HU11: La documentación no hace referencia a este tipo de operación. Se realizó un smoke test y se dispuso que el sistema debe enviar el mensaje “Operación exitosa” luego de efectuar la operación.</w:t>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