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Livret d’accueil</w:t>
      </w:r>
    </w:p>
    <w:p>
      <w:r>
        <w:t xml:space="preserve">Bienvenue chez </w:t>
      </w:r>
      <w:r>
        <w:rPr>
          <w:b/>
        </w:rPr>
        <w:t>Lumen &amp; Co</w:t>
      </w:r>
      <w:r>
        <w:t xml:space="preserve"> ! Ce livret explique </w:t>
      </w:r>
      <w:r>
        <w:rPr>
          <w:i/>
        </w:rPr>
        <w:t>comment nous travaillons</w:t>
      </w:r>
      <w:r>
        <w:t>.</w:t>
      </w:r>
    </w:p>
    <w:p>
      <w:pPr>
        <w:pStyle w:val="Heading1"/>
      </w:pPr>
      <w:r>
        <w:t>Votre première semaine</w:t>
      </w:r>
    </w:p>
    <w:p>
      <w:pPr>
        <w:pStyle w:val="ListBullet"/>
      </w:pPr>
      <w:r>
        <w:t>Récupérer votre badge</w:t>
      </w:r>
    </w:p>
    <w:p>
      <w:pPr>
        <w:pStyle w:val="ListBullet"/>
      </w:pPr>
      <w:r>
        <w:t>Lire le règlement intérieur</w:t>
      </w:r>
    </w:p>
    <w:p>
      <w:pPr>
        <w:pStyle w:val="ListBullet2"/>
      </w:pPr>
      <w:r>
        <w:t>Signer la charte informatique</w:t>
      </w:r>
    </w:p>
    <w:p>
      <w:pPr>
        <w:pStyle w:val="Heading2"/>
      </w:pPr>
      <w:r>
        <w:t>Horaires</w:t>
      </w:r>
    </w:p>
    <w:p>
      <w:pPr>
        <w:pStyle w:val="ListNumber"/>
      </w:pPr>
      <w:r>
        <w:t>Arrivée avant 10 h</w:t>
      </w:r>
    </w:p>
    <w:p>
      <w:pPr>
        <w:pStyle w:val="ListNumber"/>
      </w:pPr>
      <w:r>
        <w:t>Départ après 16 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Pour</w:t>
            </w:r>
          </w:p>
        </w:tc>
        <w:tc>
          <w:tcPr>
            <w:tcW w:type="dxa" w:w="4320"/>
          </w:tcPr>
          <w:p>
            <w:r>
              <w:t>Demander à</w:t>
            </w:r>
          </w:p>
        </w:tc>
      </w:tr>
      <w:tr>
        <w:tc>
          <w:tcPr>
            <w:tcW w:type="dxa" w:w="4320"/>
          </w:tcPr>
          <w:p>
            <w:r>
              <w:t>Congés</w:t>
            </w:r>
          </w:p>
        </w:tc>
        <w:tc>
          <w:tcPr>
            <w:tcW w:type="dxa" w:w="4320"/>
          </w:tcPr>
          <w:p>
            <w:r>
              <w:t>Votre responsable</w:t>
            </w:r>
          </w:p>
        </w:tc>
      </w:tr>
      <w:tr>
        <w:tc>
          <w:tcPr>
            <w:tcW w:type="dxa" w:w="4320"/>
          </w:tcPr>
          <w:p>
            <w:r>
              <w:t>Wi-Fi</w:t>
            </w:r>
          </w:p>
        </w:tc>
        <w:tc>
          <w:tcPr>
            <w:tcW w:type="dxa" w:w="4320"/>
          </w:tcPr>
          <w:p>
            <w:r>
              <w:t>Tom</w:t>
            </w:r>
          </w:p>
        </w:tc>
      </w:tr>
    </w:tbl>
    <w:p>
      <w:r>
        <w:t>Le plan des locaux :</w:t>
      </w:r>
    </w:p>
    <w:p>
      <w:r>
        <w:drawing>
          <wp:inline xmlns:a="http://schemas.openxmlformats.org/drawingml/2006/main" xmlns:pic="http://schemas.openxmlformats.org/drawingml/2006/picture">
            <wp:extent cx="109728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et-accueil.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Textes officiels : </w:t>
      </w:r>
      <w:hyperlink r:id="rId10">
        <w:r>
          <w:t>service-public.fr</w:t>
        </w:r>
      </w:hyperlink>
    </w:p>
    <w:p>
      <w:r>
        <w:t>Une ligne</w:t>
      </w:r>
      <w:r>
        <w:br/>
      </w:r>
      <w:r>
        <w:t xml:space="preserve">puis la suivante, </w:t>
      </w:r>
      <w:r>
        <w:rPr>
          <w:strike/>
        </w:rPr>
        <w:t>barrée</w:t>
      </w:r>
    </w:p>
    <w:p>
      <w:pPr>
        <w:pStyle w:val="Quote"/>
      </w:pPr>
      <w:r>
        <w:t>Citation du fondateur.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service-public.f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d’accueil (propriétés)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