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B29E9" w14:textId="77777777" w:rsidR="00CF5611" w:rsidRDefault="00CF5611" w:rsidP="008F269D">
      <w:pPr>
        <w:pStyle w:val="Title"/>
        <w:jc w:val="right"/>
        <w:rPr>
          <w:lang w:val="en-US"/>
        </w:rPr>
      </w:pPr>
      <w:r>
        <w:rPr>
          <w:lang w:val="en-US"/>
        </w:rPr>
        <w:t>ICEG</w:t>
      </w:r>
    </w:p>
    <w:p w14:paraId="6AA3AB21" w14:textId="77777777" w:rsidR="008F269D" w:rsidRPr="0057762C" w:rsidRDefault="00CF5611" w:rsidP="008F269D">
      <w:pPr>
        <w:pStyle w:val="Title"/>
        <w:jc w:val="right"/>
        <w:rPr>
          <w:sz w:val="44"/>
          <w:lang w:val="en-US"/>
        </w:rPr>
      </w:pPr>
      <w:r w:rsidRPr="0057762C">
        <w:rPr>
          <w:sz w:val="44"/>
          <w:lang w:val="en-US"/>
        </w:rPr>
        <w:t>Charter -</w:t>
      </w:r>
      <w:r w:rsidR="008F269D" w:rsidRPr="0057762C">
        <w:rPr>
          <w:sz w:val="44"/>
          <w:lang w:val="en-US"/>
        </w:rPr>
        <w:t xml:space="preserve">URI strategy </w:t>
      </w:r>
    </w:p>
    <w:p w14:paraId="23E908E0" w14:textId="77777777" w:rsidR="00D54E3A" w:rsidRPr="008F269D" w:rsidRDefault="00D54E3A" w:rsidP="0057762C">
      <w:pPr>
        <w:pStyle w:val="Heading3"/>
        <w:rPr>
          <w:lang w:val="en-US"/>
        </w:rPr>
      </w:pPr>
      <w:r w:rsidRPr="008F269D">
        <w:rPr>
          <w:lang w:val="en-US"/>
        </w:rPr>
        <w:t>1 OVER</w:t>
      </w:r>
      <w:r w:rsidR="00125A95" w:rsidRPr="008F269D">
        <w:rPr>
          <w:lang w:val="en-US"/>
        </w:rPr>
        <w:t>VIEW</w:t>
      </w:r>
    </w:p>
    <w:p w14:paraId="3E0644D4" w14:textId="77777777" w:rsidR="00125A95" w:rsidRPr="008F269D" w:rsidRDefault="00125A95" w:rsidP="00125A9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125A95" w:rsidRPr="008F269D" w14:paraId="2E68ACBF" w14:textId="77777777" w:rsidTr="00125A95">
        <w:tc>
          <w:tcPr>
            <w:tcW w:w="2547" w:type="dxa"/>
          </w:tcPr>
          <w:p w14:paraId="118B4F7C" w14:textId="77777777" w:rsidR="00125A95" w:rsidRPr="008F269D" w:rsidRDefault="00125A95" w:rsidP="00125A95">
            <w:pPr>
              <w:rPr>
                <w:lang w:val="en-US"/>
              </w:rPr>
            </w:pPr>
            <w:r w:rsidRPr="008F269D">
              <w:rPr>
                <w:lang w:val="en-US"/>
              </w:rPr>
              <w:t>Start date</w:t>
            </w:r>
          </w:p>
        </w:tc>
        <w:tc>
          <w:tcPr>
            <w:tcW w:w="6515" w:type="dxa"/>
          </w:tcPr>
          <w:p w14:paraId="2875130D" w14:textId="77777777" w:rsidR="00125A95" w:rsidRPr="008F269D" w:rsidRDefault="00142942" w:rsidP="00125A9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8F269D">
              <w:rPr>
                <w:lang w:val="en-US"/>
              </w:rPr>
              <w:t>eptember</w:t>
            </w:r>
            <w:r>
              <w:rPr>
                <w:lang w:val="en-US"/>
              </w:rPr>
              <w:t xml:space="preserve"> 1</w:t>
            </w:r>
            <w:r w:rsidRPr="0057762C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, </w:t>
            </w:r>
            <w:r w:rsidRPr="008F269D">
              <w:rPr>
                <w:lang w:val="en-US"/>
              </w:rPr>
              <w:t xml:space="preserve"> </w:t>
            </w:r>
            <w:r w:rsidR="00125A95" w:rsidRPr="008F269D">
              <w:rPr>
                <w:lang w:val="en-US"/>
              </w:rPr>
              <w:t>2019</w:t>
            </w:r>
          </w:p>
        </w:tc>
      </w:tr>
      <w:tr w:rsidR="00125A95" w:rsidRPr="008F269D" w14:paraId="1E10BAF7" w14:textId="77777777" w:rsidTr="00125A95">
        <w:tc>
          <w:tcPr>
            <w:tcW w:w="2547" w:type="dxa"/>
          </w:tcPr>
          <w:p w14:paraId="00B7D8C2" w14:textId="77777777" w:rsidR="00125A95" w:rsidRPr="008F269D" w:rsidRDefault="00125A95" w:rsidP="00125A95">
            <w:pPr>
              <w:rPr>
                <w:lang w:val="en-US"/>
              </w:rPr>
            </w:pPr>
            <w:r w:rsidRPr="008F269D">
              <w:rPr>
                <w:lang w:val="en-US"/>
              </w:rPr>
              <w:t>End date</w:t>
            </w:r>
          </w:p>
        </w:tc>
        <w:tc>
          <w:tcPr>
            <w:tcW w:w="6515" w:type="dxa"/>
          </w:tcPr>
          <w:p w14:paraId="280334E3" w14:textId="77777777" w:rsidR="00125A95" w:rsidRPr="008F269D" w:rsidRDefault="00125A95" w:rsidP="00125A95">
            <w:pPr>
              <w:rPr>
                <w:lang w:val="en-US"/>
              </w:rPr>
            </w:pPr>
            <w:r w:rsidRPr="008F269D">
              <w:rPr>
                <w:lang w:val="en-US"/>
              </w:rPr>
              <w:t>March 2019</w:t>
            </w:r>
          </w:p>
        </w:tc>
      </w:tr>
      <w:tr w:rsidR="00125A95" w:rsidRPr="008F269D" w14:paraId="2E99C179" w14:textId="77777777" w:rsidTr="00125A95">
        <w:tc>
          <w:tcPr>
            <w:tcW w:w="2547" w:type="dxa"/>
          </w:tcPr>
          <w:p w14:paraId="02E15430" w14:textId="77777777" w:rsidR="00125A95" w:rsidRPr="008F269D" w:rsidRDefault="00125A95" w:rsidP="00125A95">
            <w:pPr>
              <w:rPr>
                <w:lang w:val="en-US"/>
              </w:rPr>
            </w:pPr>
            <w:r w:rsidRPr="008F269D">
              <w:rPr>
                <w:lang w:val="en-US"/>
              </w:rPr>
              <w:t>President</w:t>
            </w:r>
          </w:p>
        </w:tc>
        <w:tc>
          <w:tcPr>
            <w:tcW w:w="6515" w:type="dxa"/>
          </w:tcPr>
          <w:p w14:paraId="196764FB" w14:textId="77777777" w:rsidR="00125A95" w:rsidRPr="008F269D" w:rsidRDefault="00125A95" w:rsidP="00125A95">
            <w:pPr>
              <w:rPr>
                <w:lang w:val="en-US"/>
              </w:rPr>
            </w:pPr>
          </w:p>
        </w:tc>
      </w:tr>
      <w:tr w:rsidR="00125A95" w:rsidRPr="008F269D" w14:paraId="5DABED56" w14:textId="77777777" w:rsidTr="00125A95">
        <w:tc>
          <w:tcPr>
            <w:tcW w:w="2547" w:type="dxa"/>
          </w:tcPr>
          <w:p w14:paraId="5BA00E58" w14:textId="77777777" w:rsidR="00125A95" w:rsidRPr="008F269D" w:rsidRDefault="00125A95" w:rsidP="00125A95">
            <w:pPr>
              <w:rPr>
                <w:lang w:val="en-US"/>
              </w:rPr>
            </w:pPr>
            <w:r w:rsidRPr="008F269D">
              <w:rPr>
                <w:lang w:val="en-US"/>
              </w:rPr>
              <w:t>Project</w:t>
            </w:r>
            <w:r w:rsidR="00142942">
              <w:rPr>
                <w:lang w:val="en-US"/>
              </w:rPr>
              <w:t xml:space="preserve"> </w:t>
            </w:r>
            <w:r w:rsidRPr="008F269D">
              <w:rPr>
                <w:lang w:val="en-US"/>
              </w:rPr>
              <w:t>team</w:t>
            </w:r>
          </w:p>
        </w:tc>
        <w:tc>
          <w:tcPr>
            <w:tcW w:w="6515" w:type="dxa"/>
          </w:tcPr>
          <w:p w14:paraId="26531DD3" w14:textId="77777777" w:rsidR="00125A95" w:rsidRPr="008F269D" w:rsidRDefault="00125A95" w:rsidP="008F269D">
            <w:pPr>
              <w:rPr>
                <w:lang w:val="en-US"/>
              </w:rPr>
            </w:pPr>
          </w:p>
        </w:tc>
      </w:tr>
      <w:tr w:rsidR="00125A95" w:rsidRPr="00C24542" w14:paraId="1618EA4F" w14:textId="77777777" w:rsidTr="00125A95">
        <w:tc>
          <w:tcPr>
            <w:tcW w:w="2547" w:type="dxa"/>
          </w:tcPr>
          <w:p w14:paraId="27BCD33C" w14:textId="77777777" w:rsidR="00125A95" w:rsidRPr="008F269D" w:rsidRDefault="008F269D" w:rsidP="00125A95">
            <w:pPr>
              <w:rPr>
                <w:lang w:val="en-US"/>
              </w:rPr>
            </w:pPr>
            <w:r w:rsidRPr="008F269D">
              <w:rPr>
                <w:lang w:val="en-US"/>
              </w:rPr>
              <w:t>Planned activities</w:t>
            </w:r>
          </w:p>
        </w:tc>
        <w:tc>
          <w:tcPr>
            <w:tcW w:w="6515" w:type="dxa"/>
          </w:tcPr>
          <w:p w14:paraId="12007A38" w14:textId="77777777" w:rsidR="008F269D" w:rsidRPr="008F269D" w:rsidRDefault="008F269D" w:rsidP="008F269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8F269D">
              <w:rPr>
                <w:lang w:val="en-US"/>
              </w:rPr>
              <w:t>3 public workshops</w:t>
            </w:r>
          </w:p>
          <w:p w14:paraId="375D6C85" w14:textId="77777777" w:rsidR="00125A95" w:rsidRPr="008F269D" w:rsidRDefault="008F269D" w:rsidP="008F269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8F269D">
              <w:rPr>
                <w:lang w:val="en-US"/>
              </w:rPr>
              <w:t>Webcast at the end of the public review period</w:t>
            </w:r>
          </w:p>
        </w:tc>
      </w:tr>
      <w:tr w:rsidR="00125A95" w:rsidRPr="008F269D" w14:paraId="2B097A6E" w14:textId="77777777" w:rsidTr="00125A95">
        <w:tc>
          <w:tcPr>
            <w:tcW w:w="2547" w:type="dxa"/>
          </w:tcPr>
          <w:p w14:paraId="54E190D2" w14:textId="77777777" w:rsidR="00125A95" w:rsidRPr="008F269D" w:rsidRDefault="008F269D" w:rsidP="00125A95">
            <w:pPr>
              <w:rPr>
                <w:lang w:val="en-US"/>
              </w:rPr>
            </w:pPr>
            <w:r w:rsidRPr="008F269D">
              <w:rPr>
                <w:lang w:val="en-US"/>
              </w:rPr>
              <w:t>Decision</w:t>
            </w:r>
            <w:r>
              <w:rPr>
                <w:lang w:val="en-US"/>
              </w:rPr>
              <w:t xml:space="preserve"> </w:t>
            </w:r>
            <w:r w:rsidRPr="008F269D">
              <w:rPr>
                <w:lang w:val="en-US"/>
              </w:rPr>
              <w:t>criterion</w:t>
            </w:r>
          </w:p>
        </w:tc>
        <w:tc>
          <w:tcPr>
            <w:tcW w:w="6515" w:type="dxa"/>
          </w:tcPr>
          <w:p w14:paraId="6C7DA400" w14:textId="77777777" w:rsidR="00125A95" w:rsidRPr="008F269D" w:rsidRDefault="008F269D" w:rsidP="00125A95">
            <w:pPr>
              <w:rPr>
                <w:lang w:val="en-US"/>
              </w:rPr>
            </w:pPr>
            <w:proofErr w:type="spellStart"/>
            <w:r w:rsidRPr="008F269D">
              <w:rPr>
                <w:lang w:val="en-US"/>
              </w:rPr>
              <w:t>Unamity</w:t>
            </w:r>
            <w:proofErr w:type="spellEnd"/>
            <w:r w:rsidRPr="008F269D">
              <w:rPr>
                <w:lang w:val="en-US"/>
              </w:rPr>
              <w:t xml:space="preserve"> </w:t>
            </w:r>
            <w:r>
              <w:rPr>
                <w:lang w:val="en-US"/>
              </w:rPr>
              <w:t>minus one (U-1)</w:t>
            </w:r>
          </w:p>
        </w:tc>
      </w:tr>
      <w:tr w:rsidR="00125A95" w:rsidRPr="00C24542" w14:paraId="3FBC64C1" w14:textId="77777777" w:rsidTr="00125A95">
        <w:tc>
          <w:tcPr>
            <w:tcW w:w="2547" w:type="dxa"/>
          </w:tcPr>
          <w:p w14:paraId="25AA8D21" w14:textId="77777777" w:rsidR="00125A95" w:rsidRPr="008F269D" w:rsidRDefault="008F269D" w:rsidP="00125A95">
            <w:pPr>
              <w:rPr>
                <w:lang w:val="en-US"/>
              </w:rPr>
            </w:pPr>
            <w:r>
              <w:rPr>
                <w:lang w:val="en-US"/>
              </w:rPr>
              <w:t>License</w:t>
            </w:r>
          </w:p>
        </w:tc>
        <w:tc>
          <w:tcPr>
            <w:tcW w:w="6515" w:type="dxa"/>
          </w:tcPr>
          <w:p w14:paraId="1AF4E330" w14:textId="77777777" w:rsidR="008F269D" w:rsidRPr="00CF5611" w:rsidRDefault="008F269D" w:rsidP="00125A95">
            <w:pPr>
              <w:rPr>
                <w:lang w:val="en-US"/>
              </w:rPr>
            </w:pPr>
            <w:r w:rsidRPr="00CF5611">
              <w:rPr>
                <w:lang w:val="en-US"/>
              </w:rPr>
              <w:t>CC0</w:t>
            </w:r>
            <w:r w:rsidR="00F025B1" w:rsidRPr="00CF5611">
              <w:rPr>
                <w:lang w:val="en-US"/>
              </w:rPr>
              <w:t xml:space="preserve"> (</w:t>
            </w:r>
            <w:hyperlink r:id="rId8" w:history="1">
              <w:r w:rsidR="00F025B1" w:rsidRPr="0057762C">
                <w:rPr>
                  <w:rStyle w:val="Hyperlink"/>
                  <w:lang w:val="en-US"/>
                </w:rPr>
                <w:t>https://creativecommons.org/publicdomain/zero/1.0/deed.en</w:t>
              </w:r>
            </w:hyperlink>
            <w:r w:rsidR="00F025B1" w:rsidRPr="0057762C">
              <w:rPr>
                <w:lang w:val="en-US"/>
              </w:rPr>
              <w:t>)</w:t>
            </w:r>
          </w:p>
        </w:tc>
      </w:tr>
      <w:tr w:rsidR="008F269D" w:rsidRPr="008F269D" w14:paraId="7BB4CF18" w14:textId="77777777" w:rsidTr="00125A95">
        <w:tc>
          <w:tcPr>
            <w:tcW w:w="2547" w:type="dxa"/>
          </w:tcPr>
          <w:p w14:paraId="3972226C" w14:textId="77777777" w:rsidR="008F269D" w:rsidRDefault="008F269D" w:rsidP="00125A95">
            <w:pPr>
              <w:rPr>
                <w:lang w:val="en-US"/>
              </w:rPr>
            </w:pPr>
            <w:r>
              <w:rPr>
                <w:lang w:val="en-US"/>
              </w:rPr>
              <w:t>Location documentation</w:t>
            </w:r>
          </w:p>
        </w:tc>
        <w:tc>
          <w:tcPr>
            <w:tcW w:w="6515" w:type="dxa"/>
          </w:tcPr>
          <w:p w14:paraId="6A9F48B2" w14:textId="77777777" w:rsidR="008F269D" w:rsidRPr="00CF5611" w:rsidRDefault="00CF5611" w:rsidP="00125A95">
            <w:pPr>
              <w:rPr>
                <w:lang w:val="en-US"/>
              </w:rPr>
            </w:pPr>
            <w:r w:rsidRPr="00CF5611">
              <w:rPr>
                <w:lang w:val="en-US"/>
              </w:rPr>
              <w:t>www.belgif.be</w:t>
            </w:r>
          </w:p>
        </w:tc>
      </w:tr>
      <w:tr w:rsidR="008F269D" w:rsidRPr="008F269D" w14:paraId="640B9431" w14:textId="77777777" w:rsidTr="00125A95">
        <w:tc>
          <w:tcPr>
            <w:tcW w:w="2547" w:type="dxa"/>
          </w:tcPr>
          <w:p w14:paraId="6279C447" w14:textId="77777777" w:rsidR="008F269D" w:rsidRDefault="008F269D" w:rsidP="00125A95">
            <w:pPr>
              <w:rPr>
                <w:lang w:val="en-US"/>
              </w:rPr>
            </w:pPr>
            <w:r>
              <w:rPr>
                <w:lang w:val="en-US"/>
              </w:rPr>
              <w:t>Issue logging</w:t>
            </w:r>
            <w:r w:rsidR="00CF5611">
              <w:rPr>
                <w:lang w:val="en-US"/>
              </w:rPr>
              <w:t>²</w:t>
            </w:r>
          </w:p>
        </w:tc>
        <w:tc>
          <w:tcPr>
            <w:tcW w:w="6515" w:type="dxa"/>
          </w:tcPr>
          <w:p w14:paraId="746BBBAB" w14:textId="77777777" w:rsidR="008F269D" w:rsidRPr="00CF5611" w:rsidRDefault="008F269D" w:rsidP="00125A95">
            <w:pPr>
              <w:rPr>
                <w:i/>
                <w:lang w:val="en-US"/>
              </w:rPr>
            </w:pPr>
            <w:proofErr w:type="spellStart"/>
            <w:r w:rsidRPr="0057762C">
              <w:rPr>
                <w:i/>
                <w:lang w:val="en-US"/>
              </w:rPr>
              <w:t>Github</w:t>
            </w:r>
            <w:proofErr w:type="spellEnd"/>
          </w:p>
        </w:tc>
      </w:tr>
    </w:tbl>
    <w:p w14:paraId="2B410C6B" w14:textId="77777777" w:rsidR="00125A95" w:rsidRPr="008F269D" w:rsidRDefault="00125A95" w:rsidP="00125A95">
      <w:pPr>
        <w:rPr>
          <w:lang w:val="en-US"/>
        </w:rPr>
      </w:pPr>
    </w:p>
    <w:p w14:paraId="79863EEF" w14:textId="77777777" w:rsidR="00927352" w:rsidRDefault="00D54E3A" w:rsidP="004D6D9D">
      <w:pPr>
        <w:pStyle w:val="Heading1"/>
        <w:rPr>
          <w:lang w:val="en-US"/>
        </w:rPr>
      </w:pPr>
      <w:r w:rsidRPr="008F269D">
        <w:rPr>
          <w:lang w:val="en-US"/>
        </w:rPr>
        <w:t xml:space="preserve">2 CONTEXT </w:t>
      </w:r>
    </w:p>
    <w:p w14:paraId="2E293D67" w14:textId="5D61F454" w:rsidR="00EA2D96" w:rsidRDefault="00EA2D96" w:rsidP="004D6D9D">
      <w:pPr>
        <w:rPr>
          <w:lang w:val="en-US"/>
        </w:rPr>
      </w:pPr>
      <w:r>
        <w:rPr>
          <w:lang w:val="en-US"/>
        </w:rPr>
        <w:t xml:space="preserve">Today data has been </w:t>
      </w:r>
      <w:proofErr w:type="spellStart"/>
      <w:r w:rsidR="00142942">
        <w:rPr>
          <w:lang w:val="en-US"/>
        </w:rPr>
        <w:t>recognised</w:t>
      </w:r>
      <w:proofErr w:type="spellEnd"/>
      <w:r w:rsidR="00142942">
        <w:rPr>
          <w:lang w:val="en-US"/>
        </w:rPr>
        <w:t xml:space="preserve"> </w:t>
      </w:r>
      <w:r>
        <w:rPr>
          <w:lang w:val="en-US"/>
        </w:rPr>
        <w:t xml:space="preserve">as a fundamental resource in our (digital) society. </w:t>
      </w:r>
      <w:r w:rsidR="00252CB2">
        <w:rPr>
          <w:lang w:val="en-US"/>
        </w:rPr>
        <w:t>Data is collected, shared</w:t>
      </w:r>
      <w:r w:rsidR="003317FC">
        <w:rPr>
          <w:lang w:val="en-US"/>
        </w:rPr>
        <w:t xml:space="preserve"> and</w:t>
      </w:r>
      <w:r w:rsidR="00252CB2">
        <w:rPr>
          <w:lang w:val="en-US"/>
        </w:rPr>
        <w:t xml:space="preserve"> enriched at increasing speed</w:t>
      </w:r>
      <w:r w:rsidR="00DC068B">
        <w:rPr>
          <w:lang w:val="en-US"/>
        </w:rPr>
        <w:t>s</w:t>
      </w:r>
      <w:r w:rsidR="00252CB2">
        <w:rPr>
          <w:lang w:val="en-US"/>
        </w:rPr>
        <w:t xml:space="preserve"> and amount</w:t>
      </w:r>
      <w:r w:rsidR="00DC068B">
        <w:rPr>
          <w:lang w:val="en-US"/>
        </w:rPr>
        <w:t>s</w:t>
      </w:r>
      <w:r w:rsidR="00252CB2">
        <w:rPr>
          <w:lang w:val="en-US"/>
        </w:rPr>
        <w:t xml:space="preserve">. Datasets </w:t>
      </w:r>
      <w:r w:rsidR="00DC068B">
        <w:rPr>
          <w:lang w:val="en-US"/>
        </w:rPr>
        <w:t xml:space="preserve">not only </w:t>
      </w:r>
      <w:r w:rsidR="00252CB2">
        <w:rPr>
          <w:lang w:val="en-US"/>
        </w:rPr>
        <w:t xml:space="preserve">grow, but also get more interconnected with each other. This applies to all sectors, including the government. </w:t>
      </w:r>
    </w:p>
    <w:p w14:paraId="7F256584" w14:textId="11E71974" w:rsidR="004D6D9D" w:rsidRDefault="00252CB2" w:rsidP="004D6D9D">
      <w:pPr>
        <w:rPr>
          <w:lang w:val="en-US"/>
        </w:rPr>
      </w:pPr>
      <w:r>
        <w:rPr>
          <w:lang w:val="en-US"/>
        </w:rPr>
        <w:t xml:space="preserve">In this web of data, </w:t>
      </w:r>
      <w:r w:rsidR="00DC068B">
        <w:rPr>
          <w:lang w:val="en-US"/>
        </w:rPr>
        <w:t xml:space="preserve">retrieval of </w:t>
      </w:r>
      <w:r>
        <w:rPr>
          <w:lang w:val="en-US"/>
        </w:rPr>
        <w:t xml:space="preserve">information is challenging. </w:t>
      </w:r>
      <w:r w:rsidR="004D6D9D">
        <w:rPr>
          <w:lang w:val="en-US"/>
        </w:rPr>
        <w:t>As the data is often modelled from a specific perspective, it cannot</w:t>
      </w:r>
      <w:r w:rsidR="00DC068B">
        <w:rPr>
          <w:lang w:val="en-US"/>
        </w:rPr>
        <w:t xml:space="preserve"> easily</w:t>
      </w:r>
      <w:r w:rsidR="004D6D9D">
        <w:rPr>
          <w:lang w:val="en-US"/>
        </w:rPr>
        <w:t xml:space="preserve"> be reused by other applications, without </w:t>
      </w:r>
      <w:proofErr w:type="spellStart"/>
      <w:r w:rsidR="004D6D9D">
        <w:rPr>
          <w:lang w:val="en-US"/>
        </w:rPr>
        <w:t>analysing</w:t>
      </w:r>
      <w:proofErr w:type="spellEnd"/>
      <w:r w:rsidR="004D6D9D">
        <w:rPr>
          <w:lang w:val="en-US"/>
        </w:rPr>
        <w:t xml:space="preserve"> and transforming it. This lack of interoperability (</w:t>
      </w:r>
      <w:proofErr w:type="spellStart"/>
      <w:r w:rsidR="004D6D9D">
        <w:rPr>
          <w:lang w:val="en-US"/>
        </w:rPr>
        <w:t>IoP</w:t>
      </w:r>
      <w:proofErr w:type="spellEnd"/>
      <w:r w:rsidR="004D6D9D">
        <w:rPr>
          <w:lang w:val="en-US"/>
        </w:rPr>
        <w:t xml:space="preserve">) is expensive and slows down innovation.  </w:t>
      </w:r>
    </w:p>
    <w:p w14:paraId="58B475A2" w14:textId="22DE072B" w:rsidR="002A3FE9" w:rsidRDefault="004D6D9D" w:rsidP="004D6D9D">
      <w:pPr>
        <w:rPr>
          <w:lang w:val="en-US"/>
        </w:rPr>
      </w:pPr>
      <w:r w:rsidRPr="00332A39">
        <w:rPr>
          <w:lang w:val="en-US"/>
        </w:rPr>
        <w:t xml:space="preserve">The European Commission defines </w:t>
      </w:r>
      <w:proofErr w:type="spellStart"/>
      <w:r w:rsidRPr="00332A39">
        <w:rPr>
          <w:lang w:val="en-US"/>
        </w:rPr>
        <w:t>I</w:t>
      </w:r>
      <w:r>
        <w:rPr>
          <w:lang w:val="en-US"/>
        </w:rPr>
        <w:t>o</w:t>
      </w:r>
      <w:r w:rsidRPr="00332A39">
        <w:rPr>
          <w:lang w:val="en-US"/>
        </w:rPr>
        <w:t>P</w:t>
      </w:r>
      <w:proofErr w:type="spellEnd"/>
      <w:r w:rsidRPr="00332A39">
        <w:rPr>
          <w:lang w:val="en-US"/>
        </w:rPr>
        <w:t xml:space="preserve"> as the ability of </w:t>
      </w:r>
      <w:proofErr w:type="spellStart"/>
      <w:r w:rsidRPr="00332A39">
        <w:rPr>
          <w:lang w:val="en-US"/>
        </w:rPr>
        <w:t>organisations</w:t>
      </w:r>
      <w:proofErr w:type="spellEnd"/>
      <w:r w:rsidRPr="00332A39">
        <w:rPr>
          <w:lang w:val="en-US"/>
        </w:rPr>
        <w:t xml:space="preserve"> to share information and knowledge, through the business processes they support, by exchanging data between their ICT systems (2017).</w:t>
      </w:r>
      <w:r>
        <w:rPr>
          <w:lang w:val="en-US"/>
        </w:rPr>
        <w:t xml:space="preserve"> </w:t>
      </w:r>
      <w:r w:rsidR="005359E1">
        <w:rPr>
          <w:lang w:val="en-US"/>
        </w:rPr>
        <w:t>There does not exist a simple and unique recipe for r</w:t>
      </w:r>
      <w:r>
        <w:rPr>
          <w:lang w:val="en-US"/>
        </w:rPr>
        <w:t xml:space="preserve">aising interoperability, in a complex ecosystem </w:t>
      </w:r>
      <w:r w:rsidR="003317FC">
        <w:rPr>
          <w:lang w:val="en-US"/>
        </w:rPr>
        <w:t xml:space="preserve">with </w:t>
      </w:r>
      <w:r>
        <w:rPr>
          <w:lang w:val="en-US"/>
        </w:rPr>
        <w:t xml:space="preserve">a </w:t>
      </w:r>
      <w:r w:rsidR="00142942">
        <w:rPr>
          <w:lang w:val="en-US"/>
        </w:rPr>
        <w:t xml:space="preserve">large </w:t>
      </w:r>
      <w:r>
        <w:rPr>
          <w:lang w:val="en-US"/>
        </w:rPr>
        <w:t xml:space="preserve">group of heterogeneous stakeholders. </w:t>
      </w:r>
      <w:r w:rsidR="009D50F1">
        <w:rPr>
          <w:lang w:val="en-US"/>
        </w:rPr>
        <w:t>As stated in the European Interoperability Framework, a</w:t>
      </w:r>
      <w:r w:rsidR="002A3FE9">
        <w:rPr>
          <w:lang w:val="en-US"/>
        </w:rPr>
        <w:t xml:space="preserve">greements at different levels, i.e. legislative, </w:t>
      </w:r>
      <w:proofErr w:type="spellStart"/>
      <w:r w:rsidR="00142942">
        <w:rPr>
          <w:lang w:val="en-US"/>
        </w:rPr>
        <w:t>organisational</w:t>
      </w:r>
      <w:proofErr w:type="spellEnd"/>
      <w:r w:rsidR="002A3FE9">
        <w:rPr>
          <w:lang w:val="en-US"/>
        </w:rPr>
        <w:t xml:space="preserve">, semantical and technical, </w:t>
      </w:r>
      <w:r w:rsidR="005359E1">
        <w:rPr>
          <w:lang w:val="en-US"/>
        </w:rPr>
        <w:t xml:space="preserve">are needed to </w:t>
      </w:r>
      <w:r w:rsidR="009D50F1">
        <w:rPr>
          <w:lang w:val="en-US"/>
        </w:rPr>
        <w:t>reduce</w:t>
      </w:r>
      <w:r w:rsidR="002A3FE9">
        <w:rPr>
          <w:lang w:val="en-US"/>
        </w:rPr>
        <w:t xml:space="preserve"> th</w:t>
      </w:r>
      <w:r w:rsidR="009D50F1">
        <w:rPr>
          <w:lang w:val="en-US"/>
        </w:rPr>
        <w:t>e hurdles to</w:t>
      </w:r>
      <w:r w:rsidR="002A3FE9">
        <w:rPr>
          <w:lang w:val="en-US"/>
        </w:rPr>
        <w:t xml:space="preserve"> </w:t>
      </w:r>
      <w:r w:rsidR="0009293E">
        <w:rPr>
          <w:lang w:val="en-US"/>
        </w:rPr>
        <w:t>(re)</w:t>
      </w:r>
      <w:r w:rsidR="009D50F1">
        <w:rPr>
          <w:lang w:val="en-US"/>
        </w:rPr>
        <w:t xml:space="preserve">use data. </w:t>
      </w:r>
    </w:p>
    <w:p w14:paraId="1E11AB49" w14:textId="7197D693" w:rsidR="00CB0B03" w:rsidRDefault="00CB0B03" w:rsidP="004D6D9D">
      <w:pPr>
        <w:rPr>
          <w:lang w:val="en-US"/>
        </w:rPr>
      </w:pPr>
      <w:r>
        <w:rPr>
          <w:lang w:val="en-US"/>
        </w:rPr>
        <w:t xml:space="preserve">Despite the </w:t>
      </w:r>
      <w:proofErr w:type="spellStart"/>
      <w:r w:rsidR="0009293E">
        <w:rPr>
          <w:lang w:val="en-US"/>
        </w:rPr>
        <w:t>IoP</w:t>
      </w:r>
      <w:proofErr w:type="spellEnd"/>
      <w:r w:rsidR="0009293E">
        <w:rPr>
          <w:lang w:val="en-US"/>
        </w:rPr>
        <w:t xml:space="preserve"> challenges, the web of data is emerging. </w:t>
      </w:r>
      <w:r w:rsidR="00D33B80">
        <w:rPr>
          <w:lang w:val="en-US"/>
        </w:rPr>
        <w:t xml:space="preserve">Of all the different approaches, the most successful is the World Wide Web invented by Tim Berners-Lee. It is a living example </w:t>
      </w:r>
      <w:r w:rsidR="00142942">
        <w:rPr>
          <w:lang w:val="en-US"/>
        </w:rPr>
        <w:t xml:space="preserve">of </w:t>
      </w:r>
      <w:r w:rsidR="00D33B80">
        <w:rPr>
          <w:lang w:val="en-US"/>
        </w:rPr>
        <w:t xml:space="preserve">how documents are </w:t>
      </w:r>
      <w:r w:rsidR="00D33B80" w:rsidRPr="00D33B80">
        <w:rPr>
          <w:lang w:val="en-US"/>
        </w:rPr>
        <w:t xml:space="preserve">connected </w:t>
      </w:r>
      <w:r w:rsidR="00D33B80">
        <w:rPr>
          <w:lang w:val="en-US"/>
        </w:rPr>
        <w:t xml:space="preserve">forming </w:t>
      </w:r>
      <w:r w:rsidR="00D33B80" w:rsidRPr="00D33B80">
        <w:rPr>
          <w:lang w:val="en-US"/>
        </w:rPr>
        <w:t>a</w:t>
      </w:r>
      <w:r w:rsidR="00D33B80">
        <w:rPr>
          <w:lang w:val="en-US"/>
        </w:rPr>
        <w:t xml:space="preserve">n enormous </w:t>
      </w:r>
      <w:r w:rsidR="00D33B80" w:rsidRPr="00D33B80">
        <w:rPr>
          <w:lang w:val="en-US"/>
        </w:rPr>
        <w:t>distributed</w:t>
      </w:r>
      <w:r w:rsidR="00D33B80">
        <w:rPr>
          <w:lang w:val="en-US"/>
        </w:rPr>
        <w:t xml:space="preserve"> web. The key to its success is the ability to combine in a simple and cheap process documents together, namely by using  dereferenceable</w:t>
      </w:r>
      <w:r w:rsidR="0044497F">
        <w:rPr>
          <w:rStyle w:val="FootnoteReference"/>
          <w:lang w:val="en-US"/>
        </w:rPr>
        <w:footnoteReference w:id="1"/>
      </w:r>
      <w:r w:rsidR="00D33B80">
        <w:rPr>
          <w:lang w:val="en-US"/>
        </w:rPr>
        <w:t xml:space="preserve"> </w:t>
      </w:r>
      <w:r w:rsidR="005359E1">
        <w:rPr>
          <w:lang w:val="en-US"/>
        </w:rPr>
        <w:t xml:space="preserve">identifiers </w:t>
      </w:r>
      <w:r w:rsidR="00D33B80">
        <w:rPr>
          <w:lang w:val="en-US"/>
        </w:rPr>
        <w:t xml:space="preserve">for documents: </w:t>
      </w:r>
      <w:r w:rsidR="005359E1">
        <w:rPr>
          <w:lang w:val="en-US"/>
        </w:rPr>
        <w:t>URI’s</w:t>
      </w:r>
      <w:r w:rsidR="00D33B80">
        <w:rPr>
          <w:lang w:val="en-US"/>
        </w:rPr>
        <w:t>.  At the start of the millennium, Tim Berners-Lee</w:t>
      </w:r>
      <w:r w:rsidR="00601B35">
        <w:rPr>
          <w:lang w:val="en-US"/>
        </w:rPr>
        <w:t xml:space="preserve">’s </w:t>
      </w:r>
      <w:r w:rsidR="00D33B80">
        <w:rPr>
          <w:lang w:val="en-US"/>
        </w:rPr>
        <w:t xml:space="preserve">original idea </w:t>
      </w:r>
      <w:r w:rsidR="00601B35">
        <w:rPr>
          <w:lang w:val="en-US"/>
        </w:rPr>
        <w:t xml:space="preserve">is applied not to documents, but data. The Web of (Linked) Data emerges. </w:t>
      </w:r>
    </w:p>
    <w:p w14:paraId="26E4C46C" w14:textId="77777777" w:rsidR="00601B35" w:rsidRDefault="00601B35" w:rsidP="00601B35">
      <w:pPr>
        <w:rPr>
          <w:lang w:val="en-US"/>
        </w:rPr>
      </w:pPr>
      <w:r>
        <w:rPr>
          <w:lang w:val="en-US"/>
        </w:rPr>
        <w:t xml:space="preserve">The to-be-designed </w:t>
      </w:r>
      <w:r w:rsidRPr="005A21F7">
        <w:rPr>
          <w:b/>
          <w:lang w:val="en-US"/>
        </w:rPr>
        <w:t>URI strategy</w:t>
      </w:r>
      <w:r>
        <w:rPr>
          <w:lang w:val="en-US"/>
        </w:rPr>
        <w:t xml:space="preserve"> will contain a set of rules for dereferenceable identifiers for data. </w:t>
      </w:r>
      <w:r w:rsidR="0044497F">
        <w:rPr>
          <w:lang w:val="en-US"/>
        </w:rPr>
        <w:t>URIs that implement these rules yield more trust, and therefore</w:t>
      </w:r>
      <w:r w:rsidR="00142942">
        <w:rPr>
          <w:lang w:val="en-US"/>
        </w:rPr>
        <w:t>,</w:t>
      </w:r>
      <w:r w:rsidR="0044497F">
        <w:rPr>
          <w:lang w:val="en-US"/>
        </w:rPr>
        <w:t xml:space="preserve"> the data that is built with them will be more trusted.</w:t>
      </w:r>
      <w:r w:rsidR="00B23014">
        <w:rPr>
          <w:lang w:val="en-US"/>
        </w:rPr>
        <w:t xml:space="preserve"> The existence of the URI strategy facilitates uptake as implementations and tools can be reused. </w:t>
      </w:r>
    </w:p>
    <w:p w14:paraId="31501FDA" w14:textId="77777777" w:rsidR="00D41393" w:rsidRDefault="00D41393" w:rsidP="00601B35">
      <w:pPr>
        <w:rPr>
          <w:lang w:val="en-US"/>
        </w:rPr>
      </w:pPr>
      <w:r>
        <w:rPr>
          <w:lang w:val="en-US"/>
        </w:rPr>
        <w:lastRenderedPageBreak/>
        <w:t xml:space="preserve">As the URI strategy is part of the universal problem of identification of entities in the web of data, the URI strategy will discuss the scope of application. </w:t>
      </w:r>
      <w:r w:rsidR="00B23014">
        <w:rPr>
          <w:lang w:val="en-US"/>
        </w:rPr>
        <w:t>This includes notions as persistency, accessibility, versioning, etc.</w:t>
      </w:r>
    </w:p>
    <w:p w14:paraId="69E2C602" w14:textId="77777777" w:rsidR="00601B35" w:rsidRDefault="00D41393" w:rsidP="00D41393">
      <w:pPr>
        <w:pStyle w:val="Heading2"/>
        <w:rPr>
          <w:lang w:val="en-US"/>
        </w:rPr>
      </w:pPr>
      <w:r>
        <w:rPr>
          <w:lang w:val="en-US"/>
        </w:rPr>
        <w:t xml:space="preserve">Background information </w:t>
      </w:r>
    </w:p>
    <w:p w14:paraId="3BD3366F" w14:textId="77777777" w:rsidR="00B23014" w:rsidRPr="00B23014" w:rsidRDefault="00B23014" w:rsidP="00B23014">
      <w:pPr>
        <w:rPr>
          <w:lang w:val="en-US"/>
        </w:rPr>
      </w:pPr>
      <w:r>
        <w:rPr>
          <w:lang w:val="en-US"/>
        </w:rPr>
        <w:t>The following documents are starting points for the discussion</w:t>
      </w:r>
    </w:p>
    <w:p w14:paraId="30DC15E5" w14:textId="769C3E86" w:rsidR="00D41393" w:rsidRPr="00CF5611" w:rsidRDefault="005F7F84" w:rsidP="005F7F84">
      <w:pPr>
        <w:pStyle w:val="ListParagraph"/>
        <w:numPr>
          <w:ilvl w:val="0"/>
          <w:numId w:val="5"/>
        </w:numPr>
        <w:rPr>
          <w:lang w:val="en-US"/>
        </w:rPr>
      </w:pPr>
      <w:r w:rsidRPr="005F7F84">
        <w:rPr>
          <w:lang w:val="en-US"/>
        </w:rPr>
        <w:t xml:space="preserve">The Vlaamse URI strategy, </w:t>
      </w:r>
      <w:hyperlink r:id="rId9" w:history="1">
        <w:r w:rsidR="00FA388E" w:rsidRPr="000B2439">
          <w:rPr>
            <w:rStyle w:val="Hyperlink"/>
            <w:lang w:val="en-US"/>
          </w:rPr>
          <w:t>https://data.vlaanderen.be/standaarden/erkende-standaarden/vlaamse-uri-standaard-voor-data/uri-standaard.html</w:t>
        </w:r>
      </w:hyperlink>
      <w:r w:rsidR="00FA388E">
        <w:rPr>
          <w:lang w:val="en-US"/>
        </w:rPr>
        <w:t xml:space="preserve"> </w:t>
      </w:r>
      <w:r w:rsidRPr="005F7F84">
        <w:rPr>
          <w:lang w:val="en-US"/>
        </w:rPr>
        <w:t xml:space="preserve">, builds </w:t>
      </w:r>
      <w:bookmarkStart w:id="0" w:name="_GoBack"/>
      <w:bookmarkEnd w:id="0"/>
      <w:r w:rsidRPr="005F7F84">
        <w:rPr>
          <w:lang w:val="en-US"/>
        </w:rPr>
        <w:t>up</w:t>
      </w:r>
      <w:r w:rsidR="00FA388E">
        <w:rPr>
          <w:lang w:val="en-US"/>
        </w:rPr>
        <w:t>o</w:t>
      </w:r>
      <w:r w:rsidRPr="005F7F84">
        <w:rPr>
          <w:lang w:val="en-US"/>
        </w:rPr>
        <w:t>n the best practices of W3C, ISA and experiences in EU other member states.</w:t>
      </w:r>
      <w:r w:rsidR="00CF5611">
        <w:rPr>
          <w:lang w:val="en-US"/>
        </w:rPr>
        <w:t xml:space="preserve"> The URI standard was translated and published by the EC:</w:t>
      </w:r>
      <w:r w:rsidR="00B23014" w:rsidRPr="00CF5611">
        <w:rPr>
          <w:lang w:val="en-US"/>
        </w:rPr>
        <w:t xml:space="preserve"> </w:t>
      </w:r>
      <w:hyperlink r:id="rId10" w:history="1">
        <w:r w:rsidR="00B23014" w:rsidRPr="00CF5611">
          <w:rPr>
            <w:rStyle w:val="Hyperlink"/>
            <w:rFonts w:ascii="Calibri" w:hAnsi="Calibri" w:cs="Calibri"/>
            <w:iCs/>
            <w:lang w:val="en-US"/>
          </w:rPr>
          <w:t>https://joinup.ec.europa.eu/collection/semantic-interoperability-community-semic/document/uri-standard-guidelines-flemish-government</w:t>
        </w:r>
      </w:hyperlink>
    </w:p>
    <w:p w14:paraId="0640B64E" w14:textId="77777777" w:rsidR="00B23014" w:rsidRPr="00CF5611" w:rsidRDefault="00B23014" w:rsidP="00C81D35">
      <w:pPr>
        <w:pStyle w:val="ListParagraph"/>
        <w:numPr>
          <w:ilvl w:val="0"/>
          <w:numId w:val="5"/>
        </w:numPr>
        <w:rPr>
          <w:lang w:val="en-US"/>
        </w:rPr>
      </w:pPr>
      <w:r w:rsidRPr="00CF5611">
        <w:rPr>
          <w:lang w:val="en-US"/>
        </w:rPr>
        <w:t>https://joinup.ec.europa.eu/collection/semantic-interoperability-community-semic/document/10-rules-persistent-uris</w:t>
      </w:r>
    </w:p>
    <w:p w14:paraId="7B9E8614" w14:textId="77777777" w:rsidR="00D41393" w:rsidRPr="0057762C" w:rsidRDefault="00D41393" w:rsidP="00D41393">
      <w:pPr>
        <w:rPr>
          <w:lang w:val="en-US"/>
        </w:rPr>
      </w:pPr>
    </w:p>
    <w:p w14:paraId="0B8AB2DE" w14:textId="77777777" w:rsidR="004D6D9D" w:rsidRPr="0057762C" w:rsidRDefault="004D6D9D" w:rsidP="004D6D9D">
      <w:pPr>
        <w:rPr>
          <w:lang w:val="en-US"/>
        </w:rPr>
      </w:pPr>
    </w:p>
    <w:p w14:paraId="62FC9D07" w14:textId="77777777" w:rsidR="00071A59" w:rsidRPr="0057762C" w:rsidRDefault="00071A59" w:rsidP="00927352">
      <w:pPr>
        <w:rPr>
          <w:lang w:val="en-US"/>
        </w:rPr>
      </w:pPr>
    </w:p>
    <w:p w14:paraId="10210018" w14:textId="77777777" w:rsidR="00D54E3A" w:rsidRPr="008F269D" w:rsidRDefault="00D54E3A" w:rsidP="008F269D">
      <w:pPr>
        <w:pStyle w:val="Heading1"/>
        <w:rPr>
          <w:lang w:val="en-US"/>
        </w:rPr>
      </w:pPr>
      <w:r w:rsidRPr="008F269D">
        <w:rPr>
          <w:lang w:val="en-US"/>
        </w:rPr>
        <w:t>3 SCOPE</w:t>
      </w:r>
    </w:p>
    <w:p w14:paraId="5D0D576F" w14:textId="77777777" w:rsidR="00D54E3A" w:rsidRPr="008F269D" w:rsidRDefault="00D54E3A" w:rsidP="008F269D">
      <w:pPr>
        <w:pStyle w:val="Heading1"/>
        <w:rPr>
          <w:lang w:val="en-US"/>
        </w:rPr>
      </w:pPr>
      <w:r w:rsidRPr="008F269D">
        <w:rPr>
          <w:lang w:val="en-US"/>
        </w:rPr>
        <w:t xml:space="preserve">3.1 STAKEHOLDERS </w:t>
      </w:r>
    </w:p>
    <w:p w14:paraId="63E0186F" w14:textId="1BF76A40" w:rsidR="00D54E3A" w:rsidRDefault="00071A59" w:rsidP="00D54E3A">
      <w:pPr>
        <w:rPr>
          <w:lang w:val="en-US"/>
        </w:rPr>
      </w:pPr>
      <w:r>
        <w:rPr>
          <w:lang w:val="en-US"/>
        </w:rPr>
        <w:t xml:space="preserve">Because the URI strategy is domain neutral and has </w:t>
      </w:r>
      <w:r w:rsidR="00142942">
        <w:rPr>
          <w:lang w:val="en-US"/>
        </w:rPr>
        <w:t xml:space="preserve">a </w:t>
      </w:r>
      <w:r>
        <w:rPr>
          <w:lang w:val="en-US"/>
        </w:rPr>
        <w:t xml:space="preserve">potential impact on all aspects of government data, the </w:t>
      </w:r>
      <w:r w:rsidR="005359E1">
        <w:rPr>
          <w:lang w:val="en-US"/>
        </w:rPr>
        <w:t xml:space="preserve">will be a large </w:t>
      </w:r>
      <w:r w:rsidR="00142942">
        <w:rPr>
          <w:lang w:val="en-US"/>
        </w:rPr>
        <w:t xml:space="preserve">number </w:t>
      </w:r>
      <w:r w:rsidR="00CB5F3F">
        <w:rPr>
          <w:lang w:val="en-US"/>
        </w:rPr>
        <w:t xml:space="preserve">of involved </w:t>
      </w:r>
      <w:r w:rsidR="00927352">
        <w:rPr>
          <w:lang w:val="en-US"/>
        </w:rPr>
        <w:t>stakeholders</w:t>
      </w:r>
      <w:r w:rsidR="005359E1">
        <w:rPr>
          <w:lang w:val="en-US"/>
        </w:rPr>
        <w:t>:</w:t>
      </w:r>
    </w:p>
    <w:p w14:paraId="271655BC" w14:textId="77777777" w:rsidR="00071A59" w:rsidRPr="00071A59" w:rsidRDefault="00927352" w:rsidP="00071A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entities of the Belgian government, regional governments and local governments</w:t>
      </w:r>
      <w:r w:rsidR="00071A59">
        <w:rPr>
          <w:lang w:val="en-US"/>
        </w:rPr>
        <w:t>, especially the regional service integrators</w:t>
      </w:r>
    </w:p>
    <w:p w14:paraId="1EE3C6FE" w14:textId="77777777" w:rsidR="00927352" w:rsidRDefault="00071A59" w:rsidP="009273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European Commission, especially the </w:t>
      </w:r>
      <w:r w:rsidRPr="008F269D">
        <w:rPr>
          <w:lang w:val="en-US"/>
        </w:rPr>
        <w:t>ISA²</w:t>
      </w:r>
      <w:r>
        <w:rPr>
          <w:lang w:val="en-US"/>
        </w:rPr>
        <w:t xml:space="preserve"> program which supports the improvement of data </w:t>
      </w:r>
      <w:r w:rsidR="00CB5F3F">
        <w:rPr>
          <w:lang w:val="en-US"/>
        </w:rPr>
        <w:t>interoperability</w:t>
      </w:r>
      <w:r>
        <w:rPr>
          <w:lang w:val="en-US"/>
        </w:rPr>
        <w:t xml:space="preserve"> between governments, government entities, businesses and citizens.</w:t>
      </w:r>
    </w:p>
    <w:p w14:paraId="2355D2DF" w14:textId="77777777" w:rsidR="00071A59" w:rsidRDefault="00071A59" w:rsidP="009273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private sector especially the e-Government workgroup of AGORIA</w:t>
      </w:r>
    </w:p>
    <w:p w14:paraId="2E876B43" w14:textId="77777777" w:rsidR="00071A59" w:rsidRPr="00927352" w:rsidRDefault="00071A59" w:rsidP="009273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academic sector, especially researchers in the domains of e-Government, hypermedia and (linked) semantics.</w:t>
      </w:r>
    </w:p>
    <w:p w14:paraId="1C2AB04D" w14:textId="77777777" w:rsidR="00D54E3A" w:rsidRPr="008F269D" w:rsidRDefault="00D54E3A" w:rsidP="008F269D">
      <w:pPr>
        <w:pStyle w:val="Heading1"/>
        <w:rPr>
          <w:lang w:val="en-US"/>
        </w:rPr>
      </w:pPr>
      <w:r w:rsidRPr="008F269D">
        <w:rPr>
          <w:lang w:val="en-US"/>
        </w:rPr>
        <w:t>3.2 SUCCES</w:t>
      </w:r>
      <w:r w:rsidR="00CB5F3F">
        <w:rPr>
          <w:lang w:val="en-US"/>
        </w:rPr>
        <w:t>S</w:t>
      </w:r>
      <w:r w:rsidRPr="008F269D">
        <w:rPr>
          <w:lang w:val="en-US"/>
        </w:rPr>
        <w:t xml:space="preserve"> CRITERIA </w:t>
      </w:r>
    </w:p>
    <w:p w14:paraId="2CBA2DF9" w14:textId="77777777" w:rsidR="00CB5F3F" w:rsidRDefault="00CB5F3F" w:rsidP="00D54E3A">
      <w:pPr>
        <w:rPr>
          <w:lang w:val="en-US"/>
        </w:rPr>
      </w:pPr>
      <w:r>
        <w:rPr>
          <w:lang w:val="en-US"/>
        </w:rPr>
        <w:t xml:space="preserve">The ability to come to </w:t>
      </w:r>
      <w:r w:rsidR="005359E1">
        <w:rPr>
          <w:lang w:val="en-US"/>
        </w:rPr>
        <w:t xml:space="preserve">a </w:t>
      </w:r>
      <w:r w:rsidR="00142942">
        <w:rPr>
          <w:lang w:val="en-US"/>
        </w:rPr>
        <w:t xml:space="preserve">collective </w:t>
      </w:r>
      <w:r>
        <w:rPr>
          <w:lang w:val="en-US"/>
        </w:rPr>
        <w:t>agreement on a technical standard for persistent, dereferenceable identifiers in the form of a URI strategy.</w:t>
      </w:r>
    </w:p>
    <w:p w14:paraId="7D82858A" w14:textId="77777777" w:rsidR="00D54E3A" w:rsidRPr="008F269D" w:rsidRDefault="00CB5F3F" w:rsidP="00D54E3A">
      <w:pPr>
        <w:rPr>
          <w:lang w:val="en-US"/>
        </w:rPr>
      </w:pPr>
      <w:r>
        <w:rPr>
          <w:lang w:val="en-US"/>
        </w:rPr>
        <w:t>In the short future</w:t>
      </w:r>
      <w:r w:rsidR="00142942">
        <w:rPr>
          <w:lang w:val="en-US"/>
        </w:rPr>
        <w:t>,</w:t>
      </w:r>
      <w:r>
        <w:rPr>
          <w:lang w:val="en-US"/>
        </w:rPr>
        <w:t xml:space="preserve"> after the URI strategy has been accepted, the adoption and application of URI strategy by at least </w:t>
      </w:r>
      <w:r w:rsidR="00142942">
        <w:rPr>
          <w:lang w:val="en-US"/>
        </w:rPr>
        <w:t xml:space="preserve">one </w:t>
      </w:r>
      <w:r>
        <w:rPr>
          <w:lang w:val="en-US"/>
        </w:rPr>
        <w:t xml:space="preserve">dataset beyond the prototype implementation. </w:t>
      </w:r>
    </w:p>
    <w:p w14:paraId="134A0868" w14:textId="77777777" w:rsidR="00D54E3A" w:rsidRPr="008F269D" w:rsidRDefault="00D54E3A" w:rsidP="008F269D">
      <w:pPr>
        <w:pStyle w:val="Heading1"/>
        <w:rPr>
          <w:lang w:val="en-US"/>
        </w:rPr>
      </w:pPr>
      <w:r w:rsidRPr="008F269D">
        <w:rPr>
          <w:lang w:val="en-US"/>
        </w:rPr>
        <w:t xml:space="preserve">4 DELIVERABLES </w:t>
      </w:r>
    </w:p>
    <w:p w14:paraId="1A312845" w14:textId="77777777" w:rsidR="00CB5F3F" w:rsidRDefault="00CB5F3F" w:rsidP="00D54E3A">
      <w:pPr>
        <w:rPr>
          <w:lang w:val="en-US"/>
        </w:rPr>
      </w:pPr>
      <w:r>
        <w:rPr>
          <w:lang w:val="en-US"/>
        </w:rPr>
        <w:t>The following deliverables will be provided</w:t>
      </w:r>
    </w:p>
    <w:p w14:paraId="6AE2922A" w14:textId="77777777" w:rsidR="00CB5F3F" w:rsidRDefault="00CB5F3F" w:rsidP="00CB5F3F">
      <w:pPr>
        <w:pStyle w:val="ListParagraph"/>
        <w:numPr>
          <w:ilvl w:val="0"/>
          <w:numId w:val="4"/>
        </w:numPr>
        <w:rPr>
          <w:lang w:val="en-US"/>
        </w:rPr>
      </w:pPr>
      <w:r w:rsidRPr="00CB5F3F">
        <w:rPr>
          <w:lang w:val="en-US"/>
        </w:rPr>
        <w:t>A document describing the URI strategy for the Belgian Government.</w:t>
      </w:r>
    </w:p>
    <w:p w14:paraId="110E50D1" w14:textId="77777777" w:rsidR="00CB5F3F" w:rsidRPr="00CB5F3F" w:rsidRDefault="00CB5F3F" w:rsidP="00CB5F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prototype implementation of one dataset following the URI strategy</w:t>
      </w:r>
    </w:p>
    <w:p w14:paraId="6D3F29A1" w14:textId="77777777" w:rsidR="00D54E3A" w:rsidRPr="008F269D" w:rsidRDefault="00D54E3A" w:rsidP="008F269D">
      <w:pPr>
        <w:pStyle w:val="Heading1"/>
        <w:rPr>
          <w:lang w:val="en-US"/>
        </w:rPr>
      </w:pPr>
      <w:r w:rsidRPr="008F269D">
        <w:rPr>
          <w:lang w:val="en-US"/>
        </w:rPr>
        <w:t xml:space="preserve">5 </w:t>
      </w:r>
      <w:r w:rsidR="00CC6AB8">
        <w:rPr>
          <w:lang w:val="en-US"/>
        </w:rPr>
        <w:t>MILESTONES AND</w:t>
      </w:r>
      <w:r w:rsidRPr="008F269D">
        <w:rPr>
          <w:lang w:val="en-US"/>
        </w:rPr>
        <w:t xml:space="preserve"> TIMING </w:t>
      </w:r>
    </w:p>
    <w:p w14:paraId="2B2CFF2C" w14:textId="77777777" w:rsidR="00D54E3A" w:rsidRDefault="00D54E3A" w:rsidP="00D54E3A">
      <w:pPr>
        <w:rPr>
          <w:lang w:val="en-US"/>
        </w:rPr>
      </w:pPr>
      <w:r w:rsidRPr="008F269D">
        <w:rPr>
          <w:lang w:val="en-US"/>
        </w:rP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23014" w14:paraId="38745E91" w14:textId="77777777" w:rsidTr="00BB6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461439" w14:textId="77777777" w:rsidR="00B23014" w:rsidRDefault="00B23014" w:rsidP="00D54E3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Timing</w:t>
            </w:r>
          </w:p>
        </w:tc>
        <w:tc>
          <w:tcPr>
            <w:tcW w:w="4531" w:type="dxa"/>
          </w:tcPr>
          <w:p w14:paraId="3382B55C" w14:textId="77777777" w:rsidR="00B23014" w:rsidRDefault="00B23014" w:rsidP="00D54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Milestone</w:t>
            </w:r>
          </w:p>
        </w:tc>
      </w:tr>
      <w:tr w:rsidR="00B23014" w14:paraId="2B58B980" w14:textId="77777777" w:rsidTr="00BB6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5CB9D7" w14:textId="77777777" w:rsidR="00B23014" w:rsidRDefault="00B23014" w:rsidP="00D54E3A">
            <w:pPr>
              <w:rPr>
                <w:lang w:val="en-US"/>
              </w:rPr>
            </w:pPr>
            <w:r>
              <w:rPr>
                <w:lang w:val="en-US"/>
              </w:rPr>
              <w:t xml:space="preserve">31 </w:t>
            </w:r>
            <w:r w:rsidR="00142942">
              <w:rPr>
                <w:lang w:val="en-US"/>
              </w:rPr>
              <w:t xml:space="preserve">Aug </w:t>
            </w:r>
            <w:r>
              <w:rPr>
                <w:lang w:val="en-US"/>
              </w:rPr>
              <w:t>2019</w:t>
            </w:r>
          </w:p>
        </w:tc>
        <w:tc>
          <w:tcPr>
            <w:tcW w:w="4531" w:type="dxa"/>
          </w:tcPr>
          <w:p w14:paraId="77524CC9" w14:textId="77777777" w:rsidR="00B23014" w:rsidRDefault="00B23014" w:rsidP="00D54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charter</w:t>
            </w:r>
          </w:p>
        </w:tc>
      </w:tr>
      <w:tr w:rsidR="00B23014" w14:paraId="314D370D" w14:textId="77777777" w:rsidTr="00BB6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5D12E5B" w14:textId="77777777" w:rsidR="00B23014" w:rsidRDefault="00BB6296" w:rsidP="00D54E3A">
            <w:pPr>
              <w:rPr>
                <w:lang w:val="en-US"/>
              </w:rPr>
            </w:pPr>
            <w:r>
              <w:rPr>
                <w:rFonts w:ascii="Calibri" w:eastAsiaTheme="majorEastAsia" w:hAnsi="Calibri" w:cs="Calibri"/>
                <w:iCs/>
                <w:lang w:val="en-US"/>
              </w:rPr>
              <w:t>11 Oct 2019</w:t>
            </w:r>
          </w:p>
        </w:tc>
        <w:tc>
          <w:tcPr>
            <w:tcW w:w="4531" w:type="dxa"/>
          </w:tcPr>
          <w:p w14:paraId="44EC1E24" w14:textId="77777777" w:rsidR="00B23014" w:rsidRDefault="00BB6296" w:rsidP="00D54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 workshop</w:t>
            </w:r>
          </w:p>
        </w:tc>
      </w:tr>
      <w:tr w:rsidR="00BB6296" w14:paraId="215B5D56" w14:textId="77777777" w:rsidTr="00BB6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45BDBE" w14:textId="77777777" w:rsidR="00BB6296" w:rsidRDefault="00BB6296" w:rsidP="00D54E3A">
            <w:pPr>
              <w:rPr>
                <w:rFonts w:ascii="Calibri" w:eastAsiaTheme="majorEastAsia" w:hAnsi="Calibri" w:cs="Calibri"/>
                <w:iCs/>
                <w:lang w:val="en-US"/>
              </w:rPr>
            </w:pPr>
            <w:r>
              <w:rPr>
                <w:rFonts w:ascii="Calibri" w:eastAsiaTheme="majorEastAsia" w:hAnsi="Calibri" w:cs="Calibri"/>
                <w:iCs/>
                <w:lang w:val="en-US"/>
              </w:rPr>
              <w:t xml:space="preserve">8 </w:t>
            </w:r>
            <w:r w:rsidR="00142942">
              <w:rPr>
                <w:rFonts w:ascii="Calibri" w:eastAsiaTheme="majorEastAsia" w:hAnsi="Calibri" w:cs="Calibri"/>
                <w:iCs/>
                <w:lang w:val="en-US"/>
              </w:rPr>
              <w:t xml:space="preserve">Nov </w:t>
            </w:r>
            <w:r>
              <w:rPr>
                <w:rFonts w:ascii="Calibri" w:eastAsiaTheme="majorEastAsia" w:hAnsi="Calibri" w:cs="Calibri"/>
                <w:iCs/>
                <w:lang w:val="en-US"/>
              </w:rPr>
              <w:t>2019</w:t>
            </w:r>
          </w:p>
        </w:tc>
        <w:tc>
          <w:tcPr>
            <w:tcW w:w="4531" w:type="dxa"/>
          </w:tcPr>
          <w:p w14:paraId="608D21ED" w14:textId="77777777" w:rsidR="00BB6296" w:rsidRDefault="00BB6296" w:rsidP="00D54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Second workshop</w:t>
            </w:r>
          </w:p>
        </w:tc>
      </w:tr>
      <w:tr w:rsidR="00BB6296" w14:paraId="795B88C6" w14:textId="77777777" w:rsidTr="00BB6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1876B8" w14:textId="77777777" w:rsidR="00BB6296" w:rsidRDefault="00BB6296" w:rsidP="00D54E3A">
            <w:pPr>
              <w:rPr>
                <w:rFonts w:ascii="Calibri" w:eastAsiaTheme="majorEastAsia" w:hAnsi="Calibri" w:cs="Calibri"/>
                <w:iCs/>
                <w:lang w:val="en-US"/>
              </w:rPr>
            </w:pPr>
            <w:r>
              <w:rPr>
                <w:rFonts w:ascii="Calibri" w:eastAsiaTheme="majorEastAsia" w:hAnsi="Calibri" w:cs="Calibri"/>
                <w:iCs/>
                <w:lang w:val="en-US"/>
              </w:rPr>
              <w:t xml:space="preserve">22 </w:t>
            </w:r>
            <w:r w:rsidR="00142942">
              <w:rPr>
                <w:rFonts w:ascii="Calibri" w:eastAsiaTheme="majorEastAsia" w:hAnsi="Calibri" w:cs="Calibri"/>
                <w:iCs/>
                <w:lang w:val="en-US"/>
              </w:rPr>
              <w:t xml:space="preserve">Nov </w:t>
            </w:r>
            <w:r>
              <w:rPr>
                <w:rFonts w:ascii="Calibri" w:eastAsiaTheme="majorEastAsia" w:hAnsi="Calibri" w:cs="Calibri"/>
                <w:iCs/>
                <w:lang w:val="en-US"/>
              </w:rPr>
              <w:t>2019</w:t>
            </w:r>
          </w:p>
        </w:tc>
        <w:tc>
          <w:tcPr>
            <w:tcW w:w="4531" w:type="dxa"/>
          </w:tcPr>
          <w:p w14:paraId="4A8F5FD0" w14:textId="77777777" w:rsidR="00BB6296" w:rsidRDefault="00BB6296" w:rsidP="00D54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Third workshop</w:t>
            </w:r>
          </w:p>
        </w:tc>
      </w:tr>
      <w:tr w:rsidR="00BB6296" w14:paraId="08ECCE80" w14:textId="77777777" w:rsidTr="00BB6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9B0871" w14:textId="77777777" w:rsidR="00BB6296" w:rsidRDefault="00BB6296" w:rsidP="00D54E3A">
            <w:pPr>
              <w:rPr>
                <w:rFonts w:ascii="Calibri" w:eastAsiaTheme="majorEastAsia" w:hAnsi="Calibri" w:cs="Calibri"/>
                <w:iCs/>
                <w:lang w:val="en-US"/>
              </w:rPr>
            </w:pPr>
            <w:r>
              <w:rPr>
                <w:rFonts w:ascii="Calibri" w:eastAsiaTheme="majorEastAsia" w:hAnsi="Calibri" w:cs="Calibri"/>
                <w:iCs/>
                <w:lang w:val="en-US"/>
              </w:rPr>
              <w:t xml:space="preserve">Dec – </w:t>
            </w:r>
            <w:r w:rsidR="00142942">
              <w:rPr>
                <w:rFonts w:ascii="Calibri" w:eastAsiaTheme="majorEastAsia" w:hAnsi="Calibri" w:cs="Calibri"/>
                <w:iCs/>
                <w:lang w:val="en-US"/>
              </w:rPr>
              <w:t xml:space="preserve">Jan </w:t>
            </w:r>
            <w:r>
              <w:rPr>
                <w:rFonts w:ascii="Calibri" w:eastAsiaTheme="majorEastAsia" w:hAnsi="Calibri" w:cs="Calibri"/>
                <w:iCs/>
                <w:lang w:val="en-US"/>
              </w:rPr>
              <w:t>2019</w:t>
            </w:r>
          </w:p>
        </w:tc>
        <w:tc>
          <w:tcPr>
            <w:tcW w:w="4531" w:type="dxa"/>
          </w:tcPr>
          <w:p w14:paraId="219FC246" w14:textId="77777777" w:rsidR="00BB6296" w:rsidRDefault="00BB6296" w:rsidP="00D54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 review</w:t>
            </w:r>
          </w:p>
        </w:tc>
      </w:tr>
      <w:tr w:rsidR="00BB6296" w14:paraId="4422A272" w14:textId="77777777" w:rsidTr="00BB6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BABA85" w14:textId="77777777" w:rsidR="00BB6296" w:rsidRDefault="00BB6296" w:rsidP="00D54E3A">
            <w:pPr>
              <w:rPr>
                <w:rFonts w:ascii="Calibri" w:eastAsiaTheme="majorEastAsia" w:hAnsi="Calibri" w:cs="Calibri"/>
                <w:iCs/>
                <w:lang w:val="en-US"/>
              </w:rPr>
            </w:pPr>
            <w:r>
              <w:rPr>
                <w:rFonts w:ascii="Calibri" w:eastAsiaTheme="majorEastAsia" w:hAnsi="Calibri" w:cs="Calibri"/>
                <w:iCs/>
                <w:lang w:val="en-US"/>
              </w:rPr>
              <w:t>Feb 2019</w:t>
            </w:r>
          </w:p>
        </w:tc>
        <w:tc>
          <w:tcPr>
            <w:tcW w:w="4531" w:type="dxa"/>
          </w:tcPr>
          <w:p w14:paraId="39927F19" w14:textId="77777777" w:rsidR="00BB6296" w:rsidRDefault="00142942" w:rsidP="00D54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Finalisation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14:paraId="7FBECA60" w14:textId="77777777" w:rsidR="00B23014" w:rsidRPr="008F269D" w:rsidRDefault="00B23014" w:rsidP="00BB6296">
      <w:pPr>
        <w:rPr>
          <w:lang w:val="en-US"/>
        </w:rPr>
      </w:pPr>
    </w:p>
    <w:sectPr w:rsidR="00B23014" w:rsidRPr="008F269D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65F68" w14:textId="77777777" w:rsidR="00CD2A62" w:rsidRDefault="00CD2A62" w:rsidP="008F269D">
      <w:pPr>
        <w:spacing w:after="0" w:line="240" w:lineRule="auto"/>
      </w:pPr>
      <w:r>
        <w:separator/>
      </w:r>
    </w:p>
  </w:endnote>
  <w:endnote w:type="continuationSeparator" w:id="0">
    <w:p w14:paraId="36E24AFB" w14:textId="77777777" w:rsidR="00CD2A62" w:rsidRDefault="00CD2A62" w:rsidP="008F2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F4934" w14:textId="77777777" w:rsidR="00CD2A62" w:rsidRDefault="00CD2A62" w:rsidP="008F269D">
      <w:pPr>
        <w:spacing w:after="0" w:line="240" w:lineRule="auto"/>
      </w:pPr>
      <w:r>
        <w:separator/>
      </w:r>
    </w:p>
  </w:footnote>
  <w:footnote w:type="continuationSeparator" w:id="0">
    <w:p w14:paraId="7E13D57D" w14:textId="77777777" w:rsidR="00CD2A62" w:rsidRDefault="00CD2A62" w:rsidP="008F269D">
      <w:pPr>
        <w:spacing w:after="0" w:line="240" w:lineRule="auto"/>
      </w:pPr>
      <w:r>
        <w:continuationSeparator/>
      </w:r>
    </w:p>
  </w:footnote>
  <w:footnote w:id="1">
    <w:p w14:paraId="003084C9" w14:textId="77777777" w:rsidR="0044497F" w:rsidRPr="0057762C" w:rsidRDefault="0044497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7762C">
        <w:rPr>
          <w:lang w:val="en-US"/>
        </w:rPr>
        <w:t xml:space="preserve"> Dereferencing </w:t>
      </w:r>
      <w:r w:rsidR="00D41393" w:rsidRPr="0057762C">
        <w:rPr>
          <w:lang w:val="en-US"/>
        </w:rPr>
        <w:t xml:space="preserve">an identifier </w:t>
      </w:r>
      <w:r w:rsidRPr="0057762C">
        <w:rPr>
          <w:lang w:val="en-US"/>
        </w:rPr>
        <w:t xml:space="preserve">is a method to retrieve </w:t>
      </w:r>
      <w:r w:rsidR="00D41393" w:rsidRPr="0057762C">
        <w:rPr>
          <w:lang w:val="en-US"/>
        </w:rPr>
        <w:t xml:space="preserve">via a protocol </w:t>
      </w:r>
      <w:r w:rsidRPr="0057762C">
        <w:rPr>
          <w:lang w:val="en-US"/>
        </w:rPr>
        <w:t xml:space="preserve">the document/data/information </w:t>
      </w:r>
      <w:r w:rsidR="00D41393" w:rsidRPr="0057762C">
        <w:rPr>
          <w:lang w:val="en-US"/>
        </w:rPr>
        <w:t>which</w:t>
      </w:r>
      <w:r w:rsidRPr="0057762C">
        <w:rPr>
          <w:lang w:val="en-US"/>
        </w:rPr>
        <w:t xml:space="preserve"> is referred to by the identifier</w:t>
      </w:r>
      <w:r w:rsidR="00D41393" w:rsidRPr="0057762C">
        <w:rPr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2CC30" w14:textId="77777777" w:rsidR="00A94F6F" w:rsidRDefault="00A94F6F" w:rsidP="008F269D">
    <w:pPr>
      <w:pStyle w:val="Header"/>
      <w:jc w:val="right"/>
    </w:pPr>
    <w:r>
      <w:t>Workgroup charter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271A"/>
    <w:multiLevelType w:val="hybridMultilevel"/>
    <w:tmpl w:val="A2BECF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26C6A"/>
    <w:multiLevelType w:val="hybridMultilevel"/>
    <w:tmpl w:val="F1FE49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C5C44"/>
    <w:multiLevelType w:val="hybridMultilevel"/>
    <w:tmpl w:val="8EF497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F53DD"/>
    <w:multiLevelType w:val="hybridMultilevel"/>
    <w:tmpl w:val="FC0E6E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45E0E"/>
    <w:multiLevelType w:val="hybridMultilevel"/>
    <w:tmpl w:val="3908534A"/>
    <w:lvl w:ilvl="0" w:tplc="0813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SyMLE0MTQ1M7Q0NjdS0lEKTi0uzszPAykwqgUA0ZdYqCwAAAA="/>
  </w:docVars>
  <w:rsids>
    <w:rsidRoot w:val="00D54E3A"/>
    <w:rsid w:val="00071A59"/>
    <w:rsid w:val="0009293E"/>
    <w:rsid w:val="00125A95"/>
    <w:rsid w:val="00142942"/>
    <w:rsid w:val="001D77A3"/>
    <w:rsid w:val="00201BF6"/>
    <w:rsid w:val="002517AA"/>
    <w:rsid w:val="00252CB2"/>
    <w:rsid w:val="002A3FE9"/>
    <w:rsid w:val="003317FC"/>
    <w:rsid w:val="00350C89"/>
    <w:rsid w:val="00352B57"/>
    <w:rsid w:val="00375689"/>
    <w:rsid w:val="00417BC4"/>
    <w:rsid w:val="00441417"/>
    <w:rsid w:val="0044497F"/>
    <w:rsid w:val="004778ED"/>
    <w:rsid w:val="004D6D9D"/>
    <w:rsid w:val="00504AA3"/>
    <w:rsid w:val="00510369"/>
    <w:rsid w:val="00521358"/>
    <w:rsid w:val="005359E1"/>
    <w:rsid w:val="0057762C"/>
    <w:rsid w:val="005A21F7"/>
    <w:rsid w:val="005F7F84"/>
    <w:rsid w:val="00601B35"/>
    <w:rsid w:val="007A11CB"/>
    <w:rsid w:val="007B10C7"/>
    <w:rsid w:val="00823B6C"/>
    <w:rsid w:val="008A788D"/>
    <w:rsid w:val="008F269D"/>
    <w:rsid w:val="00927352"/>
    <w:rsid w:val="009D50F1"/>
    <w:rsid w:val="00A702D2"/>
    <w:rsid w:val="00A94F6F"/>
    <w:rsid w:val="00AA4529"/>
    <w:rsid w:val="00B23014"/>
    <w:rsid w:val="00BB6296"/>
    <w:rsid w:val="00C05125"/>
    <w:rsid w:val="00C24542"/>
    <w:rsid w:val="00C81D35"/>
    <w:rsid w:val="00CA478D"/>
    <w:rsid w:val="00CB0B03"/>
    <w:rsid w:val="00CB5F3F"/>
    <w:rsid w:val="00CC6AB8"/>
    <w:rsid w:val="00CD2A62"/>
    <w:rsid w:val="00CF5611"/>
    <w:rsid w:val="00D20FFA"/>
    <w:rsid w:val="00D33B80"/>
    <w:rsid w:val="00D41393"/>
    <w:rsid w:val="00D54E3A"/>
    <w:rsid w:val="00DC068B"/>
    <w:rsid w:val="00E60881"/>
    <w:rsid w:val="00EA2D96"/>
    <w:rsid w:val="00F025B1"/>
    <w:rsid w:val="00FA388E"/>
    <w:rsid w:val="00FB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CC92"/>
  <w15:chartTrackingRefBased/>
  <w15:docId w15:val="{CC203AF6-4F15-493B-A128-E242E8D0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2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A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2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F26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69D"/>
  </w:style>
  <w:style w:type="paragraph" w:styleId="Footer">
    <w:name w:val="footer"/>
    <w:basedOn w:val="Normal"/>
    <w:link w:val="FooterChar"/>
    <w:uiPriority w:val="99"/>
    <w:unhideWhenUsed/>
    <w:rsid w:val="008F26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69D"/>
  </w:style>
  <w:style w:type="character" w:styleId="Hyperlink">
    <w:name w:val="Hyperlink"/>
    <w:basedOn w:val="DefaultParagraphFont"/>
    <w:uiPriority w:val="99"/>
    <w:unhideWhenUsed/>
    <w:rsid w:val="004D6D9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D6D9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49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49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497F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D41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23014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B62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29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94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103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359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9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9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9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9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publicdomain/zero/1.0/deed.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oinup.ec.europa.eu/collection/semantic-interoperability-community-semic/document/uri-standard-guidelines-flemish-govern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.vlaanderen.be/standaarden/erkende-standaarden/vlaamse-uri-standaard-voor-data/uri-standaar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55FD1-89BE-4B0F-9B0F-1C0987880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770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Van Nuffelen</dc:creator>
  <cp:keywords/>
  <dc:description/>
  <cp:lastModifiedBy>Raf Buyle</cp:lastModifiedBy>
  <cp:revision>12</cp:revision>
  <dcterms:created xsi:type="dcterms:W3CDTF">2019-08-26T09:51:00Z</dcterms:created>
  <dcterms:modified xsi:type="dcterms:W3CDTF">2019-08-30T15:24:00Z</dcterms:modified>
</cp:coreProperties>
</file>