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Estimación COCOMOII del proyecto - Modelo de diseño anticipado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calcular el esfuerzo ajustado del modelo de diseño anticipado comenzaremos calculando los puntos de función para obtener la cantidad de líneas de código para nuestro proyecto (SLOC).</w:t>
      </w:r>
    </w:p>
    <w:p w:rsidR="00000000" w:rsidDel="00000000" w:rsidP="00000000" w:rsidRDefault="00000000" w:rsidRPr="00000000">
      <w:pPr>
        <w:widowControl w:val="0"/>
        <w:spacing w:after="24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Primero para poder determinar los puntos de función debemos saber la complejidad de los parámetros más importantes de la estimación, representados en la siguiente tabla: </w:t>
      </w:r>
    </w:p>
    <w:tbl>
      <w:tblPr>
        <w:tblStyle w:val="Table1"/>
        <w:bidi w:val="0"/>
        <w:tblW w:w="8828.0" w:type="dxa"/>
        <w:jc w:val="left"/>
        <w:tblInd w:w="-115.0" w:type="dxa"/>
        <w:tblLayout w:type="fixed"/>
        <w:tblLook w:val="04A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Parámetros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 baja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 media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Entradas externas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2*6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Salidas Externas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2*5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Archivos Lógicos int.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3*7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archivos interfaces externas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1*10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consultas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0*4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2*6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 acuerdo a la tabla, los puntos de Función (PF)=65.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desarrollar nuestro proyecto utilizaremos el lenguaje PHP (165) dado esto el valor de SLOC o mejor dicho de las líneas de código fuente será: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SLOC=10.725</w:t>
      </w:r>
    </w:p>
    <w:p w:rsidR="00000000" w:rsidDel="00000000" w:rsidP="00000000" w:rsidRDefault="00000000" w:rsidRPr="00000000">
      <w:pPr>
        <w:widowControl w:val="0"/>
        <w:spacing w:after="24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Ahora podremos utilizar la estimación COCOMO para saber cuál será el esfuerzo nominal, modelado por la siguiente fórmula: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6"/>
              <w:szCs w:val="26"/>
            </w:rPr>
            <m:t xml:space="preserve">Pm=A*</m:t>
          </m:r>
          <m:sSup>
            <m:sSup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p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Size</m:t>
              </m:r>
            </m:e>
            <m:sup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b</m:t>
              </m:r>
            </m:sup>
          </m:sSup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Dónde size=KLOC, A=2,45 y b se calcula de la siguiente forma: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6"/>
              <w:szCs w:val="26"/>
            </w:rPr>
            <m:t xml:space="preserve">B=0.91+0.01*</m:t>
          </m:r>
          <m:nary>
            <m:naryPr>
              <m:chr m:val="∑"/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naryPr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J=1</m:t>
              </m:r>
            </m:sub>
            <m:sup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5</m:t>
              </m:r>
            </m:sup>
          </m:nary>
          <m:r>
            <w:rPr>
              <w:rFonts w:ascii="Cambria" w:cs="Cambria" w:eastAsia="Cambria" w:hAnsi="Cambria"/>
              <w:sz w:val="26"/>
              <w:szCs w:val="26"/>
            </w:rPr>
            <m:t xml:space="preserve">FEj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Donde Fej son los valores de escala, los valores varían de acuerdo a la complejidad, a continuación definiremos lo 5 factores de escala: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(Precedencia, Flexibilidad, Resolución, Cohesión, Madurez. Respectivamente)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 = 3,72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FLEX = 1.01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RESL = 2.83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= 2.19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PMAT = 3.12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B= 1.0387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Entonces el esfuerzo nominal en persona/mes será: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PM= 3.763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Calculado el esfuerzo nominal (personas/mes). podemos calcular el esfuerzo ajustado con la fórmula: 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PM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nominal</m:t>
              </m:r>
            </m:sub>
          </m:sSub>
          <m:r>
            <w:rPr>
              <w:rFonts w:ascii="Cambria" w:cs="Cambria" w:eastAsia="Cambria" w:hAnsi="Cambria"/>
              <w:sz w:val="26"/>
              <w:szCs w:val="26"/>
            </w:rPr>
            <m:t xml:space="preserve">=</m:t>
          </m:r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PM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ajustado</m:t>
              </m:r>
            </m:sub>
          </m:sSub>
          <m:r>
            <w:rPr>
              <w:rFonts w:ascii="Cambria" w:cs="Cambria" w:eastAsia="Cambria" w:hAnsi="Cambria"/>
              <w:sz w:val="26"/>
              <w:szCs w:val="26"/>
            </w:rPr>
            <m:t xml:space="preserve">*</m:t>
          </m:r>
          <m:nary>
            <m:naryPr>
              <m:chr m:val="∏"/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naryPr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1</m:t>
              </m:r>
            </m:sub>
            <m:sup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7</m:t>
              </m:r>
            </m:sup>
          </m:nary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EA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i</m:t>
              </m:r>
            </m:sub>
          </m:sSub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Con EA los factores de ajuste, que van asignados de acuerdo a su complejidad, al igual que los factores de escala. Definidos a continuación: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RCPX = 1.3 RUSE = 0.95 PDIF = 1 NPERS =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PREX = 0.71 FCIL = 0,87 SCED = 1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PM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nominal</m:t>
              </m:r>
            </m:sub>
          </m:sSub>
          <m:r>
            <w:rPr>
              <w:rFonts w:ascii="Cambria" w:cs="Cambria" w:eastAsia="Cambria" w:hAnsi="Cambria"/>
              <w:sz w:val="26"/>
              <w:szCs w:val="26"/>
            </w:rPr>
            <m:t xml:space="preserve">=</m:t>
          </m:r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2.871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Finalmente nos queda calcular el staff para llevar a cabo el proyecto, el cual está dado por: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T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des</m:t>
              </m:r>
            </m:sub>
          </m:sSub>
          <m:r>
            <w:rPr>
              <w:rFonts w:ascii="Cambria" w:cs="Cambria" w:eastAsia="Cambria" w:hAnsi="Cambria"/>
              <w:sz w:val="26"/>
              <w:szCs w:val="26"/>
            </w:rPr>
            <m:t xml:space="preserve">=</m:t>
          </m:r>
          <m:r>
            <w:rPr/>
            <m:t xml:space="preserve">[</m:t>
          </m:r>
          <m:r>
            <w:rPr>
              <w:rFonts w:ascii="Cambria" w:cs="Cambria" w:eastAsia="Cambria" w:hAnsi="Cambria"/>
              <w:sz w:val="26"/>
              <w:szCs w:val="26"/>
            </w:rPr>
            <m:t xml:space="preserve">c*</m:t>
          </m:r>
          <m:sSup>
            <m:sSup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p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PM</m:t>
              </m:r>
            </m:e>
            <m:sup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d</m:t>
              </m:r>
            </m:sup>
          </m:sSup>
          <m:r>
            <w:rPr/>
            <m:t xml:space="preserve">]</m:t>
          </m:r>
          <m:r>
            <w:rPr>
              <w:rFonts w:ascii="Cambria" w:cs="Cambria" w:eastAsia="Cambria" w:hAnsi="Cambria"/>
              <w:sz w:val="26"/>
              <w:szCs w:val="26"/>
            </w:rPr>
            <m:t xml:space="preserve">*</m:t>
          </m:r>
          <m:f>
            <m:f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fPr>
            <m:num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SCED</m:t>
              </m:r>
            </m:num>
            <m:den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100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constante c tiene un valor de 3.67.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variable d se calcula como: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6"/>
              <w:szCs w:val="26"/>
            </w:rPr>
            <m:t xml:space="preserve">d=0.28+0.2*[B-0.91]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valor de d es 0.3, con esto podemos calcular: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T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des</m:t>
              </m:r>
            </m:sub>
          </m:sSub>
          <m:r>
            <w:rPr>
              <w:rFonts w:ascii="Cambria" w:cs="Cambria" w:eastAsia="Cambria" w:hAnsi="Cambria"/>
              <w:sz w:val="26"/>
              <w:szCs w:val="26"/>
            </w:rPr>
            <m:t xml:space="preserve">=</m:t>
          </m:r>
          <m:r>
            <w:rPr/>
            <m:t xml:space="preserve">[</m:t>
          </m:r>
          <m:r>
            <w:rPr>
              <w:rFonts w:ascii="Cambria" w:cs="Cambria" w:eastAsia="Cambria" w:hAnsi="Cambria"/>
              <w:sz w:val="26"/>
              <w:szCs w:val="26"/>
            </w:rPr>
            <m:t xml:space="preserve">3.67*</m:t>
          </m:r>
          <m:sSup>
            <m:sSup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p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2.871</m:t>
              </m:r>
            </m:e>
            <m:sup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0.3</m:t>
              </m:r>
            </m:sup>
          </m:sSup>
          <m:r>
            <w:rPr/>
            <m:t xml:space="preserve">]</m:t>
          </m:r>
          <m:r>
            <w:rPr>
              <w:rFonts w:ascii="Cambria" w:cs="Cambria" w:eastAsia="Cambria" w:hAnsi="Cambria"/>
              <w:sz w:val="26"/>
              <w:szCs w:val="26"/>
            </w:rPr>
            <m:t xml:space="preserve">*</m:t>
          </m:r>
          <m:f>
            <m:f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fPr>
            <m:num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SCED</m:t>
              </m:r>
            </m:num>
            <m:den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10</m:t>
              </m:r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0</m:t>
              </m:r>
            </m:den>
          </m:f>
        </m:oMath>
      </m:oMathPara>
      <w:commentRangeStart w:id="1"/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Tiempo de desarrollo en meses es: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center"/>
      </w:pP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sSubPr>
            <m:e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T</m:t>
              </m:r>
            </m:e>
            <m:sub>
              <m:r>
                <w:rPr>
                  <w:rFonts w:ascii="Cambria" w:cs="Cambria" w:eastAsia="Cambria" w:hAnsi="Cambria"/>
                  <w:sz w:val="26"/>
                  <w:szCs w:val="26"/>
                </w:rPr>
                <m:t xml:space="preserve">des</m:t>
              </m:r>
            </m:sub>
          </m:sSub>
          <m:r>
            <w:rPr>
              <w:rFonts w:ascii="Cambria" w:cs="Cambria" w:eastAsia="Cambria" w:hAnsi="Cambria"/>
              <w:sz w:val="26"/>
              <w:szCs w:val="26"/>
            </w:rPr>
            <m:t xml:space="preserve">=</m:t>
          </m:r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4.29 Meses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Para calcular el Staff: 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6"/>
              <w:szCs w:val="26"/>
            </w:rPr>
            <m:t xml:space="preserve">Staff= </m:t>
          </m:r>
          <m:f>
            <m:fPr>
              <m:ctrlPr>
                <w:rPr>
                  <w:rFonts w:ascii="Cambria" w:cs="Cambria" w:eastAsia="Cambria" w:hAnsi="Cambria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" w:cs="Cambria" w:eastAsia="Cambria" w:hAnsi="Cambria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6"/>
                      <w:szCs w:val="26"/>
                    </w:rPr>
                    <m:t xml:space="preserve">PM</m:t>
                  </m:r>
                </m:e>
                <m:sub>
                  <m:r>
                    <w:rPr>
                      <w:rFonts w:ascii="Cambria" w:cs="Cambria" w:eastAsia="Cambria" w:hAnsi="Cambria"/>
                      <w:sz w:val="26"/>
                      <w:szCs w:val="26"/>
                    </w:rPr>
                    <m:t xml:space="preserve">ajustado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26"/>
                      <w:szCs w:val="26"/>
                    </w:rPr>
                    <m:t xml:space="preserve">T</m:t>
                  </m:r>
                </m:e>
                <m:sub>
                  <m:r>
                    <w:rPr>
                      <w:rFonts w:ascii="Cambria" w:cs="Cambria" w:eastAsia="Cambria" w:hAnsi="Cambria"/>
                      <w:sz w:val="26"/>
                      <w:szCs w:val="26"/>
                    </w:rPr>
                    <m:t xml:space="preserve">des</m:t>
                  </m:r>
                </m:sub>
              </m:sSub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∴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6"/>
              <w:szCs w:val="26"/>
            </w:rPr>
            <m:t xml:space="preserve">Staff= </m:t>
          </m:r>
        </m:oMath>
      </m:oMathPara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1.879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VIER IGNACIO VALLEJOS SAEZ" w:id="0" w:date="2016-08-24T15:4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RUSE: reusabilidad</w:t>
      </w:r>
    </w:p>
  </w:comment>
  <w:comment w:author="JAVIER IGNACIO VALLEJOS SAEZ" w:id="1" w:date="2016-08-24T15:2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SCED= planificación requerida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Bajo=85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Arial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  <w:smallCaps w:val="1"/>
      </w:rPr>
      <w:tcPr>
        <w:tcBorders>
          <w:right w:color="7f7f7f" w:space="0" w:sz="4" w:val="single"/>
        </w:tcBorders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  <w:smallCaps w:val="1"/>
      </w:rPr>
      <w:tcPr>
        <w:tcBorders>
          <w:bottom w:color="7f7f7f" w:space="0" w:sz="4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  <w:smallCaps w:val="1"/>
      </w:rPr>
      <w:tcPr>
        <w:tcBorders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  <w:smallCaps w:val="1"/>
      </w:rPr>
      <w:tcPr>
        <w:tcBorders>
          <w:top w:color="000000" w:space="0" w:sz="0" w:val="nil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Borders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Borders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