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4986"/>
            <w:shd w:fill="0B5CAD"/>
            <w:vAlign w:val="center"/>
          </w:tcPr>
          <w:p>
            <w:pPr>
              <w:spacing w:before="360" w:after="24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44"/>
              </w:rPr>
              <w:t>SIGEDC</w:t>
              <w:br/>
              <w:t>BRASIL</w:t>
            </w:r>
          </w:p>
          <w:p>
            <w:pPr>
              <w:spacing w:before="0" w:after="16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DDEEFF"/>
                <w:sz w:val="21"/>
              </w:rPr>
              <w:t>Planejar. Responder. Recuperar.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DDEEFF"/>
                <w:sz w:val="20"/>
              </w:rPr>
              <w:t>SaaS nacional de planejamento e gestão operacional de desastres</w:t>
            </w:r>
          </w:p>
        </w:tc>
        <w:tc>
          <w:tcPr>
            <w:tcW w:type="dxa" w:w="4986"/>
            <w:vAlign w:val="center"/>
          </w:tcPr>
          <w:p>
            <w:pPr>
              <w:spacing w:before="120" w:after="8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0B5CAD"/>
                <w:sz w:val="56"/>
              </w:rPr>
              <w:t>Documento 11 — Identidade Visual</w:t>
            </w:r>
          </w:p>
          <w:p>
            <w:pPr>
              <w:spacing w:before="0" w:after="240" w:line="276" w:lineRule="auto"/>
            </w:pPr>
            <w:r>
              <w:rPr>
                <w:rFonts w:ascii="Aptos" w:hAnsi="Aptos"/>
                <w:b w:val="0"/>
                <w:i w:val="0"/>
                <w:color w:val="2F4B66"/>
                <w:sz w:val="26"/>
              </w:rPr>
              <w:t>Sistema moderno, limpo, responsivo e orientado à clareza operacional para Defesas Civis municipais e estaduais.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93"/>
              <w:gridCol w:w="2493"/>
            </w:tblGrid>
            <w:tr>
              <w:tc>
                <w:tcPr>
                  <w:tcW w:type="dxa" w:w="2493"/>
                  <w:tcBorders>
                    <w:top w:val="single" w:sz="5" w:space="0" w:color="D9E3F0"/>
                    <w:left w:val="single" w:sz="5" w:space="0" w:color="D9E3F0"/>
                    <w:bottom w:val="single" w:sz="5" w:space="0" w:color="D9E3F0"/>
                    <w:right w:val="single" w:sz="5" w:space="0" w:color="D9E3F0"/>
                  </w:tcBorders>
                  <w:shd w:fill="EEF5FB"/>
                </w:tcPr>
                <w:p>
                  <w:pPr>
                    <w:spacing w:before="20" w:after="20" w:line="276" w:lineRule="auto"/>
                  </w:pPr>
                  <w:r>
                    <w:rPr>
                      <w:rFonts w:ascii="Aptos" w:hAnsi="Aptos"/>
                      <w:b/>
                      <w:i w:val="0"/>
                      <w:color w:val="16324F"/>
                      <w:sz w:val="19"/>
                    </w:rPr>
                    <w:t>Produto</w:t>
                  </w:r>
                </w:p>
              </w:tc>
              <w:tc>
                <w:tcPr>
                  <w:tcW w:type="dxa" w:w="2493"/>
                  <w:tcBorders>
                    <w:top w:val="single" w:sz="5" w:space="0" w:color="D9E3F0"/>
                    <w:left w:val="single" w:sz="5" w:space="0" w:color="D9E3F0"/>
                    <w:bottom w:val="single" w:sz="5" w:space="0" w:color="D9E3F0"/>
                    <w:right w:val="single" w:sz="5" w:space="0" w:color="D9E3F0"/>
                  </w:tcBorders>
                </w:tcPr>
                <w:p>
                  <w:pPr>
                    <w:spacing w:before="20" w:after="20" w:line="276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203040"/>
                      <w:sz w:val="19"/>
                    </w:rPr>
                    <w:t>SIGEDC Brasil — Sistema Inteligente de Gestão de Emergências, Desastres e Contingência.</w:t>
                  </w:r>
                </w:p>
              </w:tc>
            </w:tr>
            <w:tr>
              <w:tc>
                <w:tcPr>
                  <w:tcW w:type="dxa" w:w="2493"/>
                  <w:tcBorders>
                    <w:top w:val="single" w:sz="5" w:space="0" w:color="D9E3F0"/>
                    <w:left w:val="single" w:sz="5" w:space="0" w:color="D9E3F0"/>
                    <w:bottom w:val="single" w:sz="5" w:space="0" w:color="D9E3F0"/>
                    <w:right w:val="single" w:sz="5" w:space="0" w:color="D9E3F0"/>
                  </w:tcBorders>
                  <w:shd w:fill="EEF5FB"/>
                </w:tcPr>
                <w:p>
                  <w:pPr>
                    <w:spacing w:before="20" w:after="20" w:line="276" w:lineRule="auto"/>
                  </w:pPr>
                  <w:r>
                    <w:rPr>
                      <w:rFonts w:ascii="Aptos" w:hAnsi="Aptos"/>
                      <w:b/>
                      <w:i w:val="0"/>
                      <w:color w:val="16324F"/>
                      <w:sz w:val="19"/>
                    </w:rPr>
                    <w:t>Objetivo do documento</w:t>
                  </w:r>
                </w:p>
              </w:tc>
              <w:tc>
                <w:tcPr>
                  <w:tcW w:type="dxa" w:w="2493"/>
                  <w:tcBorders>
                    <w:top w:val="single" w:sz="5" w:space="0" w:color="D9E3F0"/>
                    <w:left w:val="single" w:sz="5" w:space="0" w:color="D9E3F0"/>
                    <w:bottom w:val="single" w:sz="5" w:space="0" w:color="D9E3F0"/>
                    <w:right w:val="single" w:sz="5" w:space="0" w:color="D9E3F0"/>
                  </w:tcBorders>
                </w:tcPr>
                <w:p>
                  <w:pPr>
                    <w:spacing w:before="20" w:after="20" w:line="276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203040"/>
                      <w:sz w:val="19"/>
                    </w:rPr>
                    <w:t>Definir a linguagem visual, a arquitetura de interface e a linha de marketing do SaaS.</w:t>
                  </w:r>
                </w:p>
              </w:tc>
            </w:tr>
            <w:tr>
              <w:tc>
                <w:tcPr>
                  <w:tcW w:type="dxa" w:w="2493"/>
                  <w:tcBorders>
                    <w:top w:val="single" w:sz="5" w:space="0" w:color="D9E3F0"/>
                    <w:left w:val="single" w:sz="5" w:space="0" w:color="D9E3F0"/>
                    <w:bottom w:val="single" w:sz="5" w:space="0" w:color="D9E3F0"/>
                    <w:right w:val="single" w:sz="5" w:space="0" w:color="D9E3F0"/>
                  </w:tcBorders>
                  <w:shd w:fill="EEF5FB"/>
                </w:tcPr>
                <w:p>
                  <w:pPr>
                    <w:spacing w:before="20" w:after="20" w:line="276" w:lineRule="auto"/>
                  </w:pPr>
                  <w:r>
                    <w:rPr>
                      <w:rFonts w:ascii="Aptos" w:hAnsi="Aptos"/>
                      <w:b/>
                      <w:i w:val="0"/>
                      <w:color w:val="16324F"/>
                      <w:sz w:val="19"/>
                    </w:rPr>
                    <w:t>Escopo</w:t>
                  </w:r>
                </w:p>
              </w:tc>
              <w:tc>
                <w:tcPr>
                  <w:tcW w:type="dxa" w:w="2493"/>
                  <w:tcBorders>
                    <w:top w:val="single" w:sz="5" w:space="0" w:color="D9E3F0"/>
                    <w:left w:val="single" w:sz="5" w:space="0" w:color="D9E3F0"/>
                    <w:bottom w:val="single" w:sz="5" w:space="0" w:color="D9E3F0"/>
                    <w:right w:val="single" w:sz="5" w:space="0" w:color="D9E3F0"/>
                  </w:tcBorders>
                </w:tcPr>
                <w:p>
                  <w:pPr>
                    <w:spacing w:before="20" w:after="20" w:line="276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203040"/>
                      <w:sz w:val="19"/>
                    </w:rPr>
                    <w:t>Marca, UI, landing page pública, área interna, design responsivo e posicionamento comercial.</w:t>
                  </w:r>
                </w:p>
              </w:tc>
            </w:tr>
            <w:tr>
              <w:tc>
                <w:tcPr>
                  <w:tcW w:type="dxa" w:w="2493"/>
                  <w:tcBorders>
                    <w:top w:val="single" w:sz="5" w:space="0" w:color="D9E3F0"/>
                    <w:left w:val="single" w:sz="5" w:space="0" w:color="D9E3F0"/>
                    <w:bottom w:val="single" w:sz="5" w:space="0" w:color="D9E3F0"/>
                    <w:right w:val="single" w:sz="5" w:space="0" w:color="D9E3F0"/>
                  </w:tcBorders>
                  <w:shd w:fill="EEF5FB"/>
                </w:tcPr>
                <w:p>
                  <w:pPr>
                    <w:spacing w:before="20" w:after="20" w:line="276" w:lineRule="auto"/>
                  </w:pPr>
                  <w:r>
                    <w:rPr>
                      <w:rFonts w:ascii="Aptos" w:hAnsi="Aptos"/>
                      <w:b/>
                      <w:i w:val="0"/>
                      <w:color w:val="16324F"/>
                      <w:sz w:val="19"/>
                    </w:rPr>
                    <w:t>Base de referência</w:t>
                  </w:r>
                </w:p>
              </w:tc>
              <w:tc>
                <w:tcPr>
                  <w:tcW w:type="dxa" w:w="2493"/>
                  <w:tcBorders>
                    <w:top w:val="single" w:sz="5" w:space="0" w:color="D9E3F0"/>
                    <w:left w:val="single" w:sz="5" w:space="0" w:color="D9E3F0"/>
                    <w:bottom w:val="single" w:sz="5" w:space="0" w:color="D9E3F0"/>
                    <w:right w:val="single" w:sz="5" w:space="0" w:color="D9E3F0"/>
                  </w:tcBorders>
                </w:tcPr>
                <w:p>
                  <w:pPr>
                    <w:spacing w:before="20" w:after="20" w:line="276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203040"/>
                      <w:sz w:val="19"/>
                    </w:rPr>
                    <w:t>Alinhado aos Documentos 1, 2, 3 e 8 do projeto técnico anexado.</w:t>
                  </w:r>
                </w:p>
              </w:tc>
            </w:tr>
          </w:tbl>
          <w:p/>
          <w:p/>
          <w:p>
            <w:pPr>
              <w:spacing w:before="120" w:after="0" w:line="276" w:lineRule="auto"/>
            </w:pPr>
            <w:r>
              <w:rPr>
                <w:rFonts w:ascii="Aptos" w:hAnsi="Aptos"/>
                <w:b/>
                <w:i w:val="0"/>
                <w:color w:val="0B5CAD"/>
                <w:sz w:val="21"/>
              </w:rPr>
              <w:t>Diretriz central: o design deve reduzir fricção operacional, transmitir confiança institucional e acelerar a execução de rotinas críticas.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0B5CAD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1. Premissas estratégicas da identidade</w:t>
            </w:r>
          </w:p>
        </w:tc>
      </w:tr>
    </w:tbl>
    <w:p/>
    <w:p>
      <w:pPr>
        <w:spacing w:before="0" w:after="140" w:line="276" w:lineRule="auto"/>
      </w:pPr>
      <w:r>
        <w:rPr>
          <w:rFonts w:ascii="Aptos" w:hAnsi="Aptos"/>
          <w:b w:val="0"/>
          <w:i w:val="0"/>
          <w:color w:val="203040"/>
          <w:sz w:val="22"/>
        </w:rPr>
        <w:t>O produto não deve parecer um software genérico de gestão pública. Ele precisa comunicar especialização em Proteção e Defesa Civil, coordenação intersetorial, prontidão institucional e resposta a desastres.</w:t>
      </w:r>
    </w:p>
    <w:p>
      <w:pPr>
        <w:spacing w:before="0" w:after="140" w:line="276" w:lineRule="auto"/>
      </w:pPr>
      <w:r>
        <w:rPr>
          <w:rFonts w:ascii="Aptos" w:hAnsi="Aptos"/>
          <w:b w:val="0"/>
          <w:i w:val="0"/>
          <w:color w:val="203040"/>
          <w:sz w:val="22"/>
        </w:rPr>
        <w:t>A interface deve ser compreensível por usuários com diferentes níveis de maturidade digital, conforme os documentos do MVP. Isso exige hierarquia visual nítida, textos objetivos, navegação previsível e baixa sobrecarga cognitiva.</w:t>
      </w:r>
    </w:p>
    <w:p>
      <w:pPr>
        <w:spacing w:before="0" w:after="140" w:line="276" w:lineRule="auto"/>
      </w:pPr>
      <w:r>
        <w:rPr>
          <w:rFonts w:ascii="Aptos" w:hAnsi="Aptos"/>
          <w:b w:val="0"/>
          <w:i w:val="0"/>
          <w:color w:val="203040"/>
          <w:sz w:val="22"/>
        </w:rPr>
        <w:t>A comunicação externa deve vender segurança, padronização, velocidade operacional e memória institucional — não apenas tecnologia.</w:t>
      </w:r>
    </w:p>
    <w:p>
      <w:pPr>
        <w:spacing w:before="0" w:after="120" w:line="276" w:lineRule="auto"/>
      </w:pPr>
      <w:r>
        <w:rPr>
          <w:rFonts w:ascii="Aptos" w:hAnsi="Aptos"/>
          <w:b/>
          <w:i w:val="0"/>
          <w:color w:val="0B5CAD"/>
          <w:sz w:val="32"/>
        </w:rPr>
        <w:t>2. Essência da marca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4F8FC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16324F"/>
                <w:sz w:val="20"/>
              </w:rPr>
              <w:t>Nome institucional</w:t>
            </w:r>
          </w:p>
        </w:tc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20"/>
              </w:rPr>
              <w:t>SIGEDC Brasil — Sistema Inteligente de Gestão de Emergências, Desastres e Contingência.</w:t>
            </w:r>
          </w:p>
        </w:tc>
      </w:tr>
      <w:tr>
        <w:tc>
          <w:tcPr>
            <w:tcW w:type="dxa" w:w="4986"/>
            <w:shd w:fill="F4F8FC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16324F"/>
                <w:sz w:val="20"/>
              </w:rPr>
              <w:t>Posicionamento</w:t>
            </w:r>
          </w:p>
        </w:tc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20"/>
              </w:rPr>
              <w:t>Plataforma SaaS especializada em planejamento, prontidão, coordenação operacional e memória institucional para Proteção e Defesa Civil.</w:t>
            </w:r>
          </w:p>
        </w:tc>
      </w:tr>
      <w:tr>
        <w:tc>
          <w:tcPr>
            <w:tcW w:type="dxa" w:w="4986"/>
            <w:shd w:fill="F4F8FC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16324F"/>
                <w:sz w:val="20"/>
              </w:rPr>
              <w:t>Promessa principal</w:t>
            </w:r>
          </w:p>
        </w:tc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20"/>
              </w:rPr>
              <w:t>Organizar o caos operacional em fluxos digitais claros, rastreáveis e executáveis.</w:t>
            </w:r>
          </w:p>
        </w:tc>
      </w:tr>
      <w:tr>
        <w:tc>
          <w:tcPr>
            <w:tcW w:type="dxa" w:w="4986"/>
            <w:shd w:fill="F4F8FC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16324F"/>
                <w:sz w:val="20"/>
              </w:rPr>
              <w:t>Personalidade da marca</w:t>
            </w:r>
          </w:p>
        </w:tc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20"/>
              </w:rPr>
              <w:t>Confiável, técnica, objetiva, moderna, sóbria, operacional e humana na medida certa.</w:t>
            </w:r>
          </w:p>
        </w:tc>
      </w:tr>
      <w:tr>
        <w:tc>
          <w:tcPr>
            <w:tcW w:type="dxa" w:w="4986"/>
            <w:shd w:fill="F4F8FC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16324F"/>
                <w:sz w:val="20"/>
              </w:rPr>
              <w:t>Arquétipo dominante</w:t>
            </w:r>
          </w:p>
        </w:tc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20"/>
              </w:rPr>
              <w:t>Guardião estratégico: protege, coordena, orienta e sustenta a tomada de decisão.</w:t>
            </w:r>
          </w:p>
        </w:tc>
      </w:tr>
    </w:tbl>
    <w:p/>
    <w:p>
      <w:r>
        <w:rPr>
          <w:rFonts w:ascii="Aptos" w:hAnsi="Aptos"/>
          <w:b/>
          <w:i w:val="0"/>
          <w:color w:val="16324F"/>
          <w:sz w:val="24"/>
        </w:rPr>
        <w:t>2.1 Slogan recomendado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Principal: Planejar. Responder. Recuperar.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Alternativa institucional: Inteligência operacional para a Defesa Civil.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Alternativa comercial: Do plano à resposta, em uma única plataforma.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0B5CAD"/>
          <w:sz w:val="32"/>
        </w:rPr>
        <w:t>3. Sistema de identidade visual</w:t>
      </w:r>
    </w:p>
    <w:p>
      <w:r>
        <w:rPr>
          <w:rFonts w:ascii="Aptos" w:hAnsi="Aptos"/>
          <w:b/>
          <w:i w:val="0"/>
          <w:color w:val="16324F"/>
          <w:sz w:val="24"/>
        </w:rPr>
        <w:t>3.1 Conceito visual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Base cromática em azul como eixo de confiança, coordenação e institucionalidade.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Verde como vetor de território, prevenção, recuperação e resiliência.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Laranja como cor de atenção, resposta rápida, alerta e ação crítica.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Cinzas e branco para dar respiro, leitura limpa e aplicação corporativa.</w:t>
      </w:r>
    </w:p>
    <w:p>
      <w:r>
        <w:rPr>
          <w:rFonts w:ascii="Aptos" w:hAnsi="Aptos"/>
          <w:b/>
          <w:i w:val="0"/>
          <w:color w:val="16324F"/>
          <w:sz w:val="24"/>
        </w:rPr>
        <w:t>3.2 Paleta cromática oficial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5CAD"/>
            <w:tcBorders>
              <w:top w:val="single" w:sz="5" w:space="0" w:color="0B5CAD"/>
              <w:left w:val="single" w:sz="5" w:space="0" w:color="0B5CAD"/>
              <w:bottom w:val="single" w:sz="5" w:space="0" w:color="0B5CAD"/>
              <w:right w:val="single" w:sz="5" w:space="0" w:color="0B5CAD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Cor</w:t>
            </w:r>
          </w:p>
        </w:tc>
        <w:tc>
          <w:tcPr>
            <w:tcW w:type="dxa" w:w="2493"/>
            <w:shd w:fill="0B5CAD"/>
            <w:tcBorders>
              <w:top w:val="single" w:sz="5" w:space="0" w:color="0B5CAD"/>
              <w:left w:val="single" w:sz="5" w:space="0" w:color="0B5CAD"/>
              <w:bottom w:val="single" w:sz="5" w:space="0" w:color="0B5CAD"/>
              <w:right w:val="single" w:sz="5" w:space="0" w:color="0B5CAD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Hex</w:t>
            </w:r>
          </w:p>
        </w:tc>
        <w:tc>
          <w:tcPr>
            <w:tcW w:type="dxa" w:w="2493"/>
            <w:shd w:fill="0B5CAD"/>
            <w:tcBorders>
              <w:top w:val="single" w:sz="5" w:space="0" w:color="0B5CAD"/>
              <w:left w:val="single" w:sz="5" w:space="0" w:color="0B5CAD"/>
              <w:bottom w:val="single" w:sz="5" w:space="0" w:color="0B5CAD"/>
              <w:right w:val="single" w:sz="5" w:space="0" w:color="0B5CAD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Uso principal</w:t>
            </w:r>
          </w:p>
        </w:tc>
        <w:tc>
          <w:tcPr>
            <w:tcW w:type="dxa" w:w="2493"/>
            <w:shd w:fill="0B5CAD"/>
            <w:tcBorders>
              <w:top w:val="single" w:sz="5" w:space="0" w:color="0B5CAD"/>
              <w:left w:val="single" w:sz="5" w:space="0" w:color="0B5CAD"/>
              <w:bottom w:val="single" w:sz="5" w:space="0" w:color="0B5CAD"/>
              <w:right w:val="single" w:sz="5" w:space="0" w:color="0B5CAD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Aplicação visual</w:t>
            </w:r>
          </w:p>
        </w:tc>
      </w:tr>
      <w:tr>
        <w:tc>
          <w:tcPr>
            <w:tcW w:type="dxa" w:w="2493"/>
            <w:shd w:fill="0B5CAD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Azul Primário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0B5CAD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Marca, topo, botões principais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Cabeçalhos, CTAs, login, dashboard, cards prioritários</w:t>
            </w:r>
          </w:p>
        </w:tc>
      </w:tr>
      <w:tr>
        <w:tc>
          <w:tcPr>
            <w:tcW w:type="dxa" w:w="2493"/>
            <w:shd w:fill="16324F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Azul Escuro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16324F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Texto forte e contraste institucional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Títulos, menu lateral, indicadores críticos de informação</w:t>
            </w:r>
          </w:p>
        </w:tc>
      </w:tr>
      <w:tr>
        <w:tc>
          <w:tcPr>
            <w:tcW w:type="dxa" w:w="2493"/>
            <w:shd w:fill="2E9E5B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Verde Resiliência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2E9E5B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Sucesso, normalidade, recuperação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Status concluído, disponibilidade, mapas de apoio</w:t>
            </w:r>
          </w:p>
        </w:tc>
      </w:tr>
      <w:tr>
        <w:tc>
          <w:tcPr>
            <w:tcW w:type="dxa" w:w="2493"/>
            <w:shd w:fill="F28C28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20"/>
              </w:rPr>
              <w:t>Laranja Alerta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F28C28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Atenção e urgência operacional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Alertas, avisos, prazos, badges de prontidão e CTA secundário</w:t>
            </w:r>
          </w:p>
        </w:tc>
      </w:tr>
      <w:tr>
        <w:tc>
          <w:tcPr>
            <w:tcW w:type="dxa" w:w="2493"/>
            <w:shd w:fill="5F6B7A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Cinza Técnico</w:t>
            </w:r>
            <w:r>
              <w:rPr>
                <w:rFonts w:ascii="Aptos" w:hAnsi="Aptos"/>
                <w:b/>
                <w:i w:val="0"/>
                <w:color w:val="203040"/>
                <w:sz w:val="19"/>
              </w:rPr>
              <w:t>Branco Operacional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5F6B7A</w:t>
            </w: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FFFFFF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Texto de apoio e elementos neutros</w:t>
            </w: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Fundos, áreas de respiro, formulários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Subtextos, legendas, contornos, ícones secundários</w:t>
            </w:r>
            <w:r>
              <w:rPr>
                <w:rFonts w:ascii="Aptos" w:hAnsi="Aptos"/>
                <w:b w:val="0"/>
                <w:i w:val="0"/>
                <w:color w:val="203040"/>
                <w:sz w:val="19"/>
              </w:rPr>
              <w:t>Evitar excesso de textura; privilegiar contraste e clareza</w:t>
            </w:r>
          </w:p>
        </w:tc>
      </w:tr>
    </w:tbl>
    <w:p/>
    <w:p>
      <w:r>
        <w:rPr>
          <w:rFonts w:ascii="Aptos" w:hAnsi="Aptos"/>
          <w:b/>
          <w:i w:val="0"/>
          <w:color w:val="16324F"/>
          <w:sz w:val="24"/>
        </w:rPr>
        <w:t>3.3 Tipografia recomendada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Fonte principal de interface: Inter ou Aptos. São legíveis em telas pequenas, estáveis em ambientes web e adequadas para dashboards.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Fonte de títulos e destaques: Inter SemiBold/Bold. Evitar fontes decorativas.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Fonte de fallback segura: Arial, Helvetica, sans-serif.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Escala-base sugerida: 14 px em mobile, 15–16 px em desktop; títulos entre 24 e 40 px conforme hierarquia.</w:t>
      </w:r>
    </w:p>
    <w:p>
      <w:r>
        <w:rPr>
          <w:rFonts w:ascii="Aptos" w:hAnsi="Aptos"/>
          <w:b/>
          <w:i w:val="0"/>
          <w:color w:val="0B5CAD"/>
          <w:sz w:val="32"/>
        </w:rPr>
        <w:t>4. Diretrizes de UX/UI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2"/>
        </w:rPr>
        <w:t>Priorizar leitura rápida e decisão orientada por contexto.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2"/>
        </w:rPr>
        <w:t>Cada tela deve responder, de forma explícita: onde o usuário está, o que precisa fazer agora e qual é o próximo passo.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2"/>
        </w:rPr>
        <w:t>Os módulos devem ter nomes funcionais, não abstratos. Exemplo: Plano de Contingência, Evento/Desastre, Abrigos, Ocorrências e Relatórios.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6324F"/>
            <w:tcBorders>
              <w:top w:val="single" w:sz="5" w:space="0" w:color="16324F"/>
              <w:left w:val="single" w:sz="5" w:space="0" w:color="16324F"/>
              <w:bottom w:val="single" w:sz="5" w:space="0" w:color="16324F"/>
              <w:right w:val="single" w:sz="5" w:space="0" w:color="16324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Princípio</w:t>
            </w:r>
          </w:p>
        </w:tc>
        <w:tc>
          <w:tcPr>
            <w:tcW w:type="dxa" w:w="3324"/>
            <w:shd w:fill="16324F"/>
            <w:tcBorders>
              <w:top w:val="single" w:sz="5" w:space="0" w:color="16324F"/>
              <w:left w:val="single" w:sz="5" w:space="0" w:color="16324F"/>
              <w:bottom w:val="single" w:sz="5" w:space="0" w:color="16324F"/>
              <w:right w:val="single" w:sz="5" w:space="0" w:color="16324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Regra prática</w:t>
            </w:r>
          </w:p>
        </w:tc>
        <w:tc>
          <w:tcPr>
            <w:tcW w:type="dxa" w:w="3324"/>
            <w:shd w:fill="16324F"/>
            <w:tcBorders>
              <w:top w:val="single" w:sz="5" w:space="0" w:color="16324F"/>
              <w:left w:val="single" w:sz="5" w:space="0" w:color="16324F"/>
              <w:bottom w:val="single" w:sz="5" w:space="0" w:color="16324F"/>
              <w:right w:val="single" w:sz="5" w:space="0" w:color="16324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Impacto esperado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Clareza operacional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Títulos objetivos, breadcrumbs, status visíveis e ações primárias únicas por bloco.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Redução de erro e navegação mais previsível.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Baixa carga cognitiva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No máximo 4 a 6 cards-chave no primeiro nível da tela.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Leitura mais rápida por coordenadores e analistas.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Feedback contínuo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Mensagens padronizadas de sucesso, erro, aviso e processamento.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Menor insegurança na execução de rotinas críticas.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Persistência de contexto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Filtros persistentes, rascunhos e retorno para a listagem com estado preservado.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Fluxo mais eficiente em cadastros longos.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Contraste funcional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Separar visualmente informação, ação e alerta.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Menos ambiguidade em telas densas.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Responsividade real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Não esconder funções críticas no mobile; reorganizar blocos, não mutilar conteúdo.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Uso viável em tablets e smartphones de campo.</w:t>
            </w:r>
          </w:p>
        </w:tc>
      </w:tr>
    </w:tbl>
    <w:p>
      <w:r>
        <w:br w:type="page"/>
      </w:r>
    </w:p>
    <w:p>
      <w:r>
        <w:rPr>
          <w:rFonts w:ascii="Aptos" w:hAnsi="Aptos"/>
          <w:b/>
          <w:i w:val="0"/>
          <w:color w:val="0B5CAD"/>
          <w:sz w:val="32"/>
        </w:rPr>
        <w:t>5. Arquitetura visual da área pública</w:t>
      </w:r>
    </w:p>
    <w:p>
      <w:pPr>
        <w:spacing w:before="0" w:after="160" w:line="276" w:lineRule="auto"/>
      </w:pPr>
      <w:r>
        <w:rPr>
          <w:rFonts w:ascii="Aptos" w:hAnsi="Aptos"/>
          <w:b w:val="0"/>
          <w:i w:val="0"/>
          <w:color w:val="203040"/>
          <w:sz w:val="22"/>
        </w:rPr>
        <w:t>A landing page pública deve vender valor institucional, demonstrar clareza funcional e converter o visitante em demonstração, contato comercial ou teste assistido.</w:t>
      </w:r>
    </w:p>
    <w:p>
      <w:r>
        <w:rPr>
          <w:rFonts w:ascii="Aptos" w:hAnsi="Aptos"/>
          <w:b/>
          <w:i w:val="0"/>
          <w:color w:val="16324F"/>
          <w:sz w:val="24"/>
        </w:rPr>
        <w:t>5.1 Hero section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Headline direta, subheadline orientada a valor, CTA principal Solicitar demonstração e CTA secundário Conhecer planos. Fundo limpo com imagem de operação ou mapa institucional.</w:t>
      </w:r>
    </w:p>
    <w:p>
      <w:r>
        <w:rPr>
          <w:rFonts w:ascii="Aptos" w:hAnsi="Aptos"/>
          <w:b/>
          <w:i w:val="0"/>
          <w:color w:val="16324F"/>
          <w:sz w:val="24"/>
        </w:rPr>
        <w:t>5.2 Seção de dores e transformação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Mostrar o antes e o depois: planilhas dispersas, improviso, perda de histórico versus fluxo padronizado, relatórios rápidos e coordenação clara.</w:t>
      </w:r>
    </w:p>
    <w:p>
      <w:r>
        <w:rPr>
          <w:rFonts w:ascii="Aptos" w:hAnsi="Aptos"/>
          <w:b/>
          <w:i w:val="0"/>
          <w:color w:val="16324F"/>
          <w:sz w:val="24"/>
        </w:rPr>
        <w:t>5.3 Como funciona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Explicar em 3 a 5 etapas: configurar órgão → estruturar território e plano → ativar evento → operar e registrar → consolidar relatórios e histórico.</w:t>
      </w:r>
    </w:p>
    <w:p>
      <w:r>
        <w:rPr>
          <w:rFonts w:ascii="Aptos" w:hAnsi="Aptos"/>
          <w:b/>
          <w:i w:val="0"/>
          <w:color w:val="16324F"/>
          <w:sz w:val="24"/>
        </w:rPr>
        <w:t>5.4 Módulos em destaque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Cards curtos para Plano de Contingência, Base Territorial, Evento/Desastre, SCI/SCO, Abrigos, Danos e Relatórios.</w:t>
      </w:r>
    </w:p>
    <w:p>
      <w:r>
        <w:rPr>
          <w:rFonts w:ascii="Aptos" w:hAnsi="Aptos"/>
          <w:b/>
          <w:i w:val="0"/>
          <w:color w:val="16324F"/>
          <w:sz w:val="24"/>
        </w:rPr>
        <w:t>5.5 Prova de valor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Indicadores qualitativos: menor retrabalho, maior rastreabilidade, padronização estadual, memória institucional e velocidade documental.</w:t>
      </w:r>
    </w:p>
    <w:p>
      <w:r>
        <w:rPr>
          <w:rFonts w:ascii="Aptos" w:hAnsi="Aptos"/>
          <w:b/>
          <w:i w:val="0"/>
          <w:color w:val="16324F"/>
          <w:sz w:val="24"/>
        </w:rPr>
        <w:t>5.6 Planos e preços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Apresentação comparativa objetiva, com foco em público municipal e estadual.</w:t>
      </w:r>
    </w:p>
    <w:p>
      <w:r>
        <w:rPr>
          <w:rFonts w:ascii="Aptos" w:hAnsi="Aptos"/>
          <w:b/>
          <w:i w:val="0"/>
          <w:color w:val="16324F"/>
          <w:sz w:val="24"/>
        </w:rPr>
        <w:t>5.7 FAQ e CTA final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Responder dúvidas de contratação, implantação, segurança, treinamento e suporte.</w:t>
      </w:r>
    </w:p>
    <w:p>
      <w:r>
        <w:rPr>
          <w:rFonts w:ascii="Aptos" w:hAnsi="Aptos"/>
          <w:b/>
          <w:i w:val="0"/>
          <w:color w:val="16324F"/>
          <w:sz w:val="24"/>
        </w:rPr>
        <w:t>5.8 Estrutura textual sugerida para a homepage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Headline: Planejamento, prontidão e gestão operacional de desastres em uma única plataforma.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Subheadline: O SIGEDC Brasil digitaliza fluxos críticos da Defesa Civil, do Plano de Contingência à resposta e ao histórico institucional.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CTA principal: Solicitar demonstração.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CTA secundário: Ver planos.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Mensagem de confiança: Plataforma especializada para municípios, estados e estruturas de coordenação regional.</w:t>
      </w:r>
    </w:p>
    <w:p>
      <w:r>
        <w:rPr>
          <w:rFonts w:ascii="Aptos" w:hAnsi="Aptos"/>
          <w:b/>
          <w:i w:val="0"/>
          <w:color w:val="0B5CAD"/>
          <w:sz w:val="32"/>
        </w:rPr>
        <w:t>6. Estrutura visual da área interna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5CAD"/>
            <w:tcBorders>
              <w:top w:val="single" w:sz="5" w:space="0" w:color="0B5CAD"/>
              <w:left w:val="single" w:sz="5" w:space="0" w:color="0B5CAD"/>
              <w:bottom w:val="single" w:sz="5" w:space="0" w:color="0B5CAD"/>
              <w:right w:val="single" w:sz="5" w:space="0" w:color="0B5CA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Camada</w:t>
            </w:r>
          </w:p>
        </w:tc>
        <w:tc>
          <w:tcPr>
            <w:tcW w:type="dxa" w:w="3324"/>
            <w:shd w:fill="0B5CAD"/>
            <w:tcBorders>
              <w:top w:val="single" w:sz="5" w:space="0" w:color="0B5CAD"/>
              <w:left w:val="single" w:sz="5" w:space="0" w:color="0B5CAD"/>
              <w:bottom w:val="single" w:sz="5" w:space="0" w:color="0B5CAD"/>
              <w:right w:val="single" w:sz="5" w:space="0" w:color="0B5CA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Diretriz</w:t>
            </w:r>
          </w:p>
        </w:tc>
        <w:tc>
          <w:tcPr>
            <w:tcW w:type="dxa" w:w="3324"/>
            <w:shd w:fill="0B5CAD"/>
            <w:tcBorders>
              <w:top w:val="single" w:sz="5" w:space="0" w:color="0B5CAD"/>
              <w:left w:val="single" w:sz="5" w:space="0" w:color="0B5CAD"/>
              <w:bottom w:val="single" w:sz="5" w:space="0" w:color="0B5CAD"/>
              <w:right w:val="single" w:sz="5" w:space="0" w:color="0B5CA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Sidebar lateral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Ícones simples, módulos nomeados de forma operacional, estados ativo/inativo e agrupamento por macrofluxo.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Usuário entende a estrutura do sistema sem treinamento extenso.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Topbar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Contexto do tenant, usuário, busca e atalhos rápidos.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Menor perda de tempo para alternar tarefas.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Dashboard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Cards resumidos, mapa ou quadro situacional, tarefas pendentes e alertas.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Leitura inicial orientada à decisão.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Listagens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Filtros persistentes, tabela limpa, paginação clara, ações contextuais.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Gestão mais produtiva de registros operacionais.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Formulários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Agrupamento por blocos lógicos, barra de progresso em cadastros longos, validação inline.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Menos abandono e menos erro de preenchimento.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Páginas de detalhe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Resumo executivo no topo e abas temáticas quando necessário.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Melhor consulta rápida de eventos e planos.</w:t>
            </w:r>
          </w:p>
        </w:tc>
      </w:tr>
      <w:tr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Módulos críticos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Estados e badges bem contrastados para evento ativo, abrigo lotado, pendência documental etc.</w:t>
            </w:r>
          </w:p>
        </w:tc>
        <w:tc>
          <w:tcPr>
            <w:tcW w:type="dxa" w:w="3324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Resposta mais rápida diante de exceções.</w:t>
            </w:r>
          </w:p>
        </w:tc>
      </w:tr>
    </w:tbl>
    <w:p>
      <w:r>
        <w:rPr>
          <w:rFonts w:ascii="Aptos" w:hAnsi="Aptos"/>
          <w:b/>
          <w:i w:val="0"/>
          <w:color w:val="16324F"/>
          <w:sz w:val="24"/>
        </w:rPr>
        <w:t>6.1 Fluxo macro recomendado de navegação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Dashboard inicial → visão do que exige atenção imediata.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Módulos de base → administração do tenant, território, riscos, abrigos e contatos.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Módulos de planejamento → Plano de Contingência, protocolos, responsabilidades e revisão.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Módulos de operação → Evento/Desastre, comando, objetivos, ocorrências, missões, danos e assistência.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Módulos de fechamento → relatórios, histórico, auditoria e lições aprendidas.</w:t>
      </w:r>
    </w:p>
    <w:p>
      <w:r>
        <w:rPr>
          <w:rFonts w:ascii="Aptos" w:hAnsi="Aptos"/>
          <w:b/>
          <w:i w:val="0"/>
          <w:color w:val="0B5CAD"/>
          <w:sz w:val="32"/>
        </w:rPr>
        <w:t>7. Design responsivo para desktop, tablet e mobile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6324F"/>
            <w:tcBorders>
              <w:top w:val="single" w:sz="5" w:space="0" w:color="16324F"/>
              <w:left w:val="single" w:sz="5" w:space="0" w:color="16324F"/>
              <w:bottom w:val="single" w:sz="5" w:space="0" w:color="16324F"/>
              <w:right w:val="single" w:sz="5" w:space="0" w:color="16324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Faixa</w:t>
            </w:r>
          </w:p>
        </w:tc>
        <w:tc>
          <w:tcPr>
            <w:tcW w:type="dxa" w:w="2493"/>
            <w:shd w:fill="16324F"/>
            <w:tcBorders>
              <w:top w:val="single" w:sz="5" w:space="0" w:color="16324F"/>
              <w:left w:val="single" w:sz="5" w:space="0" w:color="16324F"/>
              <w:bottom w:val="single" w:sz="5" w:space="0" w:color="16324F"/>
              <w:right w:val="single" w:sz="5" w:space="0" w:color="16324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Referência</w:t>
            </w:r>
          </w:p>
        </w:tc>
        <w:tc>
          <w:tcPr>
            <w:tcW w:type="dxa" w:w="2493"/>
            <w:shd w:fill="16324F"/>
            <w:tcBorders>
              <w:top w:val="single" w:sz="5" w:space="0" w:color="16324F"/>
              <w:left w:val="single" w:sz="5" w:space="0" w:color="16324F"/>
              <w:bottom w:val="single" w:sz="5" w:space="0" w:color="16324F"/>
              <w:right w:val="single" w:sz="5" w:space="0" w:color="16324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Comportamento</w:t>
            </w:r>
          </w:p>
        </w:tc>
        <w:tc>
          <w:tcPr>
            <w:tcW w:type="dxa" w:w="2493"/>
            <w:shd w:fill="16324F"/>
            <w:tcBorders>
              <w:top w:val="single" w:sz="5" w:space="0" w:color="16324F"/>
              <w:left w:val="single" w:sz="5" w:space="0" w:color="16324F"/>
              <w:bottom w:val="single" w:sz="5" w:space="0" w:color="16324F"/>
              <w:right w:val="single" w:sz="5" w:space="0" w:color="16324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Observação de projeto</w:t>
            </w:r>
          </w:p>
        </w:tc>
      </w:tr>
      <w:tr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Desktop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≥ 1280 px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Sidebar fixa, dashboards 3–4 colunas, filtros horizontais quando couber.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Ambiente principal para gestão administrativa e relatórios.</w:t>
            </w:r>
          </w:p>
        </w:tc>
      </w:tr>
      <w:tr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Notebook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1024–1279 px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Sidebar compacta e cards em 2–3 colunas.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Manter leitura limpa sem reduzir demais tipografia.</w:t>
            </w:r>
          </w:p>
        </w:tc>
      </w:tr>
      <w:tr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Tablet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768–1023 px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Empilhar blocos secundários abaixo do conteúdo principal.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Muito relevante para uso em sala de situação e campo.</w:t>
            </w:r>
          </w:p>
        </w:tc>
      </w:tr>
      <w:tr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Mobile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≤ 767 px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Topo simplificado, menu colapsado, formulários em coluna única, ações fixadas no rodapé quando crítico.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Evitar tabelas largas; usar cartões e acordeões em substituição.</w:t>
            </w:r>
          </w:p>
        </w:tc>
      </w:tr>
    </w:tbl>
    <w:p>
      <w:r>
        <w:rPr>
          <w:rFonts w:ascii="Aptos" w:hAnsi="Aptos"/>
          <w:b/>
          <w:i w:val="0"/>
          <w:color w:val="0B5CAD"/>
          <w:sz w:val="32"/>
        </w:rPr>
        <w:t>8. Componentes visuais prioritários</w:t>
      </w:r>
    </w:p>
    <w:p>
      <w:r>
        <w:rPr>
          <w:rFonts w:ascii="Aptos" w:hAnsi="Aptos"/>
          <w:b/>
          <w:i w:val="0"/>
          <w:color w:val="16324F"/>
          <w:sz w:val="24"/>
        </w:rPr>
        <w:t>Botões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Primário em azul; secundário com contorno azul; alerta em laranja; destrutivo em vermelho controlado apenas quando necessário.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Altura mínima confortável para toque em telas móveis.</w:t>
      </w:r>
    </w:p>
    <w:p>
      <w:r>
        <w:rPr>
          <w:rFonts w:ascii="Aptos" w:hAnsi="Aptos"/>
          <w:b/>
          <w:i w:val="0"/>
          <w:color w:val="16324F"/>
          <w:sz w:val="24"/>
        </w:rPr>
        <w:t>Cards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Cabeçalho curto, métrica principal, contexto secundário e ação clara.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Evitar blocos com texto excessivo.</w:t>
      </w:r>
    </w:p>
    <w:p>
      <w:r>
        <w:rPr>
          <w:rFonts w:ascii="Aptos" w:hAnsi="Aptos"/>
          <w:b/>
          <w:i w:val="0"/>
          <w:color w:val="16324F"/>
          <w:sz w:val="24"/>
        </w:rPr>
        <w:t>Badges e status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Usar código semântico consistente: sucesso, aviso, atenção, inativo, crítico.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Não depender apenas de cor; incluir texto.</w:t>
      </w:r>
    </w:p>
    <w:p>
      <w:r>
        <w:rPr>
          <w:rFonts w:ascii="Aptos" w:hAnsi="Aptos"/>
          <w:b/>
          <w:i w:val="0"/>
          <w:color w:val="16324F"/>
          <w:sz w:val="24"/>
        </w:rPr>
        <w:t>Formulários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Campos agrupados por assunto, rótulos sempre visíveis e ajuda contextual curta.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Calendário, upload, mapa e seleção múltipla devem ser estáveis em tablet.</w:t>
      </w:r>
    </w:p>
    <w:p>
      <w:r>
        <w:rPr>
          <w:rFonts w:ascii="Aptos" w:hAnsi="Aptos"/>
          <w:b/>
          <w:i w:val="0"/>
          <w:color w:val="16324F"/>
          <w:sz w:val="24"/>
        </w:rPr>
        <w:t>Tabelas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Priorizar colunas essenciais, cabeçalhos fixos quando útil, filtros claros e exportação fácil.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No mobile, converter para lista em cartões.</w:t>
      </w:r>
    </w:p>
    <w:p>
      <w:r>
        <w:br w:type="page"/>
      </w:r>
    </w:p>
    <w:p>
      <w:r>
        <w:rPr>
          <w:rFonts w:ascii="Aptos" w:hAnsi="Aptos"/>
          <w:b/>
          <w:i w:val="0"/>
          <w:color w:val="0B5CAD"/>
          <w:sz w:val="32"/>
        </w:rPr>
        <w:t>9. Marketing digital do sistema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2"/>
        </w:rPr>
        <w:t>O marketing precisa ser técnico, convincente e institucional. A compra tende a ser racional, orientada à redução de risco operacional, ganho de organização e padronização administrativa.</w:t>
      </w:r>
    </w:p>
    <w:p>
      <w:r>
        <w:rPr>
          <w:rFonts w:ascii="Aptos" w:hAnsi="Aptos"/>
          <w:b/>
          <w:i w:val="0"/>
          <w:color w:val="16324F"/>
          <w:sz w:val="24"/>
        </w:rPr>
        <w:t>9.1 Pilares de comunicação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Especialização: software desenhado para a realidade de Proteção e Defesa Civil.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Clareza operacional: menos improviso, mais processo, melhor coordenação.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Rastreabilidade: histórico, auditoria e relatórios estruturados.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Escalabilidade federativa: atende municípios, consórcios, capitais e estados.</w:t>
      </w:r>
    </w:p>
    <w:p>
      <w:r>
        <w:rPr>
          <w:rFonts w:ascii="Aptos" w:hAnsi="Aptos"/>
          <w:b/>
          <w:i w:val="0"/>
          <w:color w:val="16324F"/>
          <w:sz w:val="24"/>
        </w:rPr>
        <w:t>9.2 Canais recomendados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Site institucional com landing page clara e área de demonstração.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LinkedIn para posicionamento profissional e relacionamento com gestores públicos.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YouTube para vídeos curtos demonstrando casos de uso, fluxos e diferenciais.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E-mail marketing consultivo para leads oriundos de eventos, cursos, webinars e associações municipalistas.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Materiais ricos: guia de implantação, checklist de prontidão, ebook sobre digitalização do Plano de Contingência.</w:t>
      </w:r>
    </w:p>
    <w:p>
      <w:r>
        <w:rPr>
          <w:rFonts w:ascii="Aptos" w:hAnsi="Aptos"/>
          <w:b/>
          <w:i w:val="0"/>
          <w:color w:val="16324F"/>
          <w:sz w:val="24"/>
        </w:rPr>
        <w:t>9.3 Mensagens-chave para campanhas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5CAD"/>
            <w:tcBorders>
              <w:top w:val="single" w:sz="5" w:space="0" w:color="0B5CAD"/>
              <w:left w:val="single" w:sz="5" w:space="0" w:color="0B5CAD"/>
              <w:bottom w:val="single" w:sz="5" w:space="0" w:color="0B5CAD"/>
              <w:right w:val="single" w:sz="5" w:space="0" w:color="0B5CA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Tema</w:t>
            </w:r>
          </w:p>
        </w:tc>
        <w:tc>
          <w:tcPr>
            <w:tcW w:type="dxa" w:w="4986"/>
            <w:shd w:fill="0B5CAD"/>
            <w:tcBorders>
              <w:top w:val="single" w:sz="5" w:space="0" w:color="0B5CAD"/>
              <w:left w:val="single" w:sz="5" w:space="0" w:color="0B5CAD"/>
              <w:bottom w:val="single" w:sz="5" w:space="0" w:color="0B5CAD"/>
              <w:right w:val="single" w:sz="5" w:space="0" w:color="0B5CA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Mensagem</w:t>
            </w:r>
          </w:p>
        </w:tc>
      </w:tr>
      <w:tr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Planejamento</w:t>
            </w:r>
          </w:p>
        </w:tc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Transforme planos estáticos em rotinas digitais executáveis.</w:t>
            </w:r>
          </w:p>
        </w:tc>
      </w:tr>
      <w:tr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Operação</w:t>
            </w:r>
          </w:p>
        </w:tc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Ative eventos, organize equipes, registre ocorrências e acompanhe a resposta em um único ambiente.</w:t>
            </w:r>
          </w:p>
        </w:tc>
      </w:tr>
      <w:tr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Gestão</w:t>
            </w:r>
          </w:p>
        </w:tc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Padronize a atuação institucional e reduza retrabalho documental.</w:t>
            </w:r>
          </w:p>
        </w:tc>
      </w:tr>
      <w:tr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Governança</w:t>
            </w:r>
          </w:p>
        </w:tc>
        <w:tc>
          <w:tcPr>
            <w:tcW w:type="dxa" w:w="4986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Preserve memória institucional, evidências e lições aprendidas para futuras respostas.</w:t>
            </w:r>
          </w:p>
        </w:tc>
      </w:tr>
    </w:tbl>
    <w:p>
      <w:r>
        <w:rPr>
          <w:rFonts w:ascii="Aptos" w:hAnsi="Aptos"/>
          <w:b/>
          <w:i w:val="0"/>
          <w:color w:val="16324F"/>
          <w:sz w:val="24"/>
        </w:rPr>
        <w:t>9.4 Estratégia de conversão da landing page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CTA principal sempre visível: Solicitar demonstração.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Formulário enxuto com nome, órgão, cargo, e-mail e porte institucional.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Página de planos com comparação simples e botão de contato comercial.</w:t>
      </w:r>
    </w:p>
    <w:p>
      <w:pPr>
        <w:pStyle w:val="ListBullet"/>
        <w:spacing w:before="0" w:after="40" w:line="276" w:lineRule="auto"/>
        <w:ind w:left="113"/>
      </w:pPr>
      <w:r>
        <w:rPr>
          <w:rFonts w:ascii="Aptos" w:hAnsi="Aptos"/>
          <w:b w:val="0"/>
          <w:i w:val="0"/>
          <w:color w:val="203040"/>
          <w:sz w:val="21"/>
        </w:rPr>
        <w:t>Oferta de diagnóstico inicial ou demonstração guiada como incentivo de entrada.</w:t>
      </w:r>
    </w:p>
    <w:p>
      <w:r>
        <w:rPr>
          <w:rFonts w:ascii="Aptos" w:hAnsi="Aptos"/>
          <w:b/>
          <w:i w:val="0"/>
          <w:color w:val="0B5CAD"/>
          <w:sz w:val="32"/>
        </w:rPr>
        <w:t>10. Estrutura recomendada dos planos comerciais na página pública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6324F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Camada</w:t>
            </w:r>
          </w:p>
        </w:tc>
        <w:tc>
          <w:tcPr>
            <w:tcW w:type="dxa" w:w="2493"/>
            <w:shd w:fill="0B5CAD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Essencial Municipal</w:t>
            </w:r>
          </w:p>
        </w:tc>
        <w:tc>
          <w:tcPr>
            <w:tcW w:type="dxa" w:w="2493"/>
            <w:shd w:fill="0B5CAD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Profissional Municipal</w:t>
            </w:r>
          </w:p>
        </w:tc>
        <w:tc>
          <w:tcPr>
            <w:tcW w:type="dxa" w:w="2493"/>
            <w:shd w:fill="0B5CAD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Corporativo Estadual</w:t>
            </w:r>
          </w:p>
        </w:tc>
      </w:tr>
      <w:tr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Foco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Municípios pequenos e médios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Municípios com equipe técnica estruturada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Estados, capitais e grandes operações</w:t>
            </w:r>
          </w:p>
        </w:tc>
      </w:tr>
      <w:tr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Entrega principal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Plano de Contingência guiado, base cadastral e ativação inicial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Operação do desastre, abrigos, ocorrências, relatórios e histórico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Visão multiunidade, padronização regional, dashboards executivos e governança</w:t>
            </w:r>
          </w:p>
        </w:tc>
      </w:tr>
      <w:tr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  <w:shd w:fill="F4F8FC"/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/>
                <w:i w:val="0"/>
                <w:color w:val="203040"/>
                <w:sz w:val="18"/>
              </w:rPr>
              <w:t>Argumento de venda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Começar rápido com baixo esforço de implantação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Profissionalizar a operação e reduzir retrabalho</w:t>
            </w:r>
          </w:p>
        </w:tc>
        <w:tc>
          <w:tcPr>
            <w:tcW w:type="dxa" w:w="2493"/>
            <w:tcBorders>
              <w:top w:val="single" w:sz="5" w:space="0" w:color="D8E2EE"/>
              <w:left w:val="single" w:sz="5" w:space="0" w:color="D8E2EE"/>
              <w:bottom w:val="single" w:sz="5" w:space="0" w:color="D8E2EE"/>
              <w:right w:val="single" w:sz="5" w:space="0" w:color="D8E2EE"/>
            </w:tcBorders>
          </w:tcPr>
          <w:p>
            <w:pPr>
              <w:spacing w:before="20" w:after="20" w:line="276" w:lineRule="auto"/>
            </w:pPr>
            <w:r>
              <w:rPr>
                <w:rFonts w:ascii="Aptos" w:hAnsi="Aptos"/>
                <w:b w:val="0"/>
                <w:i w:val="0"/>
                <w:color w:val="203040"/>
                <w:sz w:val="18"/>
              </w:rPr>
              <w:t>Padronizar múltiplos entes e ganhar visão consolidada</w:t>
            </w:r>
          </w:p>
        </w:tc>
      </w:tr>
    </w:tbl>
    <w:p>
      <w:r>
        <w:rPr>
          <w:rFonts w:ascii="Aptos" w:hAnsi="Aptos"/>
          <w:b/>
          <w:i w:val="0"/>
          <w:color w:val="0B5CAD"/>
          <w:sz w:val="32"/>
        </w:rPr>
        <w:t>11. Recomendações finais de implementação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Criar um design system com tokens de cor, tipografia, espaçamento, estados e componentes reutilizáveis antes da expansão visual do frontend.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Prototipar primeiro as telas críticas do MVP: login, dashboard, listagem padrão, formulário padrão, detalhe do evento/desastre e landing page pública.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Validar os fluxos com usuários reais da Defesa Civil para evitar uma interface bonita, porém desalinhada da operação.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Evitar excesso de efeitos visuais, fundos carregados ou iconografia ornamental. O sistema precisa transmitir seriedade, velocidade e confiança.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olor w:val="203040"/>
          <w:sz w:val="21"/>
        </w:rPr>
        <w:t>Manter consistência entre marca e produto: a landing page promete organização; a área interna deve comprovar essa promessa imediatamente.</w:t>
      </w:r>
    </w:p>
    <w:p>
      <w:r>
        <w:rPr>
          <w:rFonts w:ascii="Aptos" w:hAnsi="Aptos"/>
          <w:b/>
          <w:i w:val="0"/>
          <w:color w:val="0B5CAD"/>
          <w:sz w:val="32"/>
        </w:rPr>
        <w:t>12. Síntese executiva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2"/>
        </w:rPr>
        <w:t>A identidade visual do SIGEDC Brasil deve combinar institucionalidade, legibilidade e senso de prontidão operacional.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2"/>
        </w:rPr>
        <w:t>O site público deve explicar rapidamente o problema que resolve, como funciona, para quem serve e quais planos estão disponíveis.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2"/>
        </w:rPr>
        <w:t>As páginas internas devem conduzir o usuário por módulos e etapas, sempre sinalizando o fluxo correto da operação.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3040"/>
          <w:sz w:val="22"/>
        </w:rPr>
        <w:t>A estratégia de marketing digital deve enfatizar especialização, padronização e ganho real de governança para órgãos de Defesa Civil.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EEF5FB"/>
            <w:tcBorders>
              <w:top w:val="single" w:sz="6" w:space="0" w:color="C8DAEE"/>
              <w:left w:val="single" w:sz="6" w:space="0" w:color="C8DAEE"/>
              <w:bottom w:val="single" w:sz="6" w:space="0" w:color="C8DAEE"/>
              <w:right w:val="single" w:sz="6" w:space="0" w:color="C8DAEE"/>
            </w:tcBorders>
          </w:tcPr>
          <w:p>
            <w:pPr>
              <w:spacing w:before="80" w:after="80" w:line="276" w:lineRule="auto"/>
            </w:pPr>
            <w:r>
              <w:rPr>
                <w:rFonts w:ascii="Aptos" w:hAnsi="Aptos"/>
                <w:b/>
                <w:i w:val="0"/>
                <w:color w:val="16324F"/>
                <w:sz w:val="21"/>
              </w:rPr>
              <w:t>Resultado esperado para a próxima etapa: transformar este documento em guia operacional de UI/UX com wireframes, tokens CSS, biblioteca de componentes e protótipos das principais telas.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A7B8C"/>
        <w:sz w:val="18"/>
      </w:rPr>
      <w:t>Identidade Visual, UX/UI e Diretrizes de Marketing 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A7B8C"/>
        <w:sz w:val="18"/>
      </w:rPr>
      <w:t>SIGEDC Brasil | Documento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Title"/>
    <w:rPr>
      <w:rFonts w:ascii="Aptos" w:hAnsi="Aptos"/>
      <w:b/>
      <w:color w:val="0B5CAD"/>
      <w:sz w:val="56"/>
    </w:rPr>
  </w:style>
  <w:style w:type="paragraph" w:customStyle="1" w:styleId="CoverSub">
    <w:name w:val="CoverSub"/>
    <w:basedOn w:val="Subtitle"/>
    <w:rPr>
      <w:rFonts w:ascii="Aptos" w:hAnsi="Aptos"/>
      <w:b w:val="0"/>
      <w:color w:val="2F4B66"/>
      <w:sz w:val="26"/>
    </w:rPr>
  </w:style>
  <w:style w:type="paragraph" w:customStyle="1" w:styleId="SectionBand">
    <w:name w:val="SectionBand"/>
    <w:basedOn w:val="Heading1"/>
    <w:rPr>
      <w:rFonts w:ascii="Aptos" w:hAnsi="Aptos"/>
      <w:b/>
      <w:color w:val="FFFFFF"/>
      <w:sz w:val="28"/>
    </w:rPr>
  </w:style>
  <w:style w:type="paragraph" w:customStyle="1" w:styleId="H1Custom">
    <w:name w:val="H1Custom"/>
    <w:basedOn w:val="Heading1"/>
    <w:rPr>
      <w:rFonts w:ascii="Aptos" w:hAnsi="Aptos"/>
      <w:b/>
      <w:color w:val="0B5CAD"/>
      <w:sz w:val="32"/>
    </w:rPr>
  </w:style>
  <w:style w:type="paragraph" w:customStyle="1" w:styleId="H2Custom">
    <w:name w:val="H2Custom"/>
    <w:basedOn w:val="Heading2"/>
    <w:rPr>
      <w:rFonts w:ascii="Aptos" w:hAnsi="Aptos"/>
      <w:b/>
      <w:color w:val="16324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