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21CA" w14:textId="09AA0E10" w:rsidR="005B4852" w:rsidRPr="00A253A9" w:rsidRDefault="005B4852" w:rsidP="005B4852">
      <w:pPr>
        <w:spacing w:before="360" w:after="120"/>
        <w:jc w:val="center"/>
        <w:outlineLvl w:val="1"/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</w:pPr>
      <w:r w:rsidRPr="00A253A9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  <w:t xml:space="preserve">Keyword-Sammlung aus </w:t>
      </w:r>
      <w:r w:rsidR="00F4478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  <w:t>Brandreden</w:t>
      </w:r>
      <w:r w:rsidR="00F44782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de-DE"/>
          <w14:ligatures w14:val="none"/>
        </w:rPr>
        <w:t xml:space="preserve"> (Wiegel, 2022)</w:t>
      </w:r>
    </w:p>
    <w:p w14:paraId="00FC1957" w14:textId="77777777" w:rsidR="005B4852" w:rsidRPr="00A253A9" w:rsidRDefault="005B4852" w:rsidP="005B4852">
      <w:pPr>
        <w:spacing w:before="360" w:after="120"/>
        <w:jc w:val="both"/>
        <w:outlineLvl w:val="1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</w:p>
    <w:p w14:paraId="02194FDE" w14:textId="4B6D8E08" w:rsidR="005B4852" w:rsidRPr="00A253A9" w:rsidRDefault="005B4852" w:rsidP="005B4852">
      <w:pPr>
        <w:spacing w:before="360" w:after="120"/>
        <w:jc w:val="both"/>
        <w:outlineLvl w:val="1"/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</w:pP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Flucht = c(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flucht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"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"asyl", "flüchtling",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geflüchtet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migrieren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immigrieren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immigrant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immigration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"migration",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migrant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, "illegal", "integrieren"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integration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asylbewerb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aufenthalt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wirtschaftsflüchtling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sozialflüchtling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kopftuch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muslim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islam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koran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sharia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scharia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 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syrien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terror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terrorismus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terroristen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sozialbetrüger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überflut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arbeitnehmerimport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kulturfremd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messerattacke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messerstecher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fremdstaatler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kostgänger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ausländer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ausland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umvolkung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remigration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bevölkerungsaustausch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austausch des staatsvolk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 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familiennachzug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massenmigration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halal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schächten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clan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fremdkulturell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afrika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nordafrika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nafri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arab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zuwanderer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vollverschleier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burka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grenze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grenzkontrolle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schlepper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schmuggel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schmuggler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einheimische bevölkerung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resettlement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umsiedlung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völkerverschiebung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afghan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jedermannsland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salafis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halbneger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neger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kümmeltürke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kamel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eingewandert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einwander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messermänner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stammeskultur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analphabet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gefährder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ausplündern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messereinwanderung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abschieben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mittelmeer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seenotrett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moslem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vielfalt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multikulti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rassis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umvolkung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no-go area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dammbruch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völkerwanderung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polygam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fremd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großer austausch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volkstod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welle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flut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siedlungsgebiet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nordafrika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asylpolitik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multikulturalis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schlepperbanden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herkunftsland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herkunftsländer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clankriminalität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clanmitglieder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orientalisch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orient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ethno-clan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grenzöffnung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migrationspakt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flüchtlingskrise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migrationskrise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willkommenskultur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einreise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einreisekontrollen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wirtschaftsmigrant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asylbehaupter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asylheim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flüchtlingsheim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flüchtlingsunterkunft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bootsbetrüger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gastland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sozialtourismus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ausreisepflichtig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„</w:t>
      </w:r>
      <w:r w:rsidRPr="005B485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great reset</w:t>
      </w:r>
      <w:r w:rsidR="00F44782">
        <w:rPr>
          <w:rFonts w:ascii="Arial" w:eastAsia="Times New Roman" w:hAnsi="Arial" w:cs="Arial"/>
          <w:noProof/>
          <w:color w:val="333333"/>
          <w:kern w:val="0"/>
          <w:sz w:val="22"/>
          <w:szCs w:val="22"/>
          <w:shd w:val="clear" w:color="auto" w:fill="FFFFFF"/>
          <w:lang w:eastAsia="de-DE"/>
          <w14:ligatures w14:val="none"/>
        </w:rPr>
        <w:t>“</w:t>
      </w:r>
      <w:r w:rsidRPr="005B485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),</w:t>
      </w:r>
    </w:p>
    <w:p w14:paraId="777B4983" w14:textId="5401DA0E" w:rsidR="00A253A9" w:rsidRPr="00A253A9" w:rsidRDefault="00A253A9" w:rsidP="005B4852">
      <w:pPr>
        <w:spacing w:before="360" w:after="120"/>
        <w:jc w:val="both"/>
        <w:outlineLvl w:val="1"/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</w:pP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Familie = c( "ehe", "haushalt",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eltern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kind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jugendlich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feminismus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feministin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antifeminismus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antifeministen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Frau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trans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mann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männer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geschlecht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nachwuchs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gleichstellung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gleichgestellt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gleichberechtigt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gleichberechtigung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geburtenrate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familie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familienpolitik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gleichheit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gender-mainstream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gendergaga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kulturmarxismus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geschlechterkampf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benachteiligung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frühsexualisierung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 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volkskörper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geboren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geburt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mutter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vater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mütter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väter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krippe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kindergarten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kindergärten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kita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68er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zweigeschlechtlich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dritte geschlecht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divers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genderideologie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geschlechtsidentität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baby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babymord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babymörder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abtreibung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schwangerschaft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schwanger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schwangerschaftsabbruch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218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219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frauentag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mainstream-feminismus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gleichstellungspolitik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genderkritik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männerfeindlich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misandrie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frauenbewegung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sexismus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sexistisch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quotenpolitik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quote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frauenquote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frauen in führungspositionen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sexuelle gewalt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vergewaltigung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genderpolitik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bevölkerungspolitisch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geschlechtergleichstellung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gleichstellung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schwangerschaftskonfliktberatung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lebensrecht ungeborener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regenbogenfahne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transsexuellengesetz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sexuelle belästigung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333333"/>
          <w:sz w:val="22"/>
          <w:szCs w:val="22"/>
        </w:rPr>
        <w:t>entsexualisiert</w:t>
      </w:r>
      <w:r w:rsidR="00F44782">
        <w:rPr>
          <w:rFonts w:ascii="Arial" w:hAnsi="Arial" w:cs="Arial"/>
          <w:noProof/>
          <w:color w:val="333333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),</w:t>
      </w:r>
    </w:p>
    <w:p w14:paraId="51F74628" w14:textId="6D2B9199" w:rsidR="00A253A9" w:rsidRPr="00A253A9" w:rsidRDefault="00A253A9" w:rsidP="00A253A9">
      <w:pPr>
        <w:spacing w:before="360" w:after="120"/>
        <w:jc w:val="both"/>
        <w:outlineLvl w:val="1"/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  <w:lang w:eastAsia="de-DE"/>
          <w14:ligatures w14:val="none"/>
        </w:rPr>
      </w:pP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Klimawandel = c(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klimawandel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"klimaschutz", "nachhaltig", "umweltschutz",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umwelt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"energiewende",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erneuerbare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wasserkraft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solar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erderwärmung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wetter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heißeste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heizung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windenergie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sonnenenergie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greta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thunberg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fridays for future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fff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schulstreik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umweltaktivis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klimaleugner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greta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klimaschutzwahn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co2-neutral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klimaneutral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emission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kohle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kohlestrom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kohleausstieg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atom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atomenergie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atomausstieg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kernkraft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e-auto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ökodiktatur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klimafreundlich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umweltfreundlich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ökosozialismus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),</w:t>
      </w:r>
    </w:p>
    <w:p w14:paraId="164B5A87" w14:textId="109F96E5" w:rsidR="00A253A9" w:rsidRPr="00A253A9" w:rsidRDefault="00A253A9" w:rsidP="00A253A9">
      <w:pPr>
        <w:spacing w:before="360" w:after="120"/>
        <w:jc w:val="both"/>
        <w:outlineLvl w:val="1"/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</w:pP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Corona = c("corona", "pandemie",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corona-pandemie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"lockdown",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covid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covid-19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maske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corona-regeln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corona-schutzverordnung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virus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viren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ansteckung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impfen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lastRenderedPageBreak/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impfzwang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coronadiktatur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DDR 2.0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verschwörung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widerstand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meinungsfreiheit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zensur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mundtot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coronakrise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shutdown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hygieneregeln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ansteckungsgefahr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mundschutz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quarantäne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quarantäneregeln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quarantänemaßnahmen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schulschließung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kita-öffnung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coronaherd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virologe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notstandsregime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seuchenregiment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corona-maßnahmen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freiheitsrechte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querdenken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querdenker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fehlalarm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abschottung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segregation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verschwörungspraktiker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risikogruppe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infektion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infiziert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corona-test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pcr-test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corona-positiv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ausbreitung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infektionsausbreitung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corona-risikogebiet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notstandskabinett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ermächtigungsgesetz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coronahysterie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mund-nase-schutz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drosten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Coronapanikkrise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gesundheitsdiktatur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grippe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fallzahlen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massenimpfung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superspreader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inzidenz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impfschäden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impfrisiken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 xml:space="preserve">, 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„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pandemisch</w:t>
      </w:r>
      <w:r w:rsidR="00F44782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“</w:t>
      </w:r>
      <w:r w:rsidRPr="00A253A9">
        <w:rPr>
          <w:rFonts w:ascii="Arial" w:eastAsia="Times New Roman" w:hAnsi="Arial" w:cs="Arial"/>
          <w:noProof/>
          <w:color w:val="000000"/>
          <w:kern w:val="0"/>
          <w:sz w:val="22"/>
          <w:szCs w:val="22"/>
          <w:lang w:eastAsia="de-DE"/>
          <w14:ligatures w14:val="none"/>
        </w:rPr>
        <w:t>),</w:t>
      </w:r>
    </w:p>
    <w:p w14:paraId="628D6868" w14:textId="2543A782" w:rsidR="00A253A9" w:rsidRPr="00A253A9" w:rsidRDefault="00A253A9" w:rsidP="00A253A9">
      <w:pPr>
        <w:spacing w:before="360" w:after="120"/>
        <w:jc w:val="both"/>
        <w:outlineLvl w:val="1"/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  <w:lang w:eastAsia="de-DE"/>
          <w14:ligatures w14:val="none"/>
        </w:rPr>
      </w:pPr>
      <w:r w:rsidRPr="00A253A9">
        <w:rPr>
          <w:rFonts w:ascii="Arial" w:hAnsi="Arial" w:cs="Arial"/>
          <w:noProof/>
          <w:color w:val="000000"/>
          <w:sz w:val="22"/>
          <w:szCs w:val="22"/>
        </w:rPr>
        <w:t>NS_Vergangenheit = c(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NS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NS-Vergangenheit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"NS-verbrechen", "Weltkrieg",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holocaust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shoa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jude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jüdin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jüdisch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hitler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NSDAP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nationalsozialisten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nationalsozialismus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deutsches reich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dritten reich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drittes reich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deutsche geschichte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deutschen geschichte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antisemit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nazi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gräueltat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denkmal der schande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schuldkomplex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schuldkult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mahnmal unserer schande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nazikeule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NS-Politik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kampf gegen rechts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linksextrem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vogelschiss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völkermord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verbrechen gegen die menschlichkeit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faschistisch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faschismus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nachkriegsgeschichte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verbrechernation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ns-vernichtungskrieg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auschwitz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kz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konzentrationslager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judenvernichtung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vergasen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gaskammer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schuldbewusstsein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gedächtnispolitik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kz-besuche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vernichtungslager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 xml:space="preserve">, 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„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gestapo</w:t>
      </w:r>
      <w:r w:rsidR="00F44782">
        <w:rPr>
          <w:rFonts w:ascii="Arial" w:hAnsi="Arial" w:cs="Arial"/>
          <w:noProof/>
          <w:color w:val="000000"/>
          <w:sz w:val="22"/>
          <w:szCs w:val="22"/>
        </w:rPr>
        <w:t>“</w:t>
      </w:r>
      <w:r w:rsidRPr="00A253A9">
        <w:rPr>
          <w:rFonts w:ascii="Arial" w:hAnsi="Arial" w:cs="Arial"/>
          <w:noProof/>
          <w:color w:val="000000"/>
          <w:sz w:val="22"/>
          <w:szCs w:val="22"/>
        </w:rPr>
        <w:t>)</w:t>
      </w:r>
    </w:p>
    <w:p w14:paraId="1E7E44D0" w14:textId="3110A13B" w:rsidR="00A253A9" w:rsidRPr="005B4852" w:rsidRDefault="00A253A9" w:rsidP="005B4852">
      <w:pPr>
        <w:spacing w:before="360" w:after="120"/>
        <w:jc w:val="both"/>
        <w:outlineLvl w:val="1"/>
        <w:rPr>
          <w:rFonts w:ascii="Arial" w:eastAsia="Times New Roman" w:hAnsi="Arial" w:cs="Arial"/>
          <w:b/>
          <w:bCs/>
          <w:noProof/>
          <w:color w:val="000000"/>
          <w:kern w:val="0"/>
          <w:sz w:val="22"/>
          <w:szCs w:val="22"/>
          <w:lang w:eastAsia="de-DE"/>
          <w14:ligatures w14:val="none"/>
        </w:rPr>
      </w:pPr>
    </w:p>
    <w:p w14:paraId="2439B047" w14:textId="54D69942" w:rsidR="009D1586" w:rsidRPr="00A253A9" w:rsidRDefault="009D1586">
      <w:pPr>
        <w:rPr>
          <w:rFonts w:ascii="Arial" w:hAnsi="Arial" w:cs="Arial"/>
          <w:noProof/>
          <w:sz w:val="22"/>
          <w:szCs w:val="22"/>
        </w:rPr>
      </w:pPr>
    </w:p>
    <w:sectPr w:rsidR="009D1586" w:rsidRPr="00A253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52"/>
    <w:rsid w:val="000F1312"/>
    <w:rsid w:val="00365423"/>
    <w:rsid w:val="005B4852"/>
    <w:rsid w:val="007F5AE7"/>
    <w:rsid w:val="009C636F"/>
    <w:rsid w:val="009D1586"/>
    <w:rsid w:val="00A253A9"/>
    <w:rsid w:val="00F4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2A1389"/>
  <w15:chartTrackingRefBased/>
  <w15:docId w15:val="{1FFE85A9-4F28-E645-A5C1-F6B767E4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4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4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4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4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4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48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48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48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48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4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4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4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48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48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48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48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48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48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48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4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48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4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48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48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48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48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4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48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4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776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 Paula</dc:creator>
  <cp:keywords/>
  <dc:description/>
  <cp:lastModifiedBy>Hagen, Paula</cp:lastModifiedBy>
  <cp:revision>2</cp:revision>
  <dcterms:created xsi:type="dcterms:W3CDTF">2024-03-28T10:24:00Z</dcterms:created>
  <dcterms:modified xsi:type="dcterms:W3CDTF">2024-03-28T11:22:00Z</dcterms:modified>
</cp:coreProperties>
</file>