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cs="Calibri" w:eastAsia="Calibri"/>
          <w:b/>
          <w:i w:val="0"/>
          <w:color w:val="0B2545"/>
          <w:sz w:val="44"/>
        </w:rPr>
        <w:t>PROPUESTA COMERCIAL</w:t>
      </w:r>
    </w:p>
    <w:p>
      <w:pPr>
        <w:spacing w:after="120"/>
      </w:pPr>
      <w:r>
        <w:rPr>
          <w:rFonts w:ascii="Calibri" w:hAnsi="Calibri" w:cs="Calibri" w:eastAsia="Calibri"/>
          <w:b/>
          <w:i w:val="0"/>
          <w:color w:val="2E74B5"/>
          <w:sz w:val="32"/>
        </w:rPr>
        <w:t>Implementación y servicio administrado de LexContratos</w:t>
      </w:r>
    </w:p>
    <w:p>
      <w:pPr>
        <w:spacing w:after="280"/>
      </w:pPr>
      <w:r>
        <w:rPr>
          <w:rFonts w:ascii="Calibri" w:hAnsi="Calibri" w:cs="Calibri" w:eastAsia="Calibri"/>
          <w:b w:val="0"/>
          <w:i w:val="0"/>
          <w:color w:val="5E6B7A"/>
          <w:sz w:val="23"/>
        </w:rPr>
        <w:t>Asistente contractual para llenado de generales, extracción documental, biblioteca de formatos y expedientes contractuales.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Dirigido 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Grupo COCEI | Dirección General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Atención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Gustavo Gaeta Lares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Presenta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Paula Tarragó Calvis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Fecha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26 de mayo de 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Carácter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Propuesta inicial sujeta a aceptación, validación de volumen documental y configuración final</w:t>
            </w:r>
          </w:p>
        </w:tc>
      </w:tr>
    </w:tbl>
    <w:p>
      <w:pPr>
        <w:spacing w:after="16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4E6"/>
            <w:tcBorders>
              <w:top w:val="single" w:sz="8" w:space="0" w:color="C79B3B"/>
              <w:left w:val="single" w:sz="8" w:space="0" w:color="C79B3B"/>
              <w:bottom w:val="single" w:sz="8" w:space="0" w:color="C79B3B"/>
              <w:right w:val="single" w:sz="8" w:space="0" w:color="C79B3B"/>
            </w:tcBorders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F4D78"/>
                <w:sz w:val="18"/>
              </w:rPr>
              <w:t>PROPUESTA ECONÓMICA RESUMIDA</w:t>
            </w:r>
          </w:p>
          <w:p>
            <w:pPr>
              <w:spacing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1"/>
              </w:rPr>
              <w:t>Implementación inicial: $50,000 MXN más IVA. Servicio administrado mensual: $10,000 MXN más IVA, incluyendo operación, soporte básico, bolsa razonable de consumos ordinarios de infraestructura, correos, almacenamiento, inteligencia artificial documental y hasta 50 solicitudes de firma electrónica API al mes. Las solicitudes adicionales se trasladarán al cliente al costo comprobable del proveedor más 15% de administración.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1. Resumen ejecutivo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LexContratos es una herramienta privada de apoyo contractual diseñada para reducir captura manual, evitar errores repetitivos y ordenar expedientes de contratos en un solo lugar. El sistema permite trabajar con formatos o drafts precargados, importar documentos propios, detectar campos editables, cargar documentos soporte por parte, extraer datos corporativos y prellenar información validable para que el usuario revise, corrija y conserve siempre el control del contenido final.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propuesta no plantea sustituir el criterio jurídico ni automatizar decisiones legales sin revisión. LexContratos opera como un asistente operativo: acelera el llenado de generales, ayuda a identificar datos faltantes, organiza documentos y prepara versiones editables para revisión, exportación a Word y, cuando se active el proveedor correspondiente, envío a firma electrónica.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2. Alcance de la implementación inicial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implementación inicial de LexContratos contempla una versión privada para uso interno controlado. El objetivo es contar con una herramienta seria, presentable y suficientemente robusta para que abogados y personal autorizado puedan probar flujos reales con documentos ficticios o controlados antes de ampliar su uso.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Landing pública sobria y app privada detrás de inicio de sesión.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Registro, acceso por usuario, control de licencia y panel de administración para activar, suspender o eliminar usuarios.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Catálogo de formatos/drafts contractuales, incluyendo formatos validados temporalmente como “OK Tony” y posibilidad de importar documentos propios.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Creación de expedientes contractuales con folio, carpetas tipo explorador y opción de “Guardar como”.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Carga de documentos por parte: actas, pólizas, poderes, constancias fiscales, identificaciones oficiales, PDFs, Word, Excel, imágenes y correos cuando el flujo lo permita.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Extracción de datos corporativos y llenado de campos repetitivos, con opción de captura manual para datos faltantes.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Exportación a Word con formato legal, fuente predeterminada Georgia, membrete/logotipo seleccionado y área de firmas ordenada.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Revisión crítica IA para observaciones finales, campos pendientes, inconsistencias y sugerencias aceptables una por una.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Módulo preparado para firma electrónica con Dropbox Sign u otro proveedor compatible, sujeto a plan activo y configuración de producción.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Base para respaldos administrativos y futura opción de almacenamiento local o servidor del cliente.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3. Infraestructura tecnológica y seguridad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arquitectura actual usa servicios administrados de bajo mantenimiento para facilitar el despliegue, control de acceso y operación inicial. En una fase posterior, el almacenamiento documental puede migrarse o replicarse a infraestructura del cliente si la política interna exige custodia directa en servidores propios.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1800"/>
        <w:gridCol w:w="2500"/>
        <w:gridCol w:w="50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Capa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Componente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Para qué sirve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Aplicación web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LexContratos desplegado en Vercel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Publicar la landing, login y app privada con despliegues controlados desde GitHub.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Identidad y acceso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Supabase Auth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Registro, inicio de sesión, recuperación de contraseña, sesión segura y separación por usuario.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Base de datos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Supabase Postgres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Guardar usuarios, perfiles, licencias, expedientes, carpetas, drafts, campos detectados y estado del flujo.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Seguridad de datos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Row Level Security y políticas por cuenta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Evitar que usuarios normales accedan a información de otros usuarios o se asignen privilegios indebidamente.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Archivos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Supabase Storage privado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Guardar documentos soporte, versiones exportadas y archivos relacionados con expedientes.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IA documental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OpenAI API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Extraer datos, revisar campos, proponer observaciones críticas y detectar posibles incongruencias en documentos.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Correos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Resend + dominio lexcontratos.com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Enviar notificaciones de registro, activación de licencia y formularios de contacto.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Firma electrónica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Dropbox Sign API / proveedor alterno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Enviar documentos a firma cuando exista plan activo y variables de producción configuradas.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Control de cambios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GitHub + Vercel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Versionar código, desplegar cambios y conservar trazabilidad técnica.</w:t>
            </w:r>
          </w:p>
        </w:tc>
      </w:tr>
      <w:tr>
        <w:tc>
          <w:tcPr>
            <w:tcW w:type="dxa" w:w="1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Respaldo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Exportación administrativa + respaldos del proveedor</w:t>
            </w:r>
          </w:p>
        </w:tc>
        <w:tc>
          <w:tcPr>
            <w:tcW w:type="dxa" w:w="5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Mantener copias recuperables de datos y documentos críticos bajo una política definida.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4. Flujo funcional propuesto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usuario inicia sesión con una cuenta autorizada y licencia activa.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Selecciona un formato/draft de la biblioteca o importa un documento propio.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sistema crea una copia de trabajo y solicita dónde guardarla dentro del expediente o carpeta elegida.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usuario detecta campos editables para que LexContratos identifique qué información puede completarse sin borrar datos innecesarios.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usuario carga documentos por cada parte o captura manualmente datos faltantes.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LexContratos extrae e integra los datos disponibles y deja visibles únicamente los pendientes de revisión o llenado.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usuario revisa el contrato, edita cláusulas, valida datos, ejecuta revisión crítica IA y acepta o descarta sugerencias.</w:t>
      </w:r>
    </w:p>
    <w:p>
      <w:pPr>
        <w:pStyle w:val="ListNumber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El contrato se exporta a Word o se prepara para firma electrónica, según la configuración vigente.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5. IA documental, revisión crítica y control humano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inteligencia artificial se usa para acelerar lectura, extracción y revisión, no para sustituir la responsabilidad profesional del usuario. El sistema puede analizar documentos soporte y contratos para sugerir datos, advertir inconsistencias, detectar campos pendientes y proponer ajustes. La aceptación final de cualquier dato o redacción corresponde al usuario autorizado.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100"/>
        <w:gridCol w:w="3820"/>
        <w:gridCol w:w="344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Función de IA</w:t>
            </w:r>
          </w:p>
        </w:tc>
        <w:tc>
          <w:tcPr>
            <w:tcW w:type="dxa" w:w="3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Uso previsto</w:t>
            </w:r>
          </w:p>
        </w:tc>
        <w:tc>
          <w:tcPr>
            <w:tcW w:type="dxa" w:w="3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Control necesario</w:t>
            </w:r>
          </w:p>
        </w:tc>
      </w:tr>
      <w:tr>
        <w:tc>
          <w:tcPr>
            <w:tcW w:type="dxa" w:w="21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Extracción de generales</w:t>
            </w:r>
          </w:p>
        </w:tc>
        <w:tc>
          <w:tcPr>
            <w:tcW w:type="dxa" w:w="382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Identificar razón social, representantes, poderes, instrumentos, RFC, domicilios, correos, fechas, montos y datos equivalentes.</w:t>
            </w:r>
          </w:p>
        </w:tc>
        <w:tc>
          <w:tcPr>
            <w:tcW w:type="dxa" w:w="344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El usuario valida antes de integrar o circular el contrato.</w:t>
            </w:r>
          </w:p>
        </w:tc>
      </w:tr>
      <w:tr>
        <w:tc>
          <w:tcPr>
            <w:tcW w:type="dxa" w:w="21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Revisión crítica</w:t>
            </w:r>
          </w:p>
        </w:tc>
        <w:tc>
          <w:tcPr>
            <w:tcW w:type="dxa" w:w="382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Señalar ambigüedades, campos pendientes, contradicciones, errores de forma y redacciones débiles.</w:t>
            </w:r>
          </w:p>
        </w:tc>
        <w:tc>
          <w:tcPr>
            <w:tcW w:type="dxa" w:w="344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Las sugerencias se aceptan o descartan una por una.</w:t>
            </w:r>
          </w:p>
        </w:tc>
      </w:tr>
      <w:tr>
        <w:tc>
          <w:tcPr>
            <w:tcW w:type="dxa" w:w="21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Congruencia contrato-anexos</w:t>
            </w:r>
          </w:p>
        </w:tc>
        <w:tc>
          <w:tcPr>
            <w:tcW w:type="dxa" w:w="382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Comparar fechas, vigencias, montos, partes, firmantes y datos de anexos contra el contrato principal.</w:t>
            </w:r>
          </w:p>
        </w:tc>
        <w:tc>
          <w:tcPr>
            <w:tcW w:type="dxa" w:w="344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Debe activarse como módulo específico para revisión documental comparativa.</w:t>
            </w:r>
          </w:p>
        </w:tc>
      </w:tr>
      <w:tr>
        <w:tc>
          <w:tcPr>
            <w:tcW w:type="dxa" w:w="21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Consulta normativa oficial</w:t>
            </w:r>
          </w:p>
        </w:tc>
        <w:tc>
          <w:tcPr>
            <w:tcW w:type="dxa" w:w="382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Fase futura para contrastar contratos contra fuentes oficiales vigentes del país aplicable.</w:t>
            </w:r>
          </w:p>
        </w:tc>
        <w:tc>
          <w:tcPr>
            <w:tcW w:type="dxa" w:w="344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Requiere conectar fuentes oficiales y documentar alcance; no debe venderse como dictamen legal automático.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6. Política propuesta de respaldos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Para el uso interno inicial se recomienda mantener respaldos diarios de datos críticos y respaldos periódicos de documentos. La política puede operar en dos niveles: respaldo administrado en nube y exportación local para conservación bajo control del cliente.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Elemento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Política recomendada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Base de datos</w:t>
            </w:r>
          </w:p>
        </w:tc>
        <w:tc>
          <w:tcPr>
            <w:tcW w:type="dxa" w:w="7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Respaldo automático del proveedor y exportación administrativa periódica de perfiles, licencias, expedientes y metadatos.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Documentos soporte</w:t>
            </w:r>
          </w:p>
        </w:tc>
        <w:tc>
          <w:tcPr>
            <w:tcW w:type="dxa" w:w="7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Respaldo incremental diario o semanal, según volumen, con conservación por expediente y ruta de carpeta.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Versiones Word/exportadas</w:t>
            </w:r>
          </w:p>
        </w:tc>
        <w:tc>
          <w:tcPr>
            <w:tcW w:type="dxa" w:w="7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Guardar la última versión exportada y las versiones relevantes marcadas por el usuario, evitando saturar la vista con autoguardados menores.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Copias locales</w:t>
            </w:r>
          </w:p>
        </w:tc>
        <w:tc>
          <w:tcPr>
            <w:tcW w:type="dxa" w:w="7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Descarga administrativa diaria o programada a una carpeta controlada, idealmente cifrada y con acceso restringido.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Servidor del cliente</w:t>
            </w:r>
          </w:p>
        </w:tc>
        <w:tc>
          <w:tcPr>
            <w:tcW w:type="dxa" w:w="70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Fase futura: mover o replicar documentos a servidor local, NAS o almacenamiento compatible con S3/MinIO dentro de la infraestructura del cliente.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7. Valor real del proyecto y precio preferencial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Un desarrollo contractual con autenticación, biblioteca de formatos, expedientes, extracción documental con IA, exportación a Word, administración de licencias, respaldos y preparación para firma electrónica normalmente requiere varias capas de diseño, desarrollo, integración, seguridad y pruebas. En este caso, la propuesta se plantea como precio preferencial por tratarse de una versión privada e interna, con alcance controlado y aprendizaje directo de usuarios reales.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EF"/>
            <w:tcBorders>
              <w:top w:val="single" w:sz="8" w:space="0" w:color="2E6E4F"/>
              <w:left w:val="single" w:sz="8" w:space="0" w:color="2E6E4F"/>
              <w:bottom w:val="single" w:sz="8" w:space="0" w:color="2E6E4F"/>
              <w:right w:val="single" w:sz="8" w:space="0" w:color="2E6E4F"/>
            </w:tcBorders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F4D78"/>
                <w:sz w:val="18"/>
              </w:rPr>
              <w:t>PRECIO PREFERENCIAL DE IMPLEMENTACIÓN</w:t>
            </w:r>
          </w:p>
          <w:p>
            <w:pPr>
              <w:spacing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1"/>
              </w:rPr>
              <w:t>Se propone una implementación inicial de $50,000 MXN más IVA para dejar LexContratos en condiciones de uso interno, con configuración, ajustes finales, documentación, carga de formatos iniciales y acompañamiento de arranque conforme al alcance pactado.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8. Propuesta económica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3000"/>
        <w:gridCol w:w="2250"/>
        <w:gridCol w:w="411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4E6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Concepto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4E6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Importe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4E6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Condición</w:t>
            </w:r>
          </w:p>
        </w:tc>
      </w:tr>
      <w:tr>
        <w:tc>
          <w:tcPr>
            <w:tcW w:type="dxa" w:w="30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Implementación inicial LexContratos</w:t>
            </w:r>
          </w:p>
        </w:tc>
        <w:tc>
          <w:tcPr>
            <w:tcW w:type="dxa" w:w="225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$50,000 MXN + IVA</w:t>
            </w:r>
          </w:p>
        </w:tc>
        <w:tc>
          <w:tcPr>
            <w:tcW w:type="dxa" w:w="411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Pago único por configuración, ajuste final, preparación de uso interno y documentación.</w:t>
            </w:r>
          </w:p>
        </w:tc>
      </w:tr>
      <w:tr>
        <w:tc>
          <w:tcPr>
            <w:tcW w:type="dxa" w:w="30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Servicio administrado mensual</w:t>
            </w:r>
          </w:p>
        </w:tc>
        <w:tc>
          <w:tcPr>
            <w:tcW w:type="dxa" w:w="225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$10,000 MXN + IVA</w:t>
            </w:r>
          </w:p>
        </w:tc>
        <w:tc>
          <w:tcPr>
            <w:tcW w:type="dxa" w:w="411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Incluye soporte básico, monitoreo operativo, ajustes menores y bolsa ordinaria de consumos externos conforme a supuestos.</w:t>
            </w:r>
          </w:p>
        </w:tc>
      </w:tr>
      <w:tr>
        <w:tc>
          <w:tcPr>
            <w:tcW w:type="dxa" w:w="30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Consumibles ordinarios incluidos</w:t>
            </w:r>
          </w:p>
        </w:tc>
        <w:tc>
          <w:tcPr>
            <w:tcW w:type="dxa" w:w="225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Incluidos dentro de la mensualidad</w:t>
            </w:r>
          </w:p>
        </w:tc>
        <w:tc>
          <w:tcPr>
            <w:tcW w:type="dxa" w:w="411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Hosting, base de datos, almacenamiento razonable, correos transaccionales e IA documental bajo uso interno controlado.</w:t>
            </w:r>
          </w:p>
        </w:tc>
      </w:tr>
      <w:tr>
        <w:tc>
          <w:tcPr>
            <w:tcW w:type="dxa" w:w="3000"/>
          </w:tcPr>
          <w:p>
            <w:r>
              <w:rPr>
                <w:rFonts w:ascii="Calibri" w:hAnsi="Calibri"/>
                <w:b/>
                <w:color w:val="172033"/>
                <w:sz w:val="19"/>
              </w:rPr>
              <w:t>Firma electrónica incluida</w:t>
            </w:r>
          </w:p>
        </w:tc>
        <w:tc>
          <w:tcPr>
            <w:tcW w:type="dxa" w:w="2250"/>
          </w:tcPr>
          <w:p>
            <w:r>
              <w:rPr>
                <w:rFonts w:ascii="Calibri" w:hAnsi="Calibri"/>
                <w:color w:val="172033"/>
                <w:sz w:val="19"/>
              </w:rPr>
              <w:t>Hasta 50 solicitudes/mes</w:t>
            </w:r>
          </w:p>
        </w:tc>
        <w:tc>
          <w:tcPr>
            <w:tcW w:type="dxa" w:w="4110"/>
          </w:tcPr>
          <w:p>
            <w:r>
              <w:rPr>
                <w:rFonts w:ascii="Calibri" w:hAnsi="Calibri"/>
                <w:color w:val="172033"/>
                <w:sz w:val="19"/>
              </w:rPr>
              <w:t>Incluye el consumo ordinario de firma electrónica API hasta 50 solicitudes mensuales. A partir de la solicitud 51, el costo del proveedor se traslada al cliente al costo comprobable más 15% de administración.</w:t>
            </w:r>
          </w:p>
        </w:tc>
      </w:tr>
      <w:tr>
        <w:tc>
          <w:tcPr>
            <w:tcW w:type="dxa" w:w="30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Excedentes extraordinarios</w:t>
            </w:r>
          </w:p>
        </w:tc>
        <w:tc>
          <w:tcPr>
            <w:tcW w:type="dxa" w:w="225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Previa autorización</w:t>
            </w:r>
          </w:p>
        </w:tc>
        <w:tc>
          <w:tcPr>
            <w:tcW w:type="dxa" w:w="411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Volumen alto de IA/OCR, almacenamiento masivo, firma electrónica API superior a 50 solicitudes mensuales, migración a servidor local o requerimientos no previstos.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9. Evaluación de suficiencia de la mensualidad de $10,000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Con base en precios públicos vigentes de proveedores y suponiendo un tipo de cambio de planeación de $18 MXN por dólar, la mensualidad de $10,000 MXN puede cubrir razonablemente una operación interna controlada. No conviene presentarla como consumo ilimitado: debe incluir límites sanos y revisión si el volumen aumenta.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500"/>
        <w:gridCol w:w="2500"/>
        <w:gridCol w:w="4360"/>
      </w:tblGrid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8"/>
              </w:rPr>
              <w:t>Rubro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8"/>
              </w:rPr>
              <w:t>Estimación mensual de planeación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8"/>
              </w:rPr>
              <w:t>Comentario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Vercel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$360 a $720 MXN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Operación de app web en plan profesional o equivalente, con control de gasto y uso moderado.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Supabase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$450 MXN base aprox.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Plan Pro desde $25 USD/mes; incluye base, autenticación, almacenamiento y respaldos diarios según cuota vigente.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Almacenamiento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Incluido hasta uso razonable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Supabase Pro contempla 100 GB de file storage; sobrepasar esa cuota genera cargos por GB adicional.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Resend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$0 a $360 MXN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Puede iniciar en plan gratuito o Pro de $20 USD/mes si crece el volumen de correos.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OpenAI / IA documental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$1,000 a $4,000 MXN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Depende de número de documentos, páginas, imágenes, calidad de OCR y profundidad de revisión crítica.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Dropbox Sign API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Variable / sujeto a plan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La mensualidad incluye hasta 50 solicitudes de firma electrónica API al mes. A partir de la solicitud 51, el costo externo se traslada al cliente al costo comprobable del proveedor más 15% de administración.</w:t>
            </w:r>
          </w:p>
        </w:tc>
      </w:tr>
      <w:tr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8"/>
              </w:rPr>
              <w:t>Margen operativo y soporte</w:t>
            </w:r>
          </w:p>
        </w:tc>
        <w:tc>
          <w:tcPr>
            <w:tcW w:type="dxa" w:w="25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$3,000 a $5,000 MXN</w:t>
            </w:r>
          </w:p>
        </w:tc>
        <w:tc>
          <w:tcPr>
            <w:tcW w:type="dxa" w:w="43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8"/>
              </w:rPr>
              <w:t>Cubre acompañamiento, monitoreo, ajustes menores y contingencias ordinarias.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3F8FC"/>
            <w:tcBorders>
              <w:top w:val="single" w:sz="8" w:space="0" w:color="1F4D78"/>
              <w:left w:val="single" w:sz="8" w:space="0" w:color="1F4D78"/>
              <w:bottom w:val="single" w:sz="8" w:space="0" w:color="1F4D78"/>
              <w:right w:val="single" w:sz="8" w:space="0" w:color="1F4D78"/>
            </w:tcBorders>
          </w:tcPr>
          <w:p>
            <w:pPr>
              <w:spacing w:after="60"/>
            </w:pPr>
            <w:r>
              <w:rPr>
                <w:rFonts w:ascii="Calibri" w:hAnsi="Calibri" w:cs="Calibri" w:eastAsia="Calibri"/>
                <w:b/>
                <w:i w:val="0"/>
                <w:color w:val="1F4D78"/>
                <w:sz w:val="18"/>
              </w:rPr>
              <w:t>CONCLUSIÓN DE SUFICIENCIA</w:t>
            </w:r>
          </w:p>
          <w:p>
            <w:pPr>
              <w:spacing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1"/>
              </w:rPr>
              <w:t>La mensualidad de $10,000 MXN es suficiente para un piloto interno y uso controlado de aproximadamente 3 a 10 usuarios, carga documental moderada, almacenamiento menor a 100 GB, revisión IA razonable y hasta 50 solicitudes de firma electrónica API al mes. Si el uso crece a cientos o miles de documentos mensuales, muchos PDFs escaneados, imágenes pesadas, más de 50 firmas mensuales o almacenamiento local dedicado, debe revisarse la cuota o trasladarse el excedente al cliente con autorización previa.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10. Forma de pago sugerida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300"/>
        <w:gridCol w:w="2200"/>
        <w:gridCol w:w="4860"/>
      </w:tblGrid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Momento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Importe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Descripción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Inicio del proyecto</w:t>
            </w:r>
          </w:p>
        </w:tc>
        <w:tc>
          <w:tcPr>
            <w:tcW w:type="dxa" w:w="22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$25,000 MXN + IVA</w:t>
            </w:r>
          </w:p>
        </w:tc>
        <w:tc>
          <w:tcPr>
            <w:tcW w:type="dxa" w:w="48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Anticipo del 50% para asegurar agenda, configuración y cierre de alcance.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Entrega para prueba interna</w:t>
            </w:r>
          </w:p>
        </w:tc>
        <w:tc>
          <w:tcPr>
            <w:tcW w:type="dxa" w:w="22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$15,000 MXN + IVA</w:t>
            </w:r>
          </w:p>
        </w:tc>
        <w:tc>
          <w:tcPr>
            <w:tcW w:type="dxa" w:w="48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Al entregar versión funcional para prueba con usuarios internos.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Cierre de implementación</w:t>
            </w:r>
          </w:p>
        </w:tc>
        <w:tc>
          <w:tcPr>
            <w:tcW w:type="dxa" w:w="22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$10,000 MXN + IVA</w:t>
            </w:r>
          </w:p>
        </w:tc>
        <w:tc>
          <w:tcPr>
            <w:tcW w:type="dxa" w:w="48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Contra entrega final, documentación y confirmación de acceso operativo.</w:t>
            </w:r>
          </w:p>
        </w:tc>
      </w:tr>
      <w:tr>
        <w:tc>
          <w:tcPr>
            <w:tcW w:type="dxa" w:w="23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Mensualidad administrada</w:t>
            </w:r>
          </w:p>
        </w:tc>
        <w:tc>
          <w:tcPr>
            <w:tcW w:type="dxa" w:w="22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$10,000 MXN + IVA</w:t>
            </w:r>
          </w:p>
        </w:tc>
        <w:tc>
          <w:tcPr>
            <w:tcW w:type="dxa" w:w="48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 partir del mes siguiente a la entrega para operación continua y soporte.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11. Plan de trabajo estimado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900"/>
        <w:gridCol w:w="2800"/>
        <w:gridCol w:w="5660"/>
      </w:tblGrid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Fase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Bloque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Resultado esperado</w:t>
            </w:r>
          </w:p>
        </w:tc>
      </w:tr>
      <w:tr>
        <w:tc>
          <w:tcPr>
            <w:tcW w:type="dxa" w:w="9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1</w:t>
            </w:r>
          </w:p>
        </w:tc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Cierre de alcance y configuración</w:t>
            </w:r>
          </w:p>
        </w:tc>
        <w:tc>
          <w:tcPr>
            <w:tcW w:type="dxa" w:w="56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Confirmar usuarios, dominio, correo, variables, licencias, formatos iniciales y permisos administrativos.</w:t>
            </w:r>
          </w:p>
        </w:tc>
      </w:tr>
      <w:tr>
        <w:tc>
          <w:tcPr>
            <w:tcW w:type="dxa" w:w="9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2</w:t>
            </w:r>
          </w:p>
        </w:tc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Carga y revisión de formatos</w:t>
            </w:r>
          </w:p>
        </w:tc>
        <w:tc>
          <w:tcPr>
            <w:tcW w:type="dxa" w:w="56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Subir formatos/drafts, revisar campos editables, limpiar placeholders y validar exportación Word.</w:t>
            </w:r>
          </w:p>
        </w:tc>
      </w:tr>
      <w:tr>
        <w:tc>
          <w:tcPr>
            <w:tcW w:type="dxa" w:w="9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3</w:t>
            </w:r>
          </w:p>
        </w:tc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Prueba documental e IA</w:t>
            </w:r>
          </w:p>
        </w:tc>
        <w:tc>
          <w:tcPr>
            <w:tcW w:type="dxa" w:w="56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Probar extracción de datos, integración de campos faltantes, revisión crítica y congruencia básica con anexos.</w:t>
            </w:r>
          </w:p>
        </w:tc>
      </w:tr>
      <w:tr>
        <w:tc>
          <w:tcPr>
            <w:tcW w:type="dxa" w:w="9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4</w:t>
            </w:r>
          </w:p>
        </w:tc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Seguridad, respaldos y manual</w:t>
            </w:r>
          </w:p>
        </w:tc>
        <w:tc>
          <w:tcPr>
            <w:tcW w:type="dxa" w:w="56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Confirmar políticas de acceso, respaldos, manual de usuario y guía de administración de licencias.</w:t>
            </w:r>
          </w:p>
        </w:tc>
      </w:tr>
      <w:tr>
        <w:tc>
          <w:tcPr>
            <w:tcW w:type="dxa" w:w="9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5</w:t>
            </w:r>
          </w:p>
        </w:tc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Arranque controlado</w:t>
            </w:r>
          </w:p>
        </w:tc>
        <w:tc>
          <w:tcPr>
            <w:tcW w:type="dxa" w:w="56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Habilitar usuarios piloto, recibir observaciones y ejecutar ajustes menores de estabilización.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12. Servicio administrado mensual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mensualidad está pensada para que LexContratos no quede como una herramienta abandonada. Incluye soporte básico, acompañamiento de uso, monitoreo de costos y ajustes menores derivados de operación real.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Incluye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8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No incluye salvo acuerdo adicional</w:t>
            </w:r>
          </w:p>
        </w:tc>
      </w:tr>
      <w:tr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Soporte básico a usuarios administradores.</w:t>
            </w:r>
          </w:p>
        </w:tc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Rediseños completos de interfaz o módulos nuevos de gran alcance.</w:t>
            </w:r>
          </w:p>
        </w:tc>
      </w:tr>
      <w:tr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Monitoreo de consumo de IA, almacenamiento y correos.</w:t>
            </w:r>
          </w:p>
        </w:tc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Consumo extraordinario, uso masivo o costos de terceros fuera de supuestos.</w:t>
            </w:r>
          </w:p>
        </w:tc>
      </w:tr>
      <w:tr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Ajustes menores de textos, plantillas y flujos existentes.</w:t>
            </w:r>
          </w:p>
        </w:tc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Migración completa a servidor local o integración profunda con sistemas internos.</w:t>
            </w:r>
          </w:p>
        </w:tc>
      </w:tr>
      <w:tr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Carga razonable de nuevos formatos validados.</w:t>
            </w:r>
          </w:p>
        </w:tc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Dictamen jurídico, actualización normativa oficial automática o responsabilidad legal por contenido.</w:t>
            </w:r>
          </w:p>
        </w:tc>
      </w:tr>
      <w:tr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Apoyo para respaldo administrativo y revisión de errores.</w:t>
            </w:r>
          </w:p>
        </w:tc>
        <w:tc>
          <w:tcPr>
            <w:tcW w:type="dxa" w:w="468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Solicitudes de firma electrónica API adicionales a las 50 incluidas al mes; se trasladan al costo comprobable del proveedor más 15% de administración.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13. Supuestos y responsabilidades del cliente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Designar a una persona administradora para altas, bajas, licencias y validación de usuarios.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Proporcionar formatos contractuales, logos, membretes y documentos de prueba que puedan usarse sin comprometer información sensible no autorizada.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Validar jurídicamente las plantillas, cláusulas, generales y documentos finales antes de enviarlos o firmarlos.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Definir políticas internas de conservación, respaldo, acceso y tratamiento de documentos confidenciales.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Autorizar cualquier consumo extraordinario de IA, almacenamiento, firma electrónica o infraestructura antes de ejecutarlo.</w:t>
      </w:r>
    </w:p>
    <w:p>
      <w:pPr>
        <w:pStyle w:val="ListBullet"/>
        <w:spacing w:before="0" w:after="80" w:line="290" w:lineRule="auto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Confirmar si la firma electrónica se operará con cuenta/API propia, proveedor alternativo o vía manual descargando el documento en Word/PDF.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14. Seguridad, confidencialidad y propiedad de la información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La información cargada por usuarios autorizados pertenece al cliente o a quien legalmente corresponda según sus políticas internas. LexContratos debe operar bajo acceso restringido, licencias activas, separación por usuario/cuenta, almacenamiento privado y controles administrativos. La implementación inicial contempla medidas razonables para uso interno; antes de un despliegue amplio o uso con información altamente sensible, se recomienda una revisión técnica especializada.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600"/>
        <w:gridCol w:w="676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Medida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Estado propuesto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Acceso restringido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Login, sesión, licencia activa y panel de administración.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Separación por usuario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Reglas de base de datos y políticas de acceso para evitar cruces de expedientes.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Secretos y APIs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Variables sensibles guardadas del lado servidor, no visibles en la interfaz pública.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Mensajes al usuario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Errores técnicos sustituidos por lenguaje claro y seguro.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Backups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Respaldo del proveedor más exportación administrativa local según política acordada.</w:t>
            </w:r>
          </w:p>
        </w:tc>
      </w:tr>
      <w:tr>
        <w:tc>
          <w:tcPr>
            <w:tcW w:type="dxa" w:w="26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Revisión especializada</w:t>
            </w:r>
          </w:p>
        </w:tc>
        <w:tc>
          <w:tcPr>
            <w:tcW w:type="dxa" w:w="67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Recomendable antes de uso masivo, auditoría externa o manejo de volúmenes sensibles.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15. Riesgos controlables y recomendaciones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2800"/>
        <w:gridCol w:w="656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Riesgo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19"/>
              </w:rPr>
              <w:t>Cómo se controla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Costo variable de IA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Configurar presupuestos, alertas y topes mensuales; usar modelos eficientes para extracción ordinaria.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Errores de extracción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Mantener validación humana obligatoria y lista de campos pendientes antes de exportar o firmar.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Documentos escaneados de baja calidad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Advertir al usuario y permitir carga de mejores fuentes o captura manual.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Crecimiento de almacenamiento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Monitorear GB usados, depurar duplicados y definir retención documental.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Firma electrónica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Mantener test mode para pruebas; producción requiere plan y validación legal/procedimental del proveedor elegido.</w:t>
            </w:r>
          </w:p>
        </w:tc>
      </w:tr>
      <w:tr>
        <w:tc>
          <w:tcPr>
            <w:tcW w:type="dxa" w:w="280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/>
                <w:i w:val="0"/>
                <w:color w:val="172033"/>
                <w:sz w:val="19"/>
              </w:rPr>
              <w:t>Normativa vigente</w:t>
            </w:r>
          </w:p>
        </w:tc>
        <w:tc>
          <w:tcPr>
            <w:tcW w:type="dxa" w:w="6560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</w:tcPr>
          <w:p>
            <w:pPr>
              <w:spacing w:after="0" w:line="264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19"/>
              </w:rPr>
              <w:t>Implementar después un módulo de consulta normativa oficial con fuentes verificables y fecha de consulta.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16. Vigencia de la propuesta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Esta propuesta tendrá una vigencia de 15 días naturales contados a partir de su fecha de emisión. Los precios pueden requerir ajuste si cambian sustancialmente los costos de proveedores externos, el alcance, el volumen documental, el número de usuarios o los requisitos de seguridad e infraestructura.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17. Fuentes consultadas para estimación de costos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Las referencias de precios de terceros se consultaron para planeación y deben verificarse nuevamente antes de contratar o renovar servicios. La cotización de proveedores externos puede variar por impuestos, tipo de cambio, volumen, plan y condiciones comerciales.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OpenAI API Pricing: https://openai.com/api/pricing/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Supabase Pricing: https://supabase.com/pricing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Vercel Pricing: https://vercel.com/pricing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Resend Pricing: https://resend.com/docs/knowledge-base/what-is-resend-pricing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Dropbox Sign API Pricing / test mode: https://help.dropbox.com/plans/how-much-does-the-dropbox-sign-api-cost</w:t>
      </w:r>
    </w:p>
    <w:p>
      <w:pPr>
        <w:pStyle w:val="SmallNote"/>
      </w:pPr>
      <w:r>
        <w:rPr>
          <w:rFonts w:ascii="Calibri" w:hAnsi="Calibri" w:cs="Calibri" w:eastAsia="Calibri"/>
          <w:b w:val="0"/>
          <w:i w:val="0"/>
          <w:color w:val="5E6B7A"/>
          <w:sz w:val="18"/>
        </w:rPr>
        <w:t>Dropbox Sign test mode production note: https://help.dropbox.com/integrations/how-to-turn-off-test-mode-dropbox-sign</w:t>
      </w:r>
    </w:p>
    <w:p>
      <w:pPr>
        <w:pStyle w:val="Heading1"/>
        <w:keepNext/>
      </w:pPr>
      <w:r>
        <w:rPr>
          <w:rFonts w:ascii="Calibri" w:hAnsi="Calibri" w:cs="Calibri" w:eastAsia="Calibri"/>
          <w:b/>
          <w:i w:val="0"/>
          <w:color w:val="2E74B5"/>
          <w:sz w:val="32"/>
        </w:rPr>
        <w:t>18. Aceptación</w:t>
      </w:r>
    </w:p>
    <w:p>
      <w:pPr>
        <w:spacing w:before="0" w:after="160" w:line="320" w:lineRule="auto"/>
        <w:jc w:val="both"/>
      </w:pPr>
      <w:r>
        <w:rPr>
          <w:rFonts w:ascii="Calibri" w:hAnsi="Calibri" w:cs="Calibri" w:eastAsia="Calibri"/>
          <w:b w:val="0"/>
          <w:i w:val="0"/>
          <w:color w:val="172033"/>
          <w:sz w:val="22"/>
        </w:rPr>
        <w:t>En caso de aceptación, las partes podrán formalizar el arranque mediante confirmación por escrito, orden de compra, contrato de prestación de servicios o el instrumento que resulte adecuado para su operación interna.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Presenta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0B2545"/>
                <w:sz w:val="20"/>
              </w:rPr>
              <w:t>Acepta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Paula Tarragó Calvis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Nombre y firma del representante autorizado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Fecha: 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CAD6E2"/>
              <w:left w:val="single" w:sz="6" w:space="0" w:color="CAD6E2"/>
              <w:bottom w:val="single" w:sz="6" w:space="0" w:color="CAD6E2"/>
              <w:right w:val="single" w:sz="6" w:space="0" w:color="CAD6E2"/>
            </w:tcBorders>
            <w:shd w:fill="FFFFFF"/>
          </w:tcPr>
          <w:p>
            <w:pPr>
              <w:spacing w:after="0"/>
              <w:jc w:val="center"/>
            </w:pPr>
            <w:r>
              <w:rPr>
                <w:rFonts w:ascii="Calibri" w:hAnsi="Calibri" w:cs="Calibri" w:eastAsia="Calibri"/>
                <w:b w:val="0"/>
                <w:i w:val="0"/>
                <w:color w:val="172033"/>
                <w:sz w:val="20"/>
              </w:rPr>
              <w:t>Fecha: ______________________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 w:eastAsia="Calibri"/>
        <w:b w:val="0"/>
        <w:i w:val="0"/>
        <w:color w:val="5E6B7A"/>
        <w:sz w:val="16"/>
      </w:rPr>
      <w:t>LexContratos | Propuesta comercial | Paula Tarragó Calvis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 w:line="276" w:lineRule="auto"/>
    </w:pPr>
    <w:rPr>
      <w:rFonts w:ascii="Calibri" w:hAnsi="Calibri"/>
      <w:color w:val="5E6B7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