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9264D"/>
          <w:sz w:val="54"/>
        </w:rPr>
        <w:t>Manual ilustrado de uso</w:t>
        <w:br/>
        <w:t>LexContratos</w:t>
      </w:r>
    </w:p>
    <w:p>
      <w:pPr>
        <w:jc w:val="center"/>
      </w:pPr>
      <w:r>
        <w:rPr>
          <w:color w:val="607089"/>
          <w:sz w:val="26"/>
        </w:rPr>
        <w:t>Prueba piloto interna | Guía visual paso a paso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F"/>
          </w:tcPr>
          <w:p>
            <w:r>
              <w:rPr>
                <w:b/>
                <w:color w:val="09264D"/>
              </w:rPr>
              <w:t>Uso de este manual.</w:t>
            </w:r>
            <w:r>
              <w:t xml:space="preserve"> Sigue las pantallas en orden. Las flechas señalan dónde está cada botón y para qué sirve. LexContratos asiste el llenado y organización contractual; la revisión final siempre queda bajo control del usuario.</w:t>
            </w:r>
          </w:p>
        </w:tc>
      </w:tr>
    </w:tbl>
    <w:p>
      <w:pPr>
        <w:pStyle w:val="Heading1"/>
      </w:pPr>
      <w:r>
        <w:t>Cambios incorporados en esta versión</w:t>
      </w:r>
    </w:p>
    <w:p>
      <w:pPr>
        <w:pStyle w:val="ListBullet"/>
      </w:pPr>
      <w:r>
        <w:t>La palabra machote se sustituyó por formato o draft, para que el lenguaje sea más claro para usuarias internas.</w:t>
      </w:r>
    </w:p>
    <w:p>
      <w:pPr>
        <w:pStyle w:val="ListBullet"/>
      </w:pPr>
      <w:r>
        <w:t>El formato legal predeterminado cambió a fuente Georgia 12, con texto justificado y márgenes moderados para exportación a Word.</w:t>
      </w:r>
    </w:p>
    <w:p>
      <w:pPr>
        <w:pStyle w:val="ListBullet"/>
      </w:pPr>
      <w:r>
        <w:t>Cada documento exportado puede incluir en el pie las iniciales del usuario que lo trabajó.</w:t>
      </w:r>
    </w:p>
    <w:p>
      <w:pPr>
        <w:pStyle w:val="ListBullet"/>
      </w:pPr>
      <w:r>
        <w:t>Al seleccionar un formato precargado, se trabaja sobre una copia editable y se pide dónde guardar el documento.</w:t>
      </w:r>
    </w:p>
    <w:p>
      <w:pPr>
        <w:pStyle w:val="ListBullet"/>
      </w:pPr>
      <w:r>
        <w:t>La app conserva datos existentes del contrato cuando ya son correctos y solo integra información faltante o validada.</w:t>
      </w:r>
    </w:p>
    <w:p>
      <w:pPr>
        <w:pStyle w:val="ListBullet"/>
      </w:pPr>
      <w:r>
        <w:t>La revisión crítica IA ahora permite revisar observaciones, proponer ajustes granulares, comparar congruencia entre contrato/anexos/documentos y revisar legislación aplicable por país.</w:t>
      </w:r>
    </w:p>
    <w:p>
      <w:pPr>
        <w:pStyle w:val="ListBullet"/>
      </w:pPr>
      <w:r>
        <w:t>La revisión de legislación aplicable señala alertas normativas y formalidades a validar; no sustituye dictamen jurídico ni consulta oficial vigente.</w:t>
      </w:r>
    </w:p>
    <w:p>
      <w:pPr>
        <w:pStyle w:val="ListBullet"/>
      </w:pPr>
      <w:r>
        <w:t>Se agregó selección entre Notario Público y Corredor Público. Si es notario, el instrumento esperado es escritura pública; si es corredor, póliza o acta, según corresponda.</w:t>
      </w:r>
    </w:p>
    <w:p>
      <w:pPr>
        <w:pStyle w:val="ListBullet"/>
      </w:pPr>
      <w:r>
        <w:t>El módulo de firma electrónica con Dropbox Sign permite preparar firmantes y enviar solicitudes cuando la integración está configurada.</w:t>
      </w:r>
    </w:p>
    <w:p>
      <w:pPr>
        <w:pStyle w:val="ListBullet"/>
      </w:pPr>
      <w:r>
        <w:t>El guardado y archivo contractual se organizan con Guardar como, carpetas, expedientes y una vista más parecida a Finder.</w:t>
      </w:r>
    </w:p>
    <w:p>
      <w:pPr>
        <w:pStyle w:val="Heading1"/>
      </w:pPr>
      <w:r>
        <w:t>Flujo general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9264D"/>
          </w:tcPr>
          <w:p>
            <w:r/>
            <w:r>
              <w:rPr>
                <w:b/>
                <w:color w:val="FFFFFF"/>
              </w:rPr>
              <w:t>Paso</w:t>
            </w:r>
          </w:p>
        </w:tc>
        <w:tc>
          <w:tcPr>
            <w:tcW w:type="dxa" w:w="5112"/>
            <w:shd w:fill="09264D"/>
          </w:tcPr>
          <w:p>
            <w:r/>
            <w:r>
              <w:rPr>
                <w:b/>
                <w:color w:val="FFFFFF"/>
              </w:rPr>
              <w:t>Qué hacer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color w:val="09264D"/>
              </w:rPr>
              <w:t>1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color w:val="102033"/>
              </w:rPr>
              <w:t>Entrar o crear usuario. La cuenta queda pendiente hasta que administración active la licencia.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color w:val="09264D"/>
              </w:rPr>
              <w:t>2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color w:val="102033"/>
              </w:rPr>
              <w:t>Seleccionar o importar formato/draft. La app trabaja sobre una copia para proteger la plantilla base.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color w:val="09264D"/>
              </w:rPr>
              <w:t>3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color w:val="102033"/>
              </w:rPr>
              <w:t>Guardar como. Elegir carpeta o expediente desde el inicio.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color w:val="09264D"/>
              </w:rPr>
              <w:t>4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color w:val="102033"/>
              </w:rPr>
              <w:t>Detectar campos editables. Este paso es obligatorio antes de cargar documentos o integrar datos.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color w:val="09264D"/>
              </w:rPr>
              <w:t>5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color w:val="102033"/>
              </w:rPr>
              <w:t>Cargar documentos por parte. No mezclar información de cliente, proveedor, prestador o contraparte.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color w:val="09264D"/>
              </w:rPr>
              <w:t>6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color w:val="102033"/>
              </w:rPr>
              <w:t>Extraer e integrar datos. Validar lo integrado y dejar pendiente lo que no esté claro.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color w:val="09264D"/>
              </w:rPr>
              <w:t>7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color w:val="102033"/>
              </w:rPr>
              <w:t>Completar datos faltantes. Integrar todos los datos capturados de una vez.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color w:val="09264D"/>
              </w:rPr>
              <w:t>8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color w:val="102033"/>
              </w:rPr>
              <w:t>Editar cláusulas y revisar con IA. Aceptar o descartar observaciones bajo criterio propio; revisar congruencia y legislación aplicable cuando convenga.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color w:val="09264D"/>
              </w:rPr>
              <w:t>9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color w:val="102033"/>
              </w:rPr>
              <w:t>Exportar a Word. Generar una versión editable para circular, imprimir o conservar en expediente.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/>
                <w:color w:val="09264D"/>
              </w:rPr>
              <w:t>10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color w:val="102033"/>
              </w:rPr>
              <w:t>Preparar firma. Capturar firmantes, revisar correos y enviar por Dropbox Sign cuando la integración esté conectada.</w:t>
            </w:r>
          </w:p>
        </w:tc>
      </w:tr>
    </w:tbl>
    <w:p>
      <w:r>
        <w:br w:type="page"/>
      </w:r>
    </w:p>
    <w:p>
      <w:pPr>
        <w:pStyle w:val="Heading1"/>
      </w:pPr>
      <w:r>
        <w:t>Guía visual por pantalla</w:t>
      </w:r>
    </w:p>
    <w:p>
      <w:pPr>
        <w:pStyle w:val="Heading2"/>
      </w:pPr>
      <w:r>
        <w:t>1. Portada y acceso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540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ortada_acce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54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El botón Entrar o registrarse lleva al acceso privado.</w:t>
      </w:r>
    </w:p>
    <w:p>
      <w:pPr>
        <w:pStyle w:val="ListBullet"/>
      </w:pPr>
      <w:r>
        <w:t>Solicitar acceso sirve para pedir activación o soporte.</w:t>
      </w:r>
    </w:p>
    <w:p>
      <w:pPr>
        <w:pStyle w:val="ListBullet"/>
      </w:pPr>
      <w:r>
        <w:t>La portada explica qué hace LexContratos sin mostrar información privada.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2"/>
      </w:pPr>
      <w:r>
        <w:t>2. Inicio de sesión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540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54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La sesión requiere correo, contraseña y licencia activa.</w:t>
      </w:r>
    </w:p>
    <w:p>
      <w:pPr>
        <w:pStyle w:val="ListBullet"/>
      </w:pPr>
      <w:r>
        <w:t>Crear usuario no activa la licencia automáticamente; administración la habilita.</w:t>
      </w:r>
    </w:p>
    <w:p>
      <w:pPr>
        <w:pStyle w:val="ListBullet"/>
      </w:pPr>
      <w:r>
        <w:t>Mantener sesión iniciada evita firmarse cada vez en un equipo confiable.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2"/>
      </w:pPr>
      <w:r>
        <w:t>3. Crear usuario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540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rear_usuar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54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El registro crea una cuenta pendiente.</w:t>
      </w:r>
    </w:p>
    <w:p>
      <w:pPr>
        <w:pStyle w:val="ListBullet"/>
      </w:pPr>
      <w:r>
        <w:t>La administradora recibe o consulta el registro para activar licencia.</w:t>
      </w:r>
    </w:p>
    <w:p>
      <w:pPr>
        <w:pStyle w:val="ListBullet"/>
      </w:pPr>
      <w:r>
        <w:t>El usuario entra cuando su licencia queda activa.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2"/>
      </w:pPr>
      <w:r>
        <w:t>4. Área principal de trabajo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540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pp_acciones_principa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54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La tira superior concentra las acciones para iniciar trabajo.</w:t>
      </w:r>
    </w:p>
    <w:p>
      <w:pPr>
        <w:pStyle w:val="ListBullet"/>
      </w:pPr>
      <w:r>
        <w:t>Expedientes abre el archivo documental.</w:t>
      </w:r>
    </w:p>
    <w:p>
      <w:pPr>
        <w:pStyle w:val="ListBullet"/>
      </w:pPr>
      <w:r>
        <w:t>Seleccionar o importar formato inicia el contrato de trabajo.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2"/>
      </w:pPr>
      <w:r>
        <w:t>5. Selector de formatos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540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lector_macho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54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El selector evita tener una lista enorme ocupando la pantalla.</w:t>
      </w:r>
    </w:p>
    <w:p>
      <w:pPr>
        <w:pStyle w:val="ListBullet"/>
      </w:pPr>
      <w:r>
        <w:t>Al usar un formato, se trabaja una copia para no alterar la base.</w:t>
      </w:r>
    </w:p>
    <w:p>
      <w:pPr>
        <w:pStyle w:val="ListBullet"/>
      </w:pPr>
      <w:r>
        <w:t>El buscador ayuda a encontrar rápido el contrato correcto.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2"/>
      </w:pPr>
      <w:r>
        <w:t>6. Guardar como en expediente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540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uardar_com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54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Guardar como define desde el inicio dónde vivirá el contrato.</w:t>
      </w:r>
    </w:p>
    <w:p>
      <w:pPr>
        <w:pStyle w:val="ListBullet"/>
      </w:pPr>
      <w:r>
        <w:t>La ruta funciona como archivo de trabajo por cliente, proveedor, personal o documentos de partes.</w:t>
      </w:r>
    </w:p>
    <w:p>
      <w:pPr>
        <w:pStyle w:val="ListBullet"/>
      </w:pPr>
      <w:r>
        <w:t>Dentro del explorador se pueden crear y organizar carpetas.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2"/>
      </w:pPr>
      <w:r>
        <w:t>7. Editor y pasos obligatorios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540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ditor_pas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54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El flujo recomendado avanza de izquierda a derecha.</w:t>
      </w:r>
    </w:p>
    <w:p>
      <w:pPr>
        <w:pStyle w:val="ListBullet"/>
      </w:pPr>
      <w:r>
        <w:t>Detectar campos editables es obligatorio antes de extraer o integrar datos.</w:t>
      </w:r>
    </w:p>
    <w:p>
      <w:pPr>
        <w:pStyle w:val="ListBullet"/>
      </w:pPr>
      <w:r>
        <w:t>Guardar como está junto al documento porque afecta el archivo de trabajo.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2"/>
      </w:pPr>
      <w:r>
        <w:t>8. Carga de documentos por parte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540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ocumentos_por_par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54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Los documentos deben separarse por parte contractual.</w:t>
      </w:r>
    </w:p>
    <w:p>
      <w:pPr>
        <w:pStyle w:val="ListBullet"/>
      </w:pPr>
      <w:r>
        <w:t>La extracción intenta integrar lo que encuentre con soporte.</w:t>
      </w:r>
    </w:p>
    <w:p>
      <w:pPr>
        <w:pStyle w:val="ListBullet"/>
      </w:pPr>
      <w:r>
        <w:t>Lo que falte queda para captura manual.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2"/>
      </w:pPr>
      <w:r>
        <w:t>9. Datos faltantes manuales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540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atos_faltan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54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Este panel no obliga a guardar campo por campo.</w:t>
      </w:r>
    </w:p>
    <w:p>
      <w:pPr>
        <w:pStyle w:val="ListBullet"/>
      </w:pPr>
      <w:r>
        <w:t>Se capturan varios datos y se integran juntos.</w:t>
      </w:r>
    </w:p>
    <w:p>
      <w:pPr>
        <w:pStyle w:val="ListBullet"/>
      </w:pPr>
      <w:r>
        <w:t>Los campos completos dejan de aparecer como pendientes.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2"/>
      </w:pPr>
      <w:r>
        <w:t>10. Revisión crítica 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540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vision_critic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54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La revisión crítica no sustituye el criterio del usuario.</w:t>
      </w:r>
    </w:p>
    <w:p>
      <w:pPr>
        <w:pStyle w:val="ListBullet"/>
      </w:pPr>
      <w:r>
        <w:t>Las sugerencias se pueden aceptar o descartar una por una.</w:t>
      </w:r>
    </w:p>
    <w:p>
      <w:pPr>
        <w:pStyle w:val="ListBullet"/>
      </w:pPr>
      <w:r>
        <w:t>La revisión legal aplicable no sustituye un dictamen ni certifica vigencia normativa.</w:t>
      </w:r>
    </w:p>
    <w:p>
      <w:pPr>
        <w:pStyle w:val="ListBullet"/>
      </w:pPr>
      <w:r>
        <w:t>Antes de exportar, conviene revisar observaciones importantes.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2"/>
      </w:pPr>
      <w:r>
        <w:t>11. Firma electrónica con Dropbox 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540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firma_electronic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54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Para enviar a Dropbox Sign sí se necesita nombre, correo y rol de cada firmante.</w:t>
      </w:r>
    </w:p>
    <w:p>
      <w:pPr>
        <w:pStyle w:val="ListBullet"/>
      </w:pPr>
      <w:r>
        <w:t>El contrato puede seguir incompleto para una prueba, pero los datos de firmantes no pueden estar vacíos.</w:t>
      </w:r>
    </w:p>
    <w:p>
      <w:pPr>
        <w:pStyle w:val="ListBullet"/>
      </w:pPr>
      <w:r>
        <w:t>En modo prueba, el envío no es legalmente vinculante.</w:t>
      </w:r>
    </w:p>
    <w:p>
      <w:pPr>
        <w:pStyle w:val="ListBullet"/>
      </w:pPr>
      <w:r>
        <w:t>Cuando el botón diga Enviar prueba de firma, el correo sirve para validar el flujo, no para firmar legalmente.</w:t>
      </w:r>
    </w:p>
    <w:p>
      <w:pPr>
        <w:pStyle w:val="ListBullet"/>
      </w:pPr>
      <w:r>
        <w:t>Cuando el envío funciona, el firmante recibe un correo de Dropbox Sign para firmar desde su navegador.</w:t>
      </w:r>
    </w:p>
    <w:p>
      <w:pPr>
        <w:pStyle w:val="ListBullet"/>
      </w:pPr>
      <w:r>
        <w:t>Si Dropbox Sign limita correos externos en modo prueba, usa correos del dominio autorizado o cambia a modo real cuando proceda.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2"/>
      </w:pPr>
      <w:r>
        <w:t>12. Expedientes y archivo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540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expedien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54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El archivo funciona como explorador interno.</w:t>
      </w:r>
    </w:p>
    <w:p>
      <w:pPr>
        <w:pStyle w:val="ListBullet"/>
      </w:pPr>
      <w:r>
        <w:t>Las carpetas ayudan a ordenar por cliente, proveedor, asunto o documentos de las partes.</w:t>
      </w:r>
    </w:p>
    <w:p>
      <w:pPr>
        <w:pStyle w:val="ListBullet"/>
      </w:pPr>
      <w:r>
        <w:t>La barra puede cerrarse para volver al contrato amplio.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1"/>
      </w:pPr>
      <w:r>
        <w:t>Reglas de prueba para usuarias piloto</w:t>
      </w:r>
    </w:p>
    <w:p>
      <w:pPr>
        <w:pStyle w:val="ListBullet"/>
      </w:pPr>
      <w:r>
        <w:t>Usar siempre lexcontratos.com para pruebas reales. Las vistas locales sirven solo para desarrollo.</w:t>
      </w:r>
    </w:p>
    <w:p>
      <w:pPr>
        <w:pStyle w:val="ListBullet"/>
      </w:pPr>
      <w:r>
        <w:t>No subir documentos reales de terceros si no son necesarios para la prueba piloto.</w:t>
      </w:r>
    </w:p>
    <w:p>
      <w:pPr>
        <w:pStyle w:val="ListBullet"/>
      </w:pPr>
      <w:r>
        <w:t>Separar documentos por parte. Si se mezclan, la extracción puede asignar datos al rol incorrecto.</w:t>
      </w:r>
    </w:p>
    <w:p>
      <w:pPr>
        <w:pStyle w:val="ListBullet"/>
      </w:pPr>
      <w:r>
        <w:t>Presionar Detectar campos editables cada vez que se cambie el formato/draft o se borren campos del contrato.</w:t>
      </w:r>
    </w:p>
    <w:p>
      <w:pPr>
        <w:pStyle w:val="ListBullet"/>
      </w:pPr>
      <w:r>
        <w:t>Revisar siempre los datos integrados antes de exportar a Word.</w:t>
      </w:r>
    </w:p>
    <w:p>
      <w:pPr>
        <w:pStyle w:val="ListBullet"/>
      </w:pPr>
      <w:r>
        <w:t>Si se usa la revisión de legislación aplicable, tratarla como alerta de apoyo y no como dictamen definitivo.</w:t>
      </w:r>
    </w:p>
    <w:p>
      <w:pPr>
        <w:pStyle w:val="ListBullet"/>
      </w:pPr>
      <w:r>
        <w:t>Si se usa corredor público, verificar que el documento sea póliza o acta, no escritura pública salvo que el usuario confirme otra cosa.</w:t>
      </w:r>
    </w:p>
    <w:p>
      <w:pPr>
        <w:pStyle w:val="ListBullet"/>
      </w:pPr>
      <w:r>
        <w:t>Para enviar por Dropbox Sign, capturar nombre, correo y rol de cada firmante. No basta con tener el contrato abierto.</w:t>
      </w:r>
    </w:p>
    <w:p>
      <w:pPr>
        <w:pStyle w:val="ListBullet"/>
      </w:pPr>
      <w:r>
        <w:t>En modo prueba de Dropbox Sign, el envío no es legalmente vinculante y puede estar limitado a correos del dominio autorizado.</w:t>
      </w:r>
    </w:p>
    <w:p>
      <w:pPr>
        <w:pStyle w:val="ListBullet"/>
      </w:pPr>
      <w:r>
        <w:t>Reportar cualquier error con captura de pantalla, contrato utilizado, documentos cargados y una breve explicación.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4FF"/>
          </w:tcPr>
          <w:p>
            <w:r>
              <w:rPr>
                <w:b/>
                <w:color w:val="09264D"/>
              </w:rPr>
              <w:t>Frase clave para soporte.</w:t>
            </w:r>
            <w:r>
              <w:t xml:space="preserve"> Si algo no se entiende, pedir a la usuaria que indique en qué paso se atoró: acceso, formato/draft, guardar como, detectar campos, documentos por parte, extracción, datos faltantes, revisión IA, exportación o expedientes.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926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55B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