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  <w:r>
        <w:br/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(core, führend)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Inhalt</w:t>
      </w:r>
    </w:p>
    <w:p>
      <w:pPr>
        <w:pStyle w:val="ListBullet"/>
        <w:spacing w:after="40"/>
      </w:pPr>
      <w:r>
        <w:rPr>
          <w:color w:val="1F2937"/>
          <w:sz w:val="21"/>
        </w:rPr>
        <w:t>1 · Was ist dieses Harness?</w:t>
      </w:r>
    </w:p>
    <w:p>
      <w:pPr>
        <w:pStyle w:val="ListBullet"/>
        <w:spacing w:after="40"/>
      </w:pPr>
      <w:r>
        <w:rPr>
          <w:color w:val="1F2937"/>
          <w:sz w:val="21"/>
        </w:rPr>
        <w:t>2 · Setup &amp; VPS-Architektur (global, RTK, Koexistenz)</w:t>
      </w:r>
    </w:p>
    <w:p>
      <w:pPr>
        <w:pStyle w:val="ListBullet"/>
        <w:spacing w:after="40"/>
      </w:pPr>
      <w:r>
        <w:rPr>
          <w:color w:val="1F2937"/>
          <w:sz w:val="21"/>
        </w:rPr>
        <w:t>3 · Mentales Modell — die Bausteine</w:t>
      </w:r>
    </w:p>
    <w:p>
      <w:pPr>
        <w:pStyle w:val="ListBullet"/>
        <w:spacing w:after="40"/>
      </w:pPr>
      <w:r>
        <w:rPr>
          <w:color w:val="1F2937"/>
          <w:sz w:val="21"/>
        </w:rPr>
        <w:t>4 · Täglicher Workflow: die 5-Phasen-Pipeline</w:t>
      </w:r>
    </w:p>
    <w:p>
      <w:pPr>
        <w:pStyle w:val="ListBullet"/>
        <w:spacing w:after="40"/>
      </w:pPr>
      <w:r>
        <w:rPr>
          <w:color w:val="1F2937"/>
          <w:sz w:val="21"/>
        </w:rPr>
        <w:t>5 · Projekt-Onboarding mit /ecc-onboard</w:t>
      </w:r>
    </w:p>
    <w:p>
      <w:pPr>
        <w:pStyle w:val="ListBullet"/>
        <w:spacing w:after="40"/>
      </w:pPr>
      <w:r>
        <w:rPr>
          <w:color w:val="1F2937"/>
          <w:sz w:val="21"/>
        </w:rPr>
        <w:t>6 · Cheat-Sheet: Wann welcher Command</w:t>
      </w:r>
    </w:p>
    <w:p>
      <w:pPr>
        <w:pStyle w:val="ListBullet"/>
        <w:spacing w:after="40"/>
      </w:pPr>
      <w:r>
        <w:rPr>
          <w:color w:val="1F2937"/>
          <w:sz w:val="21"/>
        </w:rPr>
        <w:t>7 · Wann welcher MCP</w:t>
      </w:r>
    </w:p>
    <w:p>
      <w:pPr>
        <w:pStyle w:val="ListBullet"/>
        <w:spacing w:after="40"/>
      </w:pPr>
      <w:r>
        <w:rPr>
          <w:color w:val="1F2937"/>
          <w:sz w:val="21"/>
        </w:rPr>
        <w:t>8 · Token-Ökonomie &amp; Modellstrategie</w:t>
      </w:r>
    </w:p>
    <w:p>
      <w:pPr>
        <w:pStyle w:val="ListBullet"/>
        <w:spacing w:after="40"/>
      </w:pPr>
      <w:r>
        <w:rPr>
          <w:color w:val="1F2937"/>
          <w:sz w:val="21"/>
        </w:rPr>
        <w:t>9 · Memory &amp; Sessions</w:t>
      </w:r>
    </w:p>
    <w:p>
      <w:pPr>
        <w:pStyle w:val="ListBullet"/>
        <w:spacing w:after="40"/>
      </w:pPr>
      <w:r>
        <w:rPr>
          <w:color w:val="1F2937"/>
          <w:sz w:val="21"/>
        </w:rPr>
        <w:t>10 · Continuous Learning (Self-Improvement)</w:t>
      </w:r>
    </w:p>
    <w:p>
      <w:pPr>
        <w:pStyle w:val="ListBullet"/>
        <w:spacing w:after="40"/>
      </w:pPr>
      <w:r>
        <w:rPr>
          <w:color w:val="1F2937"/>
          <w:sz w:val="21"/>
        </w:rPr>
        <w:t>11 · Parallelisierung</w:t>
      </w:r>
    </w:p>
    <w:p>
      <w:pPr>
        <w:pStyle w:val="ListBullet"/>
        <w:spacing w:after="40"/>
      </w:pPr>
      <w:r>
        <w:rPr>
          <w:color w:val="1F2937"/>
          <w:sz w:val="21"/>
        </w:rPr>
        <w:t>12 · Security im Alltag + VPS-Hinweise</w:t>
      </w:r>
    </w:p>
    <w:p>
      <w:pPr>
        <w:pStyle w:val="ListBullet"/>
        <w:spacing w:after="40"/>
      </w:pPr>
      <w:r>
        <w:rPr>
          <w:color w:val="1F2937"/>
          <w:sz w:val="21"/>
        </w:rPr>
        <w:t>13 · ECC-CLIs &amp; Wartung</w:t>
      </w:r>
    </w:p>
    <w:p>
      <w:pPr>
        <w:pStyle w:val="ListBullet"/>
        <w:spacing w:after="40"/>
      </w:pPr>
      <w:r>
        <w:rPr>
          <w:color w:val="1F2937"/>
          <w:sz w:val="21"/>
        </w:rPr>
        <w:t>14 · Quellen &amp; TL;DR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~79 Skills, 79 Commands, 21 Sprach-Rule-Packs, manifest-basierter Installer, Continuous Learning, Security-Scanning.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/ecc-onboard (One-Shot-Projekt-Setup),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additiv: </w:t>
      </w:r>
      <w:r>
        <w:rPr>
          <w:color w:val="1F2937"/>
          <w:sz w:val="21"/>
        </w:rPr>
        <w:t>Der Installer lässt settings.json/CLAUDE.md unberührt. Bewusste Aufräum-Schritte (feature-dev-Plugin deaktiviert, context-mode entfernt) wurden separat mit Backup vorgenommen.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primäre Memory-Quelle; injiziert Kontext automatisch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(§8)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codex / superpowers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diverse Skills/Agents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eigenständiger Mehrwert; bleiben aktiv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Aufgeräumt:  </w:t>
      </w:r>
      <w:r>
        <w:rPr>
          <w:color w:val="1F2937"/>
          <w:sz w:val="20"/>
        </w:rPr>
        <w:t>feature-dev existierte 3-fach — die ECC-Version ist kanonisch, das gleichnamige Plugin wurde deaktiviert. RPI wurde entfernt (redundant zu ECC). Bei Namens-Zweifeln eindeutige ECC-Commands nutzen (/harness-audit, /ecc-guide, /ecc-onboard, /instinct-status).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3 · Das mentale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4 · Der tägliche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claude-mem   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5 · Projekt-Onboarding mit /ecc-onboard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Ein einziger Command macht ein beliebiges Projekt ECC-ready — Auto-Detect, ein OK, fertig. Er orchestriert Stack-Detection, den ECC-Installer (project-level) und das state/-Pattern: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16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passiert</w:t>
            </w:r>
          </w:p>
        </w:tc>
        <w:tc>
          <w:tcPr>
            <w:tcW w:type="dxa" w:w="3312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Ergebnis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 · Detect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aus package.json / pyproject.toml / go.mod … erkennen</w:t>
            </w:r>
          </w:p>
        </w:tc>
        <w:tc>
          <w:tcPr>
            <w:tcW w:type="dxa" w:w="331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Profil + Sprach-Packs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2 · Dry-Run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install-plan/-apply --target claude-project --dry-run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 ohne Schreiben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3 · Bestätigung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1× OK des Users (AskUserQuestion)</w:t>
            </w:r>
          </w:p>
        </w:tc>
        <w:tc>
          <w:tcPr>
            <w:tcW w:type="dxa" w:w="331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Freigabe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4 · Install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install-apply --target claude-project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.claude/rules/ecc/ + skills/ecc/</w:t>
            </w:r>
          </w:p>
        </w:tc>
      </w:tr>
      <w:tr>
        <w:tc>
          <w:tcPr>
            <w:tcW w:type="dxa" w:w="216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5 · Kontext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Templates füllen (echte Projektwerte)</w:t>
            </w:r>
          </w:p>
        </w:tc>
        <w:tc>
          <w:tcPr>
            <w:tcW w:type="dxa" w:w="3312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PROJECT_RULES.md + state/*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Wichtig:  </w:t>
      </w:r>
      <w:r>
        <w:rPr>
          <w:color w:val="1F2937"/>
          <w:sz w:val="20"/>
        </w:rPr>
        <w:t>Aus dem Zielprojekt-Verzeichnis ausführen — der project-level Install landet im aktuellen cwd. /ecc-onboard ist idempotent: erneutes Ausführen merged, überschreibt nichts blind.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6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 ECC-ready machen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/ecc-onboard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Stack erkennen → 1× OK → Rules/Skills + PROJECT_RULES.md + state/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 ·  Skill documentation-lookup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7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Code-Search FIRST vor Neuschreiben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 / Word / Excel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Laufzeit-Memory (mit claude-mem abstimmen)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 (lokal)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RTK-Hook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Frühere Arbeit / „schon gelöst?"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 (/mem-search)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cross-session Memory, injiziert Kontext automatisch</w:t>
            </w:r>
          </w:p>
        </w:tc>
      </w:tr>
    </w:tbl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8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2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Einzeldatei-Edits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klar umrissen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Multi-File-Implementierung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bester Coding-Kompromiss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Sonnet  </w:t>
      </w:r>
      <w:r>
        <w:rPr>
          <w:color w:val="1F2937"/>
          <w:sz w:val="20"/>
        </w:rPr>
        <w:t>für ~90 % des Codings. Upgrade auf Opus bei: erster Versuch gescheitert · ≥ 5 Dateien · Architektur-Entscheidung · Security-kritisch.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9 · Memory &amp; Sessions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Koexistenz claude-mem:  </w:t>
      </w:r>
      <w:r>
        <w:rPr>
          <w:color w:val="1F2937"/>
          <w:sz w:val="20"/>
        </w:rPr>
        <w:t>Entscheide dich pro Projekt für EINE primäre Memory-Quelle, sonst doppelte Wahrheit. Keine Secrets in Memory.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10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11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12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13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14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