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7934" w14:textId="77777777" w:rsidR="003245E5" w:rsidRPr="002B39A3" w:rsidRDefault="003245E5" w:rsidP="002B39A3">
      <w:pPr>
        <w:spacing w:line="480" w:lineRule="auto"/>
        <w:jc w:val="center"/>
        <w:rPr>
          <w:rFonts w:ascii="Times New Roman" w:hAnsi="Times New Roman" w:cs="Times New Roman"/>
          <w:sz w:val="24"/>
          <w:szCs w:val="24"/>
        </w:rPr>
      </w:pPr>
    </w:p>
    <w:p w14:paraId="642B6C82" w14:textId="77777777" w:rsidR="002B39A3" w:rsidRPr="002B39A3" w:rsidRDefault="002B39A3" w:rsidP="002B39A3">
      <w:pPr>
        <w:spacing w:line="480" w:lineRule="auto"/>
        <w:jc w:val="center"/>
        <w:rPr>
          <w:rFonts w:ascii="Times New Roman" w:hAnsi="Times New Roman" w:cs="Times New Roman"/>
          <w:sz w:val="24"/>
          <w:szCs w:val="24"/>
        </w:rPr>
      </w:pPr>
    </w:p>
    <w:p w14:paraId="0DA72F2D" w14:textId="77777777" w:rsidR="002B39A3" w:rsidRPr="002B39A3" w:rsidRDefault="002B39A3" w:rsidP="002B39A3">
      <w:pPr>
        <w:spacing w:line="480" w:lineRule="auto"/>
        <w:jc w:val="center"/>
        <w:rPr>
          <w:rFonts w:ascii="Times New Roman" w:hAnsi="Times New Roman" w:cs="Times New Roman"/>
          <w:sz w:val="24"/>
          <w:szCs w:val="24"/>
        </w:rPr>
      </w:pPr>
    </w:p>
    <w:p w14:paraId="0AF96454" w14:textId="77777777" w:rsidR="002B39A3" w:rsidRPr="002B39A3" w:rsidRDefault="002B39A3" w:rsidP="002B39A3">
      <w:pPr>
        <w:spacing w:line="480" w:lineRule="auto"/>
        <w:jc w:val="center"/>
        <w:rPr>
          <w:rFonts w:ascii="Times New Roman" w:hAnsi="Times New Roman" w:cs="Times New Roman"/>
          <w:sz w:val="24"/>
          <w:szCs w:val="24"/>
        </w:rPr>
      </w:pPr>
    </w:p>
    <w:p w14:paraId="0CCAABBA" w14:textId="77777777" w:rsidR="002B39A3" w:rsidRPr="002B39A3" w:rsidRDefault="002B39A3" w:rsidP="002B39A3">
      <w:pPr>
        <w:spacing w:line="480" w:lineRule="auto"/>
        <w:jc w:val="center"/>
        <w:rPr>
          <w:rFonts w:ascii="Times New Roman" w:hAnsi="Times New Roman" w:cs="Times New Roman"/>
          <w:sz w:val="24"/>
          <w:szCs w:val="24"/>
        </w:rPr>
      </w:pPr>
    </w:p>
    <w:p w14:paraId="3CE0E058" w14:textId="77777777" w:rsidR="002B39A3" w:rsidRPr="002B39A3" w:rsidRDefault="002B39A3" w:rsidP="002B39A3">
      <w:pPr>
        <w:spacing w:line="480" w:lineRule="auto"/>
        <w:jc w:val="center"/>
        <w:rPr>
          <w:rFonts w:ascii="Times New Roman" w:hAnsi="Times New Roman" w:cs="Times New Roman"/>
          <w:sz w:val="24"/>
          <w:szCs w:val="24"/>
        </w:rPr>
      </w:pPr>
    </w:p>
    <w:p w14:paraId="66BEE68D" w14:textId="346A574E" w:rsidR="00EB02AA" w:rsidRPr="00EB02AA" w:rsidRDefault="00EB02AA" w:rsidP="002B39A3">
      <w:pPr>
        <w:pStyle w:val="NoSpacing"/>
        <w:spacing w:line="480" w:lineRule="auto"/>
        <w:jc w:val="center"/>
        <w:rPr>
          <w:rFonts w:ascii="Times New Roman" w:hAnsi="Times New Roman" w:cs="Times New Roman"/>
          <w:b/>
          <w:bCs/>
          <w:color w:val="000000" w:themeColor="text1"/>
          <w:sz w:val="24"/>
          <w:szCs w:val="24"/>
        </w:rPr>
      </w:pPr>
      <w:r w:rsidRPr="002B39A3">
        <w:rPr>
          <w:rFonts w:ascii="Times New Roman" w:eastAsia="Times New Roman" w:hAnsi="Times New Roman" w:cs="Times New Roman"/>
          <w:b/>
          <w:bCs/>
          <w:kern w:val="0"/>
          <w:sz w:val="24"/>
          <w:szCs w:val="24"/>
          <w14:ligatures w14:val="none"/>
        </w:rPr>
        <w:t>Project SCORPION: A Data-Driven Framework for Supplier Performance Optimization and Risk Mitigation</w:t>
      </w:r>
      <w:r w:rsidRPr="00EB02AA">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for Conagra Brands Inc.</w:t>
      </w:r>
    </w:p>
    <w:p w14:paraId="73A70E60" w14:textId="6FFD62A9" w:rsidR="002B39A3" w:rsidRPr="002B39A3" w:rsidRDefault="002B39A3" w:rsidP="002B39A3">
      <w:pPr>
        <w:pStyle w:val="NoSpacing"/>
        <w:spacing w:line="480" w:lineRule="auto"/>
        <w:jc w:val="center"/>
        <w:rPr>
          <w:rFonts w:ascii="Times New Roman" w:hAnsi="Times New Roman" w:cs="Times New Roman"/>
          <w:color w:val="000000" w:themeColor="text1"/>
          <w:sz w:val="24"/>
          <w:szCs w:val="24"/>
        </w:rPr>
      </w:pPr>
      <w:r w:rsidRPr="002B39A3">
        <w:rPr>
          <w:rFonts w:ascii="Times New Roman" w:hAnsi="Times New Roman" w:cs="Times New Roman"/>
          <w:color w:val="000000" w:themeColor="text1"/>
          <w:sz w:val="24"/>
          <w:szCs w:val="24"/>
        </w:rPr>
        <w:t>Paulette Wolfe</w:t>
      </w:r>
    </w:p>
    <w:p w14:paraId="6ADF7ED8" w14:textId="77777777" w:rsidR="002B39A3" w:rsidRPr="002B39A3" w:rsidRDefault="002B39A3" w:rsidP="002B39A3">
      <w:pPr>
        <w:pStyle w:val="NoSpacing"/>
        <w:spacing w:line="480" w:lineRule="auto"/>
        <w:jc w:val="center"/>
        <w:rPr>
          <w:rFonts w:ascii="Times New Roman" w:hAnsi="Times New Roman" w:cs="Times New Roman"/>
          <w:color w:val="000000" w:themeColor="text1"/>
          <w:sz w:val="24"/>
          <w:szCs w:val="24"/>
        </w:rPr>
      </w:pPr>
      <w:r w:rsidRPr="002B39A3">
        <w:rPr>
          <w:rFonts w:ascii="Times New Roman" w:hAnsi="Times New Roman" w:cs="Times New Roman"/>
          <w:color w:val="000000" w:themeColor="text1"/>
          <w:sz w:val="24"/>
          <w:szCs w:val="24"/>
        </w:rPr>
        <w:t>Department of Data Science Monroe University, King Graduate School</w:t>
      </w:r>
    </w:p>
    <w:p w14:paraId="1B121BFB" w14:textId="77777777" w:rsidR="002B39A3" w:rsidRPr="002B39A3" w:rsidRDefault="002B39A3" w:rsidP="002B39A3">
      <w:pPr>
        <w:pStyle w:val="NoSpacing"/>
        <w:spacing w:line="480" w:lineRule="auto"/>
        <w:jc w:val="center"/>
        <w:rPr>
          <w:rFonts w:ascii="Times New Roman" w:hAnsi="Times New Roman" w:cs="Times New Roman"/>
          <w:color w:val="000000" w:themeColor="text1"/>
          <w:sz w:val="24"/>
          <w:szCs w:val="24"/>
        </w:rPr>
      </w:pPr>
      <w:r w:rsidRPr="002B39A3">
        <w:rPr>
          <w:rFonts w:ascii="Times New Roman" w:hAnsi="Times New Roman" w:cs="Times New Roman"/>
          <w:color w:val="000000" w:themeColor="text1"/>
          <w:sz w:val="24"/>
          <w:szCs w:val="24"/>
        </w:rPr>
        <w:t>CS703-151W: Applied Data Science Project</w:t>
      </w:r>
    </w:p>
    <w:p w14:paraId="20C83B3C" w14:textId="77777777" w:rsidR="002B39A3" w:rsidRPr="002B39A3" w:rsidRDefault="002B39A3" w:rsidP="002B39A3">
      <w:pPr>
        <w:pStyle w:val="NoSpacing"/>
        <w:spacing w:line="480" w:lineRule="auto"/>
        <w:jc w:val="center"/>
        <w:rPr>
          <w:rFonts w:ascii="Times New Roman" w:hAnsi="Times New Roman" w:cs="Times New Roman"/>
          <w:color w:val="000000" w:themeColor="text1"/>
          <w:sz w:val="24"/>
          <w:szCs w:val="24"/>
          <w:shd w:val="clear" w:color="auto" w:fill="FFFFFF"/>
        </w:rPr>
      </w:pPr>
      <w:r w:rsidRPr="002B39A3">
        <w:rPr>
          <w:rFonts w:ascii="Times New Roman" w:hAnsi="Times New Roman" w:cs="Times New Roman"/>
          <w:color w:val="000000" w:themeColor="text1"/>
          <w:sz w:val="24"/>
          <w:szCs w:val="24"/>
          <w:shd w:val="clear" w:color="auto" w:fill="FFFFFF"/>
        </w:rPr>
        <w:t xml:space="preserve">Professor </w:t>
      </w:r>
      <w:r w:rsidRPr="002B39A3">
        <w:rPr>
          <w:rFonts w:ascii="Times New Roman" w:hAnsi="Times New Roman" w:cs="Times New Roman"/>
          <w:color w:val="000000" w:themeColor="text1"/>
          <w:sz w:val="24"/>
          <w:szCs w:val="24"/>
        </w:rPr>
        <w:t>Nicholas Nardi</w:t>
      </w:r>
    </w:p>
    <w:p w14:paraId="43F52FB7" w14:textId="099AF66A" w:rsidR="002B39A3" w:rsidRPr="002B39A3" w:rsidRDefault="002B39A3" w:rsidP="002B39A3">
      <w:pPr>
        <w:spacing w:line="480" w:lineRule="auto"/>
        <w:jc w:val="center"/>
        <w:rPr>
          <w:rFonts w:ascii="Times New Roman" w:hAnsi="Times New Roman" w:cs="Times New Roman"/>
          <w:sz w:val="24"/>
          <w:szCs w:val="24"/>
        </w:rPr>
      </w:pPr>
      <w:r w:rsidRPr="002B39A3">
        <w:rPr>
          <w:rFonts w:ascii="Times New Roman" w:hAnsi="Times New Roman" w:cs="Times New Roman"/>
          <w:sz w:val="24"/>
          <w:szCs w:val="24"/>
        </w:rPr>
        <w:t>August 2</w:t>
      </w:r>
      <w:r w:rsidRPr="002B39A3">
        <w:rPr>
          <w:rFonts w:ascii="Times New Roman" w:hAnsi="Times New Roman" w:cs="Times New Roman"/>
          <w:sz w:val="24"/>
          <w:szCs w:val="24"/>
        </w:rPr>
        <w:t>, 2025</w:t>
      </w:r>
    </w:p>
    <w:p w14:paraId="7FDE98A5" w14:textId="77777777" w:rsidR="002B39A3" w:rsidRPr="002B39A3" w:rsidRDefault="002B39A3" w:rsidP="002B39A3">
      <w:pPr>
        <w:spacing w:line="480" w:lineRule="auto"/>
        <w:jc w:val="center"/>
        <w:rPr>
          <w:rFonts w:ascii="Times New Roman" w:hAnsi="Times New Roman" w:cs="Times New Roman"/>
          <w:sz w:val="24"/>
          <w:szCs w:val="24"/>
        </w:rPr>
      </w:pPr>
    </w:p>
    <w:p w14:paraId="372C327F" w14:textId="77777777" w:rsidR="002B39A3" w:rsidRPr="002B39A3" w:rsidRDefault="002B39A3" w:rsidP="002B39A3">
      <w:pPr>
        <w:spacing w:line="480" w:lineRule="auto"/>
        <w:jc w:val="center"/>
        <w:rPr>
          <w:rFonts w:ascii="Times New Roman" w:hAnsi="Times New Roman" w:cs="Times New Roman"/>
          <w:sz w:val="24"/>
          <w:szCs w:val="24"/>
        </w:rPr>
      </w:pPr>
    </w:p>
    <w:p w14:paraId="71B068A7" w14:textId="77777777" w:rsidR="002B39A3" w:rsidRPr="002B39A3" w:rsidRDefault="002B39A3" w:rsidP="002B39A3">
      <w:pPr>
        <w:spacing w:line="480" w:lineRule="auto"/>
        <w:jc w:val="center"/>
        <w:rPr>
          <w:rFonts w:ascii="Times New Roman" w:hAnsi="Times New Roman" w:cs="Times New Roman"/>
          <w:sz w:val="24"/>
          <w:szCs w:val="24"/>
        </w:rPr>
      </w:pPr>
    </w:p>
    <w:p w14:paraId="34E9F5A9" w14:textId="77777777" w:rsidR="002B39A3" w:rsidRPr="002B39A3" w:rsidRDefault="002B39A3" w:rsidP="002B39A3">
      <w:pPr>
        <w:spacing w:line="480" w:lineRule="auto"/>
        <w:jc w:val="center"/>
        <w:rPr>
          <w:rFonts w:ascii="Times New Roman" w:hAnsi="Times New Roman" w:cs="Times New Roman"/>
          <w:sz w:val="24"/>
          <w:szCs w:val="24"/>
        </w:rPr>
      </w:pPr>
    </w:p>
    <w:p w14:paraId="3018494B" w14:textId="77777777" w:rsidR="002B39A3" w:rsidRPr="002B39A3" w:rsidRDefault="002B39A3" w:rsidP="002B39A3">
      <w:pPr>
        <w:spacing w:line="480" w:lineRule="auto"/>
        <w:jc w:val="center"/>
        <w:rPr>
          <w:rFonts w:ascii="Times New Roman" w:hAnsi="Times New Roman" w:cs="Times New Roman"/>
          <w:sz w:val="24"/>
          <w:szCs w:val="24"/>
        </w:rPr>
      </w:pPr>
    </w:p>
    <w:p w14:paraId="2CB83A9B" w14:textId="77777777" w:rsidR="002B39A3" w:rsidRPr="002B39A3" w:rsidRDefault="002B39A3" w:rsidP="002B39A3">
      <w:pPr>
        <w:spacing w:line="480" w:lineRule="auto"/>
        <w:jc w:val="center"/>
        <w:rPr>
          <w:rFonts w:ascii="Times New Roman" w:hAnsi="Times New Roman" w:cs="Times New Roman"/>
          <w:sz w:val="24"/>
          <w:szCs w:val="24"/>
        </w:rPr>
      </w:pPr>
    </w:p>
    <w:p w14:paraId="37F66D78" w14:textId="77777777" w:rsidR="002B39A3" w:rsidRPr="002B39A3" w:rsidRDefault="002B39A3" w:rsidP="002B39A3">
      <w:pPr>
        <w:spacing w:line="480" w:lineRule="auto"/>
        <w:jc w:val="center"/>
        <w:rPr>
          <w:rFonts w:ascii="Times New Roman" w:hAnsi="Times New Roman" w:cs="Times New Roman"/>
          <w:sz w:val="24"/>
          <w:szCs w:val="24"/>
        </w:rPr>
      </w:pPr>
    </w:p>
    <w:p w14:paraId="38EC60A1" w14:textId="77777777" w:rsidR="002B39A3" w:rsidRPr="002B39A3" w:rsidRDefault="002B39A3" w:rsidP="002B39A3">
      <w:pPr>
        <w:spacing w:line="480" w:lineRule="auto"/>
        <w:jc w:val="center"/>
        <w:rPr>
          <w:rFonts w:ascii="Times New Roman" w:hAnsi="Times New Roman" w:cs="Times New Roman"/>
          <w:sz w:val="24"/>
          <w:szCs w:val="24"/>
        </w:rPr>
      </w:pPr>
    </w:p>
    <w:p w14:paraId="67DB1DC7" w14:textId="77777777" w:rsidR="002B39A3" w:rsidRPr="002B39A3" w:rsidRDefault="002B39A3" w:rsidP="002B39A3">
      <w:pPr>
        <w:spacing w:after="100" w:afterAutospacing="1" w:line="480" w:lineRule="auto"/>
        <w:outlineLvl w:val="2"/>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Project SCORPION: A CRISP-DM Analysis for Conagra Brands</w:t>
      </w:r>
    </w:p>
    <w:p w14:paraId="5C1236C7" w14:textId="77777777" w:rsidR="002B39A3" w:rsidRPr="002B39A3" w:rsidRDefault="002B39A3" w:rsidP="002B39A3">
      <w:pPr>
        <w:spacing w:after="100" w:afterAutospacing="1" w:line="480" w:lineRule="auto"/>
        <w:outlineLvl w:val="2"/>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Executive Summary</w:t>
      </w:r>
    </w:p>
    <w:p w14:paraId="41CC682E"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To: Conagra Brands Executive Leadership (CEO, COO, CFO, Chief Supply Chain Officer)</w:t>
      </w:r>
    </w:p>
    <w:p w14:paraId="59C5782A"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From: Senior Data Analytics and Supply Chain Strategy Consulting Team</w:t>
      </w:r>
    </w:p>
    <w:p w14:paraId="079FB9BB"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Date: July 26, 2025</w:t>
      </w:r>
    </w:p>
    <w:p w14:paraId="15A4DF94"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Subject: Final Report on Project SCORPION: A Data-Driven Framework for Supplier Performance Optimization and Risk Mitigation</w:t>
      </w:r>
    </w:p>
    <w:p w14:paraId="7121DD6C"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This report presents the findings and strategic recommendations from Project SCORPION, a comprehensive data mining initiative designed to enhance Conagra Brands' supply chain resilience and drive value. Leveraging the Cross-Industry Standard Process for Data Mining (CRISP-DM), this analysis moves beyond traditional evaluation to deliver a new, data-driven supplier management framework.</w:t>
      </w:r>
    </w:p>
    <w:p w14:paraId="3B385BF7"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 xml:space="preserve">The analysis employed three core machine learning algorithms to achieve its objectives. First, we used the K-Means clustering algorithm for unsupervised segmentation, allowing natural, performance-based supplier groups to emerge from the data. Using these data-driven segments, we then trained and validated a Random Forest classification model to predict a supplier's segment and, critically, to identify the key performance drivers that define each group. A Decision Tree model was also developed to provide transparent, rule-based logic for stakeholder understanding. This multi-algorithm approach was necessitated by strategic imperatives and </w:t>
      </w:r>
      <w:r w:rsidRPr="002B39A3">
        <w:rPr>
          <w:rFonts w:ascii="Times New Roman" w:eastAsia="Times New Roman" w:hAnsi="Times New Roman" w:cs="Times New Roman"/>
          <w:kern w:val="0"/>
          <w:sz w:val="24"/>
          <w:szCs w:val="24"/>
          <w14:ligatures w14:val="none"/>
        </w:rPr>
        <w:lastRenderedPageBreak/>
        <w:t>documented operational challenges, including supply constraints in core product categories like frozen meals and vegetables. The resulting model provides a more sophisticated, objective, and predictive understanding of the supplier base, enabling targeted strategies that optimize performance, mitigate risk, and support the "Fuel for Growth" program.</w:t>
      </w:r>
    </w:p>
    <w:p w14:paraId="7C2CE393"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Core Findings and New Segmentation Model:</w:t>
      </w:r>
    </w:p>
    <w:p w14:paraId="61237E3A"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Our analysis identified four statistically distinct supplier segments, replacing traditional, spend-based tiers with actionable, performance-based personas. The Random Forest classifier, which predicts supplier membership into these tiers, revealed the key differentiators for each group. The four classification tiers are:</w:t>
      </w:r>
    </w:p>
    <w:p w14:paraId="29AE72C7" w14:textId="77777777" w:rsidR="002B39A3" w:rsidRPr="002B39A3" w:rsidRDefault="002B39A3" w:rsidP="002B39A3">
      <w:pPr>
        <w:numPr>
          <w:ilvl w:val="0"/>
          <w:numId w:val="1"/>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Strategic Partners (15% of Suppliers)</w:t>
      </w:r>
      <w:r w:rsidRPr="002B39A3">
        <w:rPr>
          <w:rFonts w:ascii="Times New Roman" w:eastAsia="Times New Roman" w:hAnsi="Times New Roman" w:cs="Times New Roman"/>
          <w:kern w:val="0"/>
          <w:sz w:val="24"/>
          <w:szCs w:val="24"/>
          <w14:ligatures w14:val="none"/>
        </w:rPr>
        <w:t>: Elite performers characterized by high reliability, exceptional quality, strong ESG scores, and significant innovation contributions. They represent the lowest risk and highest overall value.</w:t>
      </w:r>
    </w:p>
    <w:p w14:paraId="247611DD" w14:textId="77777777" w:rsidR="002B39A3" w:rsidRPr="002B39A3" w:rsidRDefault="002B39A3" w:rsidP="002B39A3">
      <w:pPr>
        <w:numPr>
          <w:ilvl w:val="0"/>
          <w:numId w:val="1"/>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Operational Workhorses (45% of Suppliers)</w:t>
      </w:r>
      <w:r w:rsidRPr="002B39A3">
        <w:rPr>
          <w:rFonts w:ascii="Times New Roman" w:eastAsia="Times New Roman" w:hAnsi="Times New Roman" w:cs="Times New Roman"/>
          <w:kern w:val="0"/>
          <w:sz w:val="24"/>
          <w:szCs w:val="24"/>
          <w14:ligatures w14:val="none"/>
        </w:rPr>
        <w:t>: Consistent and reliable suppliers forming the backbone of operations. They exhibit strong delivery and quality metrics but have moderate costs and lower levels of innovation.</w:t>
      </w:r>
    </w:p>
    <w:p w14:paraId="60980F65" w14:textId="77777777" w:rsidR="002B39A3" w:rsidRPr="002B39A3" w:rsidRDefault="002B39A3" w:rsidP="002B39A3">
      <w:pPr>
        <w:numPr>
          <w:ilvl w:val="0"/>
          <w:numId w:val="1"/>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High-Cost Specialists (25% of Suppliers)</w:t>
      </w:r>
      <w:r w:rsidRPr="002B39A3">
        <w:rPr>
          <w:rFonts w:ascii="Times New Roman" w:eastAsia="Times New Roman" w:hAnsi="Times New Roman" w:cs="Times New Roman"/>
          <w:kern w:val="0"/>
          <w:sz w:val="24"/>
          <w:szCs w:val="24"/>
          <w14:ligatures w14:val="none"/>
        </w:rPr>
        <w:t>: These suppliers may provide unique capabilities but are characterized by high unit costs and elevated logistics expenses (high "Cost-to-Serve"). Their performance in other areas is often average.</w:t>
      </w:r>
    </w:p>
    <w:p w14:paraId="449373CD" w14:textId="77777777" w:rsidR="002B39A3" w:rsidRPr="002B39A3" w:rsidRDefault="002B39A3" w:rsidP="002B39A3">
      <w:pPr>
        <w:numPr>
          <w:ilvl w:val="0"/>
          <w:numId w:val="1"/>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High-Risk Liabilities (15% of Suppliers)</w:t>
      </w:r>
      <w:r w:rsidRPr="002B39A3">
        <w:rPr>
          <w:rFonts w:ascii="Times New Roman" w:eastAsia="Times New Roman" w:hAnsi="Times New Roman" w:cs="Times New Roman"/>
          <w:kern w:val="0"/>
          <w:sz w:val="24"/>
          <w:szCs w:val="24"/>
          <w14:ligatures w14:val="none"/>
        </w:rPr>
        <w:t>: The most concerning segment, defined by poor delivery performance, high defect rates, low ESG scores, and high overall risk. This group contains several single-source suppliers for critical materials, posing a significant threat to supply chain continuity.</w:t>
      </w:r>
    </w:p>
    <w:p w14:paraId="67CE5EB4"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Prioritized Strategic Recommendations:</w:t>
      </w:r>
    </w:p>
    <w:p w14:paraId="73141A6C" w14:textId="77777777" w:rsidR="002B39A3" w:rsidRPr="002B39A3" w:rsidRDefault="002B39A3" w:rsidP="002B39A3">
      <w:pPr>
        <w:numPr>
          <w:ilvl w:val="0"/>
          <w:numId w:val="2"/>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De-Risk the "High-Risk Liabilities" Segment (Immediate Priority)</w:t>
      </w:r>
      <w:r w:rsidRPr="002B39A3">
        <w:rPr>
          <w:rFonts w:ascii="Times New Roman" w:eastAsia="Times New Roman" w:hAnsi="Times New Roman" w:cs="Times New Roman"/>
          <w:kern w:val="0"/>
          <w:sz w:val="24"/>
          <w:szCs w:val="24"/>
          <w14:ligatures w14:val="none"/>
        </w:rPr>
        <w:t>: Initiate an executive-level task force to address the critical single-source suppliers identified within this segment. Mandate the development of dual-sourcing strategies and implement rigorous, time-bound Performance Improvement Plans (PIPs) for all suppliers in this group.</w:t>
      </w:r>
    </w:p>
    <w:p w14:paraId="654684D0" w14:textId="77777777" w:rsidR="002B39A3" w:rsidRPr="002B39A3" w:rsidRDefault="002B39A3" w:rsidP="002B39A3">
      <w:pPr>
        <w:numPr>
          <w:ilvl w:val="0"/>
          <w:numId w:val="2"/>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Optimize the "High-Cost Specialists" to Fuel Growth</w:t>
      </w:r>
      <w:r w:rsidRPr="002B39A3">
        <w:rPr>
          <w:rFonts w:ascii="Times New Roman" w:eastAsia="Times New Roman" w:hAnsi="Times New Roman" w:cs="Times New Roman"/>
          <w:kern w:val="0"/>
          <w:sz w:val="24"/>
          <w:szCs w:val="24"/>
          <w14:ligatures w14:val="none"/>
        </w:rPr>
        <w:t xml:space="preserve">: Launch targeted total-cost-of-ownership negotiations with this segment. Focus on value engineering and logistics optimization to reduce the high </w:t>
      </w:r>
      <w:proofErr w:type="spellStart"/>
      <w:r w:rsidRPr="002B39A3">
        <w:rPr>
          <w:rFonts w:ascii="Times New Roman" w:eastAsia="Times New Roman" w:hAnsi="Times New Roman" w:cs="Times New Roman"/>
          <w:kern w:val="0"/>
          <w:sz w:val="24"/>
          <w:szCs w:val="24"/>
          <w14:ligatures w14:val="none"/>
        </w:rPr>
        <w:t>Cost_to_Serve_Ratio</w:t>
      </w:r>
      <w:proofErr w:type="spellEnd"/>
      <w:r w:rsidRPr="002B39A3">
        <w:rPr>
          <w:rFonts w:ascii="Times New Roman" w:eastAsia="Times New Roman" w:hAnsi="Times New Roman" w:cs="Times New Roman"/>
          <w:kern w:val="0"/>
          <w:sz w:val="24"/>
          <w:szCs w:val="24"/>
          <w14:ligatures w14:val="none"/>
        </w:rPr>
        <w:t xml:space="preserve"> and </w:t>
      </w:r>
      <w:proofErr w:type="spellStart"/>
      <w:proofErr w:type="gramStart"/>
      <w:r w:rsidRPr="002B39A3">
        <w:rPr>
          <w:rFonts w:ascii="Times New Roman" w:eastAsia="Times New Roman" w:hAnsi="Times New Roman" w:cs="Times New Roman"/>
          <w:kern w:val="0"/>
          <w:sz w:val="24"/>
          <w:szCs w:val="24"/>
          <w14:ligatures w14:val="none"/>
        </w:rPr>
        <w:t>CostVariancePct</w:t>
      </w:r>
      <w:proofErr w:type="spellEnd"/>
      <w:r w:rsidRPr="002B39A3">
        <w:rPr>
          <w:rFonts w:ascii="Times New Roman" w:eastAsia="Times New Roman" w:hAnsi="Times New Roman" w:cs="Times New Roman"/>
          <w:kern w:val="0"/>
          <w:sz w:val="24"/>
          <w:szCs w:val="24"/>
          <w14:ligatures w14:val="none"/>
        </w:rPr>
        <w:t>(</w:t>
      </w:r>
      <w:proofErr w:type="gramEnd"/>
      <w:r w:rsidRPr="002B39A3">
        <w:rPr>
          <w:rFonts w:ascii="Times New Roman" w:eastAsia="Times New Roman" w:hAnsi="Times New Roman" w:cs="Times New Roman"/>
          <w:kern w:val="0"/>
          <w:sz w:val="24"/>
          <w:szCs w:val="24"/>
          <w14:ligatures w14:val="none"/>
        </w:rPr>
        <w:t>%). Savings from this group will be a primary contributor to the "Fuel for Growth" initiative.</w:t>
      </w:r>
    </w:p>
    <w:p w14:paraId="5D6208D6" w14:textId="77777777" w:rsidR="002B39A3" w:rsidRPr="002B39A3" w:rsidRDefault="002B39A3" w:rsidP="002B39A3">
      <w:pPr>
        <w:numPr>
          <w:ilvl w:val="0"/>
          <w:numId w:val="2"/>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Cultivate and Leverage "Strategic Partners"</w:t>
      </w:r>
      <w:r w:rsidRPr="002B39A3">
        <w:rPr>
          <w:rFonts w:ascii="Times New Roman" w:eastAsia="Times New Roman" w:hAnsi="Times New Roman" w:cs="Times New Roman"/>
          <w:kern w:val="0"/>
          <w:sz w:val="24"/>
          <w:szCs w:val="24"/>
          <w14:ligatures w14:val="none"/>
        </w:rPr>
        <w:t>: Deepen integration with this elite group. Co-invest in innovation, establish joint business planning cycles, and prioritize them for new product development. These partners are critical for long-term competitive advantage.</w:t>
      </w:r>
    </w:p>
    <w:p w14:paraId="14F9DB74" w14:textId="77777777" w:rsidR="002B39A3" w:rsidRPr="002B39A3" w:rsidRDefault="002B39A3" w:rsidP="002B39A3">
      <w:pPr>
        <w:numPr>
          <w:ilvl w:val="0"/>
          <w:numId w:val="2"/>
        </w:numPr>
        <w:spacing w:after="100" w:afterAutospacing="1" w:line="480" w:lineRule="auto"/>
        <w:rPr>
          <w:rFonts w:ascii="Times New Roman" w:eastAsia="Times New Roman" w:hAnsi="Times New Roman" w:cs="Times New Roman"/>
          <w:kern w:val="0"/>
          <w:sz w:val="24"/>
          <w:szCs w:val="24"/>
          <w14:ligatures w14:val="none"/>
        </w:rPr>
      </w:pPr>
      <w:proofErr w:type="gramStart"/>
      <w:r w:rsidRPr="002B39A3">
        <w:rPr>
          <w:rFonts w:ascii="Times New Roman" w:eastAsia="Times New Roman" w:hAnsi="Times New Roman" w:cs="Times New Roman"/>
          <w:b/>
          <w:bCs/>
          <w:kern w:val="0"/>
          <w:sz w:val="24"/>
          <w:szCs w:val="24"/>
          <w14:ligatures w14:val="none"/>
        </w:rPr>
        <w:t>Deploy</w:t>
      </w:r>
      <w:proofErr w:type="gramEnd"/>
      <w:r w:rsidRPr="002B39A3">
        <w:rPr>
          <w:rFonts w:ascii="Times New Roman" w:eastAsia="Times New Roman" w:hAnsi="Times New Roman" w:cs="Times New Roman"/>
          <w:b/>
          <w:bCs/>
          <w:kern w:val="0"/>
          <w:sz w:val="24"/>
          <w:szCs w:val="24"/>
          <w14:ligatures w14:val="none"/>
        </w:rPr>
        <w:t xml:space="preserve"> an Interactive Supplier Performance Dashboard</w:t>
      </w:r>
      <w:r w:rsidRPr="002B39A3">
        <w:rPr>
          <w:rFonts w:ascii="Times New Roman" w:eastAsia="Times New Roman" w:hAnsi="Times New Roman" w:cs="Times New Roman"/>
          <w:kern w:val="0"/>
          <w:sz w:val="24"/>
          <w:szCs w:val="24"/>
          <w14:ligatures w14:val="none"/>
        </w:rPr>
        <w:t>: Operationalize the findings by deploying a dynamic dashboard. This tool will embed the new segmentation framework and predictive insights into the daily workflow of procurement managers, enabling proactive, data-driven decision-making.</w:t>
      </w:r>
    </w:p>
    <w:p w14:paraId="50649F39"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Implementing these recommendations will directly enhance supply chain resilience, drive significant cost savings, and fortify Conagra's ability to navigate a complex market.</w:t>
      </w:r>
    </w:p>
    <w:p w14:paraId="3F3D1C62" w14:textId="77777777" w:rsidR="002B39A3" w:rsidRPr="002B39A3" w:rsidRDefault="002B39A3" w:rsidP="002B39A3">
      <w:pPr>
        <w:spacing w:after="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pict w14:anchorId="0FA18DDB">
          <v:rect id="_x0000_i1025" style="width:0;height:1.5pt" o:hralign="center" o:hrstd="t" o:hr="t" fillcolor="#a0a0a0" stroked="f"/>
        </w:pict>
      </w:r>
    </w:p>
    <w:p w14:paraId="2676AACD" w14:textId="77777777" w:rsidR="002B39A3" w:rsidRPr="002B39A3" w:rsidRDefault="002B39A3" w:rsidP="002B39A3">
      <w:pPr>
        <w:spacing w:after="100" w:afterAutospacing="1" w:line="480" w:lineRule="auto"/>
        <w:outlineLvl w:val="2"/>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Phase 1: Business Understanding - Aligning Analytics with Conagra's Strategic Imperatives</w:t>
      </w:r>
    </w:p>
    <w:p w14:paraId="31835417"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initial phase of the Cross-Industry Standard Process for Data Mining (CRISP-DM) is dedicated to establishing a profound understanding of the business context. For Conagra Brands, this project is a strategic imperative, directly addressing current vulnerabilities and enabling future growth.</w:t>
      </w:r>
    </w:p>
    <w:p w14:paraId="163DB320"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1.1. Defining the Business Mandate</w:t>
      </w:r>
    </w:p>
    <w:p w14:paraId="580D9203"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Conagra Brands, a pillar of the American food industry, operates in a highly competitive and volatile environment. As a mature company with approximately $12.1 billion in annual revenue, it faces pressure on profit margins and evolving consumer demands. Recent operational performance highlights the urgency, with updated fiscal 2025 guidance pointing to supply constraints in key growth platforms like frozen meals and vegetables. This project is mandated by the need to move from a reactive to a proactive stance on supplier management. The primary business objectives are:</w:t>
      </w:r>
    </w:p>
    <w:p w14:paraId="1BA7708F" w14:textId="77777777" w:rsidR="002B39A3" w:rsidRPr="002B39A3" w:rsidRDefault="002B39A3" w:rsidP="002B39A3">
      <w:pPr>
        <w:numPr>
          <w:ilvl w:val="0"/>
          <w:numId w:val="3"/>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Enhance Supply Chain Resilience</w:t>
      </w:r>
      <w:r w:rsidRPr="002B39A3">
        <w:rPr>
          <w:rFonts w:ascii="Times New Roman" w:eastAsia="Times New Roman" w:hAnsi="Times New Roman" w:cs="Times New Roman"/>
          <w:kern w:val="0"/>
          <w:sz w:val="24"/>
          <w:szCs w:val="24"/>
          <w14:ligatures w14:val="none"/>
        </w:rPr>
        <w:t>: Systematically identify, quantify, and mitigate supplier-related risks across all dimensions to build a more robust supply chain.</w:t>
      </w:r>
    </w:p>
    <w:p w14:paraId="0195CDE8" w14:textId="77777777" w:rsidR="002B39A3" w:rsidRPr="002B39A3" w:rsidRDefault="002B39A3" w:rsidP="002B39A3">
      <w:pPr>
        <w:numPr>
          <w:ilvl w:val="0"/>
          <w:numId w:val="3"/>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Drive "Fuel for Growth" Initiative</w:t>
      </w:r>
      <w:r w:rsidRPr="002B39A3">
        <w:rPr>
          <w:rFonts w:ascii="Times New Roman" w:eastAsia="Times New Roman" w:hAnsi="Times New Roman" w:cs="Times New Roman"/>
          <w:kern w:val="0"/>
          <w:sz w:val="24"/>
          <w:szCs w:val="24"/>
          <w14:ligatures w14:val="none"/>
        </w:rPr>
        <w:t>: Support Conagra's $1 billion cost-saving program by analyzing the supplier base to identify concrete opportunities for cost optimization, extending beyond unit price to total cost of ownership.</w:t>
      </w:r>
    </w:p>
    <w:p w14:paraId="6B08FA58" w14:textId="77777777" w:rsidR="002B39A3" w:rsidRPr="002B39A3" w:rsidRDefault="002B39A3" w:rsidP="002B39A3">
      <w:pPr>
        <w:numPr>
          <w:ilvl w:val="0"/>
          <w:numId w:val="3"/>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Strengthen Strategic Partnerships</w:t>
      </w:r>
      <w:r w:rsidRPr="002B39A3">
        <w:rPr>
          <w:rFonts w:ascii="Times New Roman" w:eastAsia="Times New Roman" w:hAnsi="Times New Roman" w:cs="Times New Roman"/>
          <w:kern w:val="0"/>
          <w:sz w:val="24"/>
          <w:szCs w:val="24"/>
          <w14:ligatures w14:val="none"/>
        </w:rPr>
        <w:t>: Identify a cohort of high-performing, innovative, and collaborative suppliers to cultivate as true long-term partners, which is essential for driving innovation and creating a sustainable competitive advantage.</w:t>
      </w:r>
    </w:p>
    <w:p w14:paraId="52790398" w14:textId="77777777" w:rsidR="002B39A3" w:rsidRPr="002B39A3" w:rsidRDefault="002B39A3" w:rsidP="002B39A3">
      <w:pPr>
        <w:numPr>
          <w:ilvl w:val="0"/>
          <w:numId w:val="3"/>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Align Procurement with Corporate Values</w:t>
      </w:r>
      <w:r w:rsidRPr="002B39A3">
        <w:rPr>
          <w:rFonts w:ascii="Times New Roman" w:eastAsia="Times New Roman" w:hAnsi="Times New Roman" w:cs="Times New Roman"/>
          <w:kern w:val="0"/>
          <w:sz w:val="24"/>
          <w:szCs w:val="24"/>
          <w14:ligatures w14:val="none"/>
        </w:rPr>
        <w:t>: Ensure procurement decisions align with public commitments to responsible sourcing, environmental stewardship, and supplier diversity by integrating ESG performance into a holistic view of supplier value.</w:t>
      </w:r>
    </w:p>
    <w:p w14:paraId="078BCCBE"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1.2. The Conagra Supply Chain Ecosystem</w:t>
      </w:r>
    </w:p>
    <w:p w14:paraId="193A456E"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Conagra's supply chain is a complex network serving a vast market, operating 42 production facilities fed by its supplier network. The company's public-facing citizenship reports and corporate policies emphasize a strong commitment to responsible sourcing, including animal welfare, mitigating deforestation, and advancing regenerative agriculture. The Conagra Supplier Excellence Programme explicitly incorporates these citizenship metrics into its annual supplier assessments. The analytical framework must capture a multi-dimensional definition of "value," allowing leadership to evaluate suppliers on their contribution to resilience, innovation, and sustainability, not just unit cost.</w:t>
      </w:r>
    </w:p>
    <w:p w14:paraId="6B864D79"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1.3. Data Mining Goals</w:t>
      </w:r>
    </w:p>
    <w:p w14:paraId="1A5703DC"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To address the business mandate, this project sets forth three specific data mining goals:</w:t>
      </w:r>
    </w:p>
    <w:p w14:paraId="173BCDCA" w14:textId="77777777" w:rsidR="002B39A3" w:rsidRPr="002B39A3" w:rsidRDefault="002B39A3" w:rsidP="002B39A3">
      <w:pPr>
        <w:numPr>
          <w:ilvl w:val="0"/>
          <w:numId w:val="4"/>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Characterization</w:t>
      </w:r>
      <w:r w:rsidRPr="002B39A3">
        <w:rPr>
          <w:rFonts w:ascii="Times New Roman" w:eastAsia="Times New Roman" w:hAnsi="Times New Roman" w:cs="Times New Roman"/>
          <w:kern w:val="0"/>
          <w:sz w:val="24"/>
          <w:szCs w:val="24"/>
          <w14:ligatures w14:val="none"/>
        </w:rPr>
        <w:t>: Use descriptive analytics to create a comprehensive, multi-faceted profile of Conagra's current supplier base.</w:t>
      </w:r>
    </w:p>
    <w:p w14:paraId="6C528111" w14:textId="77777777" w:rsidR="002B39A3" w:rsidRPr="002B39A3" w:rsidRDefault="002B39A3" w:rsidP="002B39A3">
      <w:pPr>
        <w:numPr>
          <w:ilvl w:val="0"/>
          <w:numId w:val="4"/>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Segmentation and Classification</w:t>
      </w:r>
      <w:r w:rsidRPr="002B39A3">
        <w:rPr>
          <w:rFonts w:ascii="Times New Roman" w:eastAsia="Times New Roman" w:hAnsi="Times New Roman" w:cs="Times New Roman"/>
          <w:kern w:val="0"/>
          <w:sz w:val="24"/>
          <w:szCs w:val="24"/>
          <w14:ligatures w14:val="none"/>
        </w:rPr>
        <w:t xml:space="preserve">: Develop a new supplier segmentation model using K-Means clustering to discover natural, data-driven supplier groups. Then, build a </w:t>
      </w:r>
      <w:r w:rsidRPr="002B39A3">
        <w:rPr>
          <w:rFonts w:ascii="Times New Roman" w:eastAsia="Times New Roman" w:hAnsi="Times New Roman" w:cs="Times New Roman"/>
          <w:kern w:val="0"/>
          <w:sz w:val="24"/>
          <w:szCs w:val="24"/>
          <w14:ligatures w14:val="none"/>
        </w:rPr>
        <w:lastRenderedPageBreak/>
        <w:t>predictive classification model using Random Forest and Decision Tree algorithms to classify suppliers and reveal the key performance drivers that define each segment.</w:t>
      </w:r>
    </w:p>
    <w:p w14:paraId="342E5C57" w14:textId="77777777" w:rsidR="002B39A3" w:rsidRPr="002B39A3" w:rsidRDefault="002B39A3" w:rsidP="002B39A3">
      <w:pPr>
        <w:numPr>
          <w:ilvl w:val="0"/>
          <w:numId w:val="4"/>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Strategic Action Framework</w:t>
      </w:r>
      <w:r w:rsidRPr="002B39A3">
        <w:rPr>
          <w:rFonts w:ascii="Times New Roman" w:eastAsia="Times New Roman" w:hAnsi="Times New Roman" w:cs="Times New Roman"/>
          <w:kern w:val="0"/>
          <w:sz w:val="24"/>
          <w:szCs w:val="24"/>
          <w14:ligatures w14:val="none"/>
        </w:rPr>
        <w:t>: Translate the new, data-driven segments into a practical and actionable management framework, with corresponding strategic actions for each segment.</w:t>
      </w:r>
    </w:p>
    <w:p w14:paraId="7199567C"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1.4. Project Blueprint and Success Criteria</w:t>
      </w:r>
    </w:p>
    <w:p w14:paraId="2297CDEE"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Success will be measured against both technical and business criteria.</w:t>
      </w:r>
    </w:p>
    <w:p w14:paraId="34C3F91B" w14:textId="0CCDB3B5" w:rsidR="002B39A3" w:rsidRPr="002B39A3" w:rsidRDefault="002B39A3" w:rsidP="002B39A3">
      <w:pPr>
        <w:numPr>
          <w:ilvl w:val="0"/>
          <w:numId w:val="5"/>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Technical Success Criteria</w:t>
      </w:r>
      <w:r w:rsidRPr="002B39A3">
        <w:rPr>
          <w:rFonts w:ascii="Times New Roman" w:eastAsia="Times New Roman" w:hAnsi="Times New Roman" w:cs="Times New Roman"/>
          <w:kern w:val="0"/>
          <w:sz w:val="24"/>
          <w:szCs w:val="24"/>
          <w14:ligatures w14:val="none"/>
        </w:rPr>
        <w:t xml:space="preserve">: </w:t>
      </w:r>
      <w:r w:rsidR="00B15287" w:rsidRPr="002B39A3">
        <w:rPr>
          <w:rFonts w:ascii="Times New Roman" w:eastAsia="Times New Roman" w:hAnsi="Times New Roman" w:cs="Times New Roman"/>
          <w:kern w:val="0"/>
          <w:sz w:val="24"/>
          <w:szCs w:val="24"/>
          <w14:ligatures w14:val="none"/>
        </w:rPr>
        <w:t>Development of a statistically valid and stable supplier segmentation model</w:t>
      </w:r>
      <w:r w:rsidRPr="002B39A3">
        <w:rPr>
          <w:rFonts w:ascii="Times New Roman" w:eastAsia="Times New Roman" w:hAnsi="Times New Roman" w:cs="Times New Roman"/>
          <w:kern w:val="0"/>
          <w:sz w:val="24"/>
          <w:szCs w:val="24"/>
          <w14:ligatures w14:val="none"/>
        </w:rPr>
        <w:t xml:space="preserve"> assessed quantitatively using the Silhouette Score. A high score indicates that the clusters are dense and well-separated, confirming meaningful groupings.</w:t>
      </w:r>
    </w:p>
    <w:p w14:paraId="5D384BE3" w14:textId="77777777" w:rsidR="002B39A3" w:rsidRPr="002B39A3" w:rsidRDefault="002B39A3" w:rsidP="002B39A3">
      <w:pPr>
        <w:numPr>
          <w:ilvl w:val="0"/>
          <w:numId w:val="5"/>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Business Success Criteria</w:t>
      </w:r>
      <w:r w:rsidRPr="002B39A3">
        <w:rPr>
          <w:rFonts w:ascii="Times New Roman" w:eastAsia="Times New Roman" w:hAnsi="Times New Roman" w:cs="Times New Roman"/>
          <w:kern w:val="0"/>
          <w:sz w:val="24"/>
          <w:szCs w:val="24"/>
          <w14:ligatures w14:val="none"/>
        </w:rPr>
        <w:t>: The project's ultimate measure of success is its business impact. Success is achieved if the new segmentation framework leads to the identification and endorsement of at least three concrete, high-impact strategic initiatives focused on risk mitigation, cost savings, and strategic partnership development.</w:t>
      </w:r>
    </w:p>
    <w:p w14:paraId="53C41D74" w14:textId="77777777" w:rsidR="002B39A3" w:rsidRPr="002B39A3" w:rsidRDefault="002B39A3" w:rsidP="002B39A3">
      <w:pPr>
        <w:spacing w:after="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pict w14:anchorId="43CBB977">
          <v:rect id="_x0000_i1026" style="width:0;height:1.5pt" o:hralign="center" o:hrstd="t" o:hr="t" fillcolor="#a0a0a0" stroked="f"/>
        </w:pict>
      </w:r>
    </w:p>
    <w:p w14:paraId="25AACAC0" w14:textId="77777777" w:rsidR="002B39A3" w:rsidRPr="002B39A3" w:rsidRDefault="002B39A3" w:rsidP="002B39A3">
      <w:pPr>
        <w:spacing w:after="100" w:afterAutospacing="1" w:line="480" w:lineRule="auto"/>
        <w:outlineLvl w:val="2"/>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Phase 2: Data Understanding - An Initial Reconnaissance of the Supplier Performance Dataset</w:t>
      </w:r>
    </w:p>
    <w:p w14:paraId="2430F8E6"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This phase involves data profiling, descriptive statistics, and exploratory visualization to form early hypotheses that guide subsequent work.</w:t>
      </w:r>
    </w:p>
    <w:p w14:paraId="05C95E88"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2.1. Data Asset Profile</w:t>
      </w:r>
    </w:p>
    <w:p w14:paraId="193C4C1E"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sole data asset is the file final_supplier_performance_dataset.csv, a comprehensive collection of performance data for Conagra's suppliers.</w:t>
      </w:r>
    </w:p>
    <w:p w14:paraId="3940E407" w14:textId="77777777" w:rsidR="002B39A3" w:rsidRPr="002B39A3" w:rsidRDefault="002B39A3" w:rsidP="002B39A3">
      <w:pPr>
        <w:numPr>
          <w:ilvl w:val="0"/>
          <w:numId w:val="6"/>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Scope and Structure</w:t>
      </w:r>
      <w:r w:rsidRPr="002B39A3">
        <w:rPr>
          <w:rFonts w:ascii="Times New Roman" w:eastAsia="Times New Roman" w:hAnsi="Times New Roman" w:cs="Times New Roman"/>
          <w:kern w:val="0"/>
          <w:sz w:val="24"/>
          <w:szCs w:val="24"/>
          <w14:ligatures w14:val="none"/>
        </w:rPr>
        <w:t>: The dataset contains records for 150 unique suppliers across various regions and product categories. It spans a two-year period (June 2023 to June 2025) and has 39 distinct attributes for each record.</w:t>
      </w:r>
    </w:p>
    <w:p w14:paraId="0978C52D" w14:textId="77777777" w:rsidR="002B39A3" w:rsidRPr="002B39A3" w:rsidRDefault="002B39A3" w:rsidP="002B39A3">
      <w:pPr>
        <w:numPr>
          <w:ilvl w:val="0"/>
          <w:numId w:val="6"/>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Data Dictionary</w:t>
      </w:r>
      <w:r w:rsidRPr="002B39A3">
        <w:rPr>
          <w:rFonts w:ascii="Times New Roman" w:eastAsia="Times New Roman" w:hAnsi="Times New Roman" w:cs="Times New Roman"/>
          <w:kern w:val="0"/>
          <w:sz w:val="24"/>
          <w:szCs w:val="24"/>
          <w14:ligatures w14:val="none"/>
        </w:rPr>
        <w:t>: A detailed dictionary clarifies the business meaning and data type for key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1197"/>
        <w:gridCol w:w="5442"/>
      </w:tblGrid>
      <w:tr w:rsidR="002B39A3" w:rsidRPr="002B39A3" w14:paraId="569DEB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3100A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Column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2CE13"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88CC9"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Business Definition</w:t>
            </w:r>
          </w:p>
        </w:tc>
      </w:tr>
      <w:tr w:rsidR="002B39A3" w:rsidRPr="002B39A3" w14:paraId="66F431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68862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SupplierID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EF424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DD1BF"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A unique alphanumeric identifier for each supplier company.</w:t>
            </w:r>
          </w:p>
        </w:tc>
      </w:tr>
      <w:tr w:rsidR="002B39A3" w:rsidRPr="002B39A3" w14:paraId="3E110B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294B2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ProductCategory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83480D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13F8D0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primary category of goods or services provided (e.g., 'Ingredients', 'Packaging').</w:t>
            </w:r>
          </w:p>
        </w:tc>
      </w:tr>
      <w:tr w:rsidR="002B39A3" w:rsidRPr="002B39A3" w14:paraId="6E828A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E48119"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977F3"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B4CE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geographical region where the supplier is based (e.g., 'North America', 'Asia Pacific').</w:t>
            </w:r>
          </w:p>
        </w:tc>
      </w:tr>
      <w:tr w:rsidR="002B39A3" w:rsidRPr="002B39A3" w14:paraId="1551FA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D5EB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lastRenderedPageBreak/>
              <w:t>OnTimeDeliveryRate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63F69"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B5ED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percentage of orders delivered on or before the promised date. A key measure of reliability.</w:t>
            </w:r>
          </w:p>
        </w:tc>
      </w:tr>
      <w:tr w:rsidR="002B39A3" w:rsidRPr="002B39A3" w14:paraId="7BC2CF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FE3AE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AvgLeadTime</w:t>
            </w:r>
            <w:proofErr w:type="spellEnd"/>
            <w:r w:rsidRPr="002B39A3">
              <w:rPr>
                <w:rFonts w:ascii="Times New Roman" w:eastAsia="Times New Roman" w:hAnsi="Times New Roman" w:cs="Times New Roman"/>
                <w:b/>
                <w:bCs/>
                <w:kern w:val="0"/>
                <w:sz w:val="24"/>
                <w:szCs w:val="24"/>
                <w14:ligatures w14:val="none"/>
              </w:rPr>
              <w:t>(days)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621C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9DCA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average number of days from purchase order placement to delivery receipt.</w:t>
            </w:r>
          </w:p>
        </w:tc>
      </w:tr>
      <w:tr w:rsidR="002B39A3" w:rsidRPr="002B39A3" w14:paraId="3CCF25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B0A2F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gramStart"/>
            <w:r w:rsidRPr="002B39A3">
              <w:rPr>
                <w:rFonts w:ascii="Times New Roman" w:eastAsia="Times New Roman" w:hAnsi="Times New Roman" w:cs="Times New Roman"/>
                <w:b/>
                <w:bCs/>
                <w:kern w:val="0"/>
                <w:sz w:val="24"/>
                <w:szCs w:val="24"/>
                <w14:ligatures w14:val="none"/>
              </w:rPr>
              <w:t>FillRate(</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81FEA"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D338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percentage of a customer's order that is filled in the first shipment.</w:t>
            </w:r>
          </w:p>
        </w:tc>
      </w:tr>
      <w:tr w:rsidR="002B39A3" w:rsidRPr="002B39A3" w14:paraId="20649F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E530F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DefectRate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3784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8FBE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 xml:space="preserve">The percentage of units </w:t>
            </w:r>
            <w:proofErr w:type="gramStart"/>
            <w:r w:rsidRPr="002B39A3">
              <w:rPr>
                <w:rFonts w:ascii="Times New Roman" w:eastAsia="Times New Roman" w:hAnsi="Times New Roman" w:cs="Times New Roman"/>
                <w:kern w:val="0"/>
                <w:sz w:val="24"/>
                <w:szCs w:val="24"/>
                <w14:ligatures w14:val="none"/>
              </w:rPr>
              <w:t>received that</w:t>
            </w:r>
            <w:proofErr w:type="gramEnd"/>
            <w:r w:rsidRPr="002B39A3">
              <w:rPr>
                <w:rFonts w:ascii="Times New Roman" w:eastAsia="Times New Roman" w:hAnsi="Times New Roman" w:cs="Times New Roman"/>
                <w:kern w:val="0"/>
                <w:sz w:val="24"/>
                <w:szCs w:val="24"/>
                <w14:ligatures w14:val="none"/>
              </w:rPr>
              <w:t xml:space="preserve"> do not meet quality specifications.</w:t>
            </w:r>
          </w:p>
        </w:tc>
      </w:tr>
      <w:tr w:rsidR="002B39A3" w:rsidRPr="002B39A3" w14:paraId="4CAAEA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52E9AD"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TotalSpend</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USD)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B7983"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0D168B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total monetary value of purchase orders with the supplier over a period.</w:t>
            </w:r>
          </w:p>
        </w:tc>
      </w:tr>
      <w:tr w:rsidR="002B39A3" w:rsidRPr="002B39A3" w14:paraId="7570E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046E8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gramStart"/>
            <w:r w:rsidRPr="002B39A3">
              <w:rPr>
                <w:rFonts w:ascii="Times New Roman" w:eastAsia="Times New Roman" w:hAnsi="Times New Roman" w:cs="Times New Roman"/>
                <w:b/>
                <w:bCs/>
                <w:kern w:val="0"/>
                <w:sz w:val="24"/>
                <w:szCs w:val="24"/>
                <w14:ligatures w14:val="none"/>
              </w:rPr>
              <w:t>UnitCost(</w:t>
            </w:r>
            <w:proofErr w:type="gramEnd"/>
            <w:r w:rsidRPr="002B39A3">
              <w:rPr>
                <w:rFonts w:ascii="Times New Roman" w:eastAsia="Times New Roman" w:hAnsi="Times New Roman" w:cs="Times New Roman"/>
                <w:b/>
                <w:bCs/>
                <w:kern w:val="0"/>
                <w:sz w:val="24"/>
                <w:szCs w:val="24"/>
                <w14:ligatures w14:val="none"/>
              </w:rPr>
              <w:t>USD)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018DD"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6B38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cost per individual unit of a supplied item.</w:t>
            </w:r>
          </w:p>
        </w:tc>
      </w:tr>
      <w:tr w:rsidR="002B39A3" w:rsidRPr="002B39A3" w14:paraId="537B19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6D131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CostVariancePct</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1C57F"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2942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percentage difference between the standard/budgeted cost and the actual cost paid.</w:t>
            </w:r>
          </w:p>
        </w:tc>
      </w:tr>
      <w:tr w:rsidR="002B39A3" w:rsidRPr="002B39A3" w14:paraId="6FB374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8627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lastRenderedPageBreak/>
              <w:t>ESGScore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6681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413A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An aggregated score representing the supplier's performance on Environmental, Social, and Governance criteria.</w:t>
            </w:r>
          </w:p>
        </w:tc>
      </w:tr>
      <w:tr w:rsidR="002B39A3" w:rsidRPr="002B39A3" w14:paraId="59F45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926CE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SPI_Score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687F4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8C5A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A composite Supplier Performance Index score, likely calculated from multiple performance metrics.</w:t>
            </w:r>
          </w:p>
        </w:tc>
      </w:tr>
      <w:tr w:rsidR="002B39A3" w:rsidRPr="002B39A3" w14:paraId="5B97C6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E3007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Total_Risk_Score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54ECA"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Numeric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BFC5D6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A composite score aggregating various risk factors (e.g., quality, delivery, geopolitical).</w:t>
            </w:r>
          </w:p>
        </w:tc>
      </w:tr>
      <w:tr w:rsidR="002B39A3" w:rsidRPr="002B39A3" w14:paraId="02E13A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7226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SingleSourceFlag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DF6D3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E69E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A flag (TRUE/FALSE) indicating if the supplier is the sole provider for a given item or category.</w:t>
            </w:r>
          </w:p>
        </w:tc>
      </w:tr>
      <w:tr w:rsidR="002B39A3" w:rsidRPr="002B39A3" w14:paraId="023BB9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91F99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Supplier_Tier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C1FFE6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Categorical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088C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existing classification of the supplier within Conagra's system (e.g., 'Tier 1 (High)').</w:t>
            </w:r>
          </w:p>
        </w:tc>
      </w:tr>
    </w:tbl>
    <w:p w14:paraId="485B299A"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2.2. Initial Statistical Survey</w:t>
      </w:r>
    </w:p>
    <w:p w14:paraId="6C57DB1A"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Descriptive statistics were calculated for the most critical variables to provide a snapshot of central tendencies and dispersion.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8"/>
        <w:gridCol w:w="1170"/>
        <w:gridCol w:w="1170"/>
        <w:gridCol w:w="1170"/>
        <w:gridCol w:w="1051"/>
        <w:gridCol w:w="1185"/>
      </w:tblGrid>
      <w:tr w:rsidR="002B39A3" w:rsidRPr="002B39A3" w14:paraId="0AFAD7C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7D635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lastRenderedPageBreak/>
              <w:t>Key Performance Indicator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8D3DA"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4247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Median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7DF7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Std.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4CA3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Minimum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DC49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Maximum</w:t>
            </w:r>
          </w:p>
        </w:tc>
      </w:tr>
      <w:tr w:rsidR="002B39A3" w:rsidRPr="002B39A3" w14:paraId="5AE6E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5A73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OnTimeDeliveryRate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DD23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95.17</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62F8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95.27</w:t>
            </w:r>
          </w:p>
        </w:tc>
        <w:tc>
          <w:tcPr>
            <w:tcW w:w="0" w:type="auto"/>
            <w:tcBorders>
              <w:top w:val="single" w:sz="6" w:space="0" w:color="auto"/>
              <w:left w:val="single" w:sz="6" w:space="0" w:color="auto"/>
              <w:bottom w:val="single" w:sz="6" w:space="0" w:color="auto"/>
              <w:right w:val="single" w:sz="6" w:space="0" w:color="auto"/>
            </w:tcBorders>
            <w:vAlign w:val="center"/>
            <w:hideMark/>
          </w:tcPr>
          <w:p w14:paraId="786ABDB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DD81F"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86.12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8FCC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103.49</w:t>
            </w:r>
          </w:p>
        </w:tc>
      </w:tr>
      <w:tr w:rsidR="002B39A3" w:rsidRPr="002B39A3" w14:paraId="19D68E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6A322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AvgLeadTime</w:t>
            </w:r>
            <w:proofErr w:type="spellEnd"/>
            <w:r w:rsidRPr="002B39A3">
              <w:rPr>
                <w:rFonts w:ascii="Times New Roman" w:eastAsia="Times New Roman" w:hAnsi="Times New Roman" w:cs="Times New Roman"/>
                <w:b/>
                <w:bCs/>
                <w:kern w:val="0"/>
                <w:sz w:val="24"/>
                <w:szCs w:val="24"/>
                <w14:ligatures w14:val="none"/>
              </w:rPr>
              <w:t>(days)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1EE4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15.45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E44BF"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04D7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7E43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A9E4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28.00</w:t>
            </w:r>
          </w:p>
        </w:tc>
      </w:tr>
      <w:tr w:rsidR="002B39A3" w:rsidRPr="002B39A3" w14:paraId="227F32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31A1E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gramStart"/>
            <w:r w:rsidRPr="002B39A3">
              <w:rPr>
                <w:rFonts w:ascii="Times New Roman" w:eastAsia="Times New Roman" w:hAnsi="Times New Roman" w:cs="Times New Roman"/>
                <w:b/>
                <w:bCs/>
                <w:kern w:val="0"/>
                <w:sz w:val="24"/>
                <w:szCs w:val="24"/>
                <w14:ligatures w14:val="none"/>
              </w:rPr>
              <w:t>FillRate(</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DA4D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9983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97.04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1FE4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3CFE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91.09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B343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104.19</w:t>
            </w:r>
          </w:p>
        </w:tc>
      </w:tr>
      <w:tr w:rsidR="002B39A3" w:rsidRPr="002B39A3" w14:paraId="54F5A4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CA7A2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DefectRate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D809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0.49</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BDB5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0.47</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A0C9D"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0.29</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2E0D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8710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1.27</w:t>
            </w:r>
          </w:p>
        </w:tc>
      </w:tr>
      <w:tr w:rsidR="002B39A3" w:rsidRPr="002B39A3" w14:paraId="56258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6B73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TotalSpend</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USD)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EC2E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249,634.30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79AD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248,612.90</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C072A"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144,383.10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BC72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10,189.82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4D8FF"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499,647.60</w:t>
            </w:r>
          </w:p>
        </w:tc>
      </w:tr>
      <w:tr w:rsidR="002B39A3" w:rsidRPr="002B39A3" w14:paraId="62C411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D1C6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ESGScore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88FF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80.05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7AEB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80.70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5FD2A"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11.55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E22E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60.09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EC2CD"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99.91</w:t>
            </w:r>
          </w:p>
        </w:tc>
      </w:tr>
      <w:tr w:rsidR="002B39A3" w:rsidRPr="002B39A3" w14:paraId="2FC2D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D1227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SPI_Score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3C0B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53.00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4062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52.89</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C639F"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6D51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32.58</w:t>
            </w:r>
          </w:p>
        </w:tc>
        <w:tc>
          <w:tcPr>
            <w:tcW w:w="0" w:type="auto"/>
            <w:tcBorders>
              <w:top w:val="single" w:sz="6" w:space="0" w:color="auto"/>
              <w:left w:val="single" w:sz="6" w:space="0" w:color="auto"/>
              <w:bottom w:val="single" w:sz="6" w:space="0" w:color="auto"/>
              <w:right w:val="single" w:sz="6" w:space="0" w:color="auto"/>
            </w:tcBorders>
            <w:vAlign w:val="center"/>
            <w:hideMark/>
          </w:tcPr>
          <w:p w14:paraId="05B94619"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71.21</w:t>
            </w:r>
          </w:p>
        </w:tc>
      </w:tr>
      <w:tr w:rsidR="002B39A3" w:rsidRPr="002B39A3" w14:paraId="0301B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0499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Total_Risk_Score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3969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17.51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436C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16.55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6650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1EBD9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2.66</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C5A5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36.53</w:t>
            </w:r>
          </w:p>
        </w:tc>
      </w:tr>
    </w:tbl>
    <w:p w14:paraId="73D887EC"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wide range in Total_Risk_Score confirms that risk is not uniform and that a risk-based segmentation will be highly relevant.</w:t>
      </w:r>
    </w:p>
    <w:p w14:paraId="54E361E5"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2.4. Data Quality Verification</w:t>
      </w:r>
    </w:p>
    <w:p w14:paraId="322F7405"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lastRenderedPageBreak/>
        <w:t xml:space="preserve">A thorough verification process was designed to identify and assess any issues within the dataset. The most significant issue identified was the presence of values exceeding 100% for percentage-based fields like </w:t>
      </w:r>
      <w:proofErr w:type="spellStart"/>
      <w:proofErr w:type="gramStart"/>
      <w:r w:rsidRPr="002B39A3">
        <w:rPr>
          <w:rFonts w:ascii="Times New Roman" w:eastAsia="Times New Roman" w:hAnsi="Times New Roman" w:cs="Times New Roman"/>
          <w:kern w:val="0"/>
          <w:sz w:val="24"/>
          <w:szCs w:val="24"/>
          <w14:ligatures w14:val="none"/>
        </w:rPr>
        <w:t>OnTimeDeliveryRate</w:t>
      </w:r>
      <w:proofErr w:type="spellEnd"/>
      <w:r w:rsidRPr="002B39A3">
        <w:rPr>
          <w:rFonts w:ascii="Times New Roman" w:eastAsia="Times New Roman" w:hAnsi="Times New Roman" w:cs="Times New Roman"/>
          <w:kern w:val="0"/>
          <w:sz w:val="24"/>
          <w:szCs w:val="24"/>
          <w14:ligatures w14:val="none"/>
        </w:rPr>
        <w:t>(</w:t>
      </w:r>
      <w:proofErr w:type="gramEnd"/>
      <w:r w:rsidRPr="002B39A3">
        <w:rPr>
          <w:rFonts w:ascii="Times New Roman" w:eastAsia="Times New Roman" w:hAnsi="Times New Roman" w:cs="Times New Roman"/>
          <w:kern w:val="0"/>
          <w:sz w:val="24"/>
          <w:szCs w:val="24"/>
          <w14:ligatures w14:val="none"/>
        </w:rPr>
        <w:t xml:space="preserve">%) and </w:t>
      </w:r>
      <w:proofErr w:type="gramStart"/>
      <w:r w:rsidRPr="002B39A3">
        <w:rPr>
          <w:rFonts w:ascii="Times New Roman" w:eastAsia="Times New Roman" w:hAnsi="Times New Roman" w:cs="Times New Roman"/>
          <w:kern w:val="0"/>
          <w:sz w:val="24"/>
          <w:szCs w:val="24"/>
          <w14:ligatures w14:val="none"/>
        </w:rPr>
        <w:t>FillRate(</w:t>
      </w:r>
      <w:proofErr w:type="gramEnd"/>
      <w:r w:rsidRPr="002B39A3">
        <w:rPr>
          <w:rFonts w:ascii="Times New Roman" w:eastAsia="Times New Roman" w:hAnsi="Times New Roman" w:cs="Times New Roman"/>
          <w:kern w:val="0"/>
          <w:sz w:val="24"/>
          <w:szCs w:val="24"/>
          <w14:ligatures w14:val="none"/>
        </w:rPr>
        <w:t>%). Resolving this ambiguity is essential, as the model could misinterpret these values, leading to flawed conclusions. This requires direct consultation with Conagra's supply chain experts to define the correct data transformation rule before modeling.</w:t>
      </w:r>
    </w:p>
    <w:p w14:paraId="6182B7E2" w14:textId="77777777" w:rsidR="002B39A3" w:rsidRPr="002B39A3" w:rsidRDefault="002B39A3" w:rsidP="002B39A3">
      <w:pPr>
        <w:spacing w:after="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pict w14:anchorId="7996D8D4">
          <v:rect id="_x0000_i1027" style="width:0;height:1.5pt" o:hralign="center" o:hrstd="t" o:hr="t" fillcolor="#a0a0a0" stroked="f"/>
        </w:pict>
      </w:r>
    </w:p>
    <w:p w14:paraId="6ED551A9" w14:textId="77777777" w:rsidR="002B39A3" w:rsidRPr="002B39A3" w:rsidRDefault="002B39A3" w:rsidP="002B39A3">
      <w:pPr>
        <w:spacing w:after="100" w:afterAutospacing="1" w:line="480" w:lineRule="auto"/>
        <w:outlineLvl w:val="2"/>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Phase 3: Data Preparation - Forging the Analytical Foundation</w:t>
      </w:r>
    </w:p>
    <w:p w14:paraId="156A1045"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3.1. Data Cleansing and Transformation</w:t>
      </w:r>
    </w:p>
    <w:p w14:paraId="20FEF572"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This step addresses the quality issues identified during Data Understanding to ensure the dataset is complete and consistent.</w:t>
      </w:r>
    </w:p>
    <w:p w14:paraId="701AC9BD" w14:textId="77777777" w:rsidR="002B39A3" w:rsidRPr="002B39A3" w:rsidRDefault="002B39A3" w:rsidP="002B39A3">
      <w:pPr>
        <w:numPr>
          <w:ilvl w:val="0"/>
          <w:numId w:val="7"/>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Handling Missing Values</w:t>
      </w:r>
      <w:r w:rsidRPr="002B39A3">
        <w:rPr>
          <w:rFonts w:ascii="Times New Roman" w:eastAsia="Times New Roman" w:hAnsi="Times New Roman" w:cs="Times New Roman"/>
          <w:kern w:val="0"/>
          <w:sz w:val="24"/>
          <w:szCs w:val="24"/>
          <w14:ligatures w14:val="none"/>
        </w:rPr>
        <w:t xml:space="preserve">: For categorical fields, nulls were replaced with a distinct category like 'No Recorded Contribution'. For numeric fields, missing values were imputed using the median of the supplier's specific Region or </w:t>
      </w:r>
      <w:proofErr w:type="spellStart"/>
      <w:r w:rsidRPr="002B39A3">
        <w:rPr>
          <w:rFonts w:ascii="Times New Roman" w:eastAsia="Times New Roman" w:hAnsi="Times New Roman" w:cs="Times New Roman"/>
          <w:kern w:val="0"/>
          <w:sz w:val="24"/>
          <w:szCs w:val="24"/>
          <w14:ligatures w14:val="none"/>
        </w:rPr>
        <w:t>ProductCategory</w:t>
      </w:r>
      <w:proofErr w:type="spellEnd"/>
      <w:r w:rsidRPr="002B39A3">
        <w:rPr>
          <w:rFonts w:ascii="Times New Roman" w:eastAsia="Times New Roman" w:hAnsi="Times New Roman" w:cs="Times New Roman"/>
          <w:kern w:val="0"/>
          <w:sz w:val="24"/>
          <w:szCs w:val="24"/>
          <w14:ligatures w14:val="none"/>
        </w:rPr>
        <w:t xml:space="preserve"> to preserve the underlying data structure.</w:t>
      </w:r>
    </w:p>
    <w:p w14:paraId="4EBA41C2" w14:textId="77777777" w:rsidR="002B39A3" w:rsidRPr="002B39A3" w:rsidRDefault="002B39A3" w:rsidP="002B39A3">
      <w:pPr>
        <w:numPr>
          <w:ilvl w:val="0"/>
          <w:numId w:val="7"/>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Correcting Inconsistencies</w:t>
      </w:r>
      <w:r w:rsidRPr="002B39A3">
        <w:rPr>
          <w:rFonts w:ascii="Times New Roman" w:eastAsia="Times New Roman" w:hAnsi="Times New Roman" w:cs="Times New Roman"/>
          <w:kern w:val="0"/>
          <w:sz w:val="24"/>
          <w:szCs w:val="24"/>
          <w14:ligatures w14:val="none"/>
        </w:rPr>
        <w:t xml:space="preserve">: The logical inconsistencies of percentage values exceeding 100 were addressed based on business rules. For </w:t>
      </w:r>
      <w:proofErr w:type="spellStart"/>
      <w:proofErr w:type="gramStart"/>
      <w:r w:rsidRPr="002B39A3">
        <w:rPr>
          <w:rFonts w:ascii="Times New Roman" w:eastAsia="Times New Roman" w:hAnsi="Times New Roman" w:cs="Times New Roman"/>
          <w:kern w:val="0"/>
          <w:sz w:val="24"/>
          <w:szCs w:val="24"/>
          <w14:ligatures w14:val="none"/>
        </w:rPr>
        <w:t>OnTimeDeliveryRate</w:t>
      </w:r>
      <w:proofErr w:type="spellEnd"/>
      <w:r w:rsidRPr="002B39A3">
        <w:rPr>
          <w:rFonts w:ascii="Times New Roman" w:eastAsia="Times New Roman" w:hAnsi="Times New Roman" w:cs="Times New Roman"/>
          <w:kern w:val="0"/>
          <w:sz w:val="24"/>
          <w:szCs w:val="24"/>
          <w14:ligatures w14:val="none"/>
        </w:rPr>
        <w:t>(</w:t>
      </w:r>
      <w:proofErr w:type="gramEnd"/>
      <w:r w:rsidRPr="002B39A3">
        <w:rPr>
          <w:rFonts w:ascii="Times New Roman" w:eastAsia="Times New Roman" w:hAnsi="Times New Roman" w:cs="Times New Roman"/>
          <w:kern w:val="0"/>
          <w:sz w:val="24"/>
          <w:szCs w:val="24"/>
          <w14:ligatures w14:val="none"/>
        </w:rPr>
        <w:t xml:space="preserve">%), values over 100% were capped at 100%, and a new binary feature, </w:t>
      </w:r>
      <w:proofErr w:type="spellStart"/>
      <w:r w:rsidRPr="002B39A3">
        <w:rPr>
          <w:rFonts w:ascii="Times New Roman" w:eastAsia="Times New Roman" w:hAnsi="Times New Roman" w:cs="Times New Roman"/>
          <w:kern w:val="0"/>
          <w:sz w:val="24"/>
          <w:szCs w:val="24"/>
          <w14:ligatures w14:val="none"/>
        </w:rPr>
        <w:t>DeliveredEarly_Flag</w:t>
      </w:r>
      <w:proofErr w:type="spellEnd"/>
      <w:r w:rsidRPr="002B39A3">
        <w:rPr>
          <w:rFonts w:ascii="Times New Roman" w:eastAsia="Times New Roman" w:hAnsi="Times New Roman" w:cs="Times New Roman"/>
          <w:kern w:val="0"/>
          <w:sz w:val="24"/>
          <w:szCs w:val="24"/>
          <w14:ligatures w14:val="none"/>
        </w:rPr>
        <w:t xml:space="preserve">, was created. For </w:t>
      </w:r>
      <w:proofErr w:type="gramStart"/>
      <w:r w:rsidRPr="002B39A3">
        <w:rPr>
          <w:rFonts w:ascii="Times New Roman" w:eastAsia="Times New Roman" w:hAnsi="Times New Roman" w:cs="Times New Roman"/>
          <w:kern w:val="0"/>
          <w:sz w:val="24"/>
          <w:szCs w:val="24"/>
          <w14:ligatures w14:val="none"/>
        </w:rPr>
        <w:t>FillRate(</w:t>
      </w:r>
      <w:proofErr w:type="gramEnd"/>
      <w:r w:rsidRPr="002B39A3">
        <w:rPr>
          <w:rFonts w:ascii="Times New Roman" w:eastAsia="Times New Roman" w:hAnsi="Times New Roman" w:cs="Times New Roman"/>
          <w:kern w:val="0"/>
          <w:sz w:val="24"/>
          <w:szCs w:val="24"/>
          <w14:ligatures w14:val="none"/>
        </w:rPr>
        <w:t xml:space="preserve">%), a new feature, </w:t>
      </w:r>
      <w:proofErr w:type="spellStart"/>
      <w:r w:rsidRPr="002B39A3">
        <w:rPr>
          <w:rFonts w:ascii="Times New Roman" w:eastAsia="Times New Roman" w:hAnsi="Times New Roman" w:cs="Times New Roman"/>
          <w:kern w:val="0"/>
          <w:sz w:val="24"/>
          <w:szCs w:val="24"/>
          <w14:ligatures w14:val="none"/>
        </w:rPr>
        <w:t>FillRate_Deviation</w:t>
      </w:r>
      <w:proofErr w:type="spellEnd"/>
      <w:r w:rsidRPr="002B39A3">
        <w:rPr>
          <w:rFonts w:ascii="Times New Roman" w:eastAsia="Times New Roman" w:hAnsi="Times New Roman" w:cs="Times New Roman"/>
          <w:kern w:val="0"/>
          <w:sz w:val="24"/>
          <w:szCs w:val="24"/>
          <w14:ligatures w14:val="none"/>
        </w:rPr>
        <w:t>, was calculated as the absolute deviation from 100%, where 0 is perfect.</w:t>
      </w:r>
    </w:p>
    <w:p w14:paraId="5A79911B"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3.2. Strategic Feature Engineering</w:t>
      </w:r>
    </w:p>
    <w:p w14:paraId="04C0ACA7"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lastRenderedPageBreak/>
        <w:t>Feature engineering is the process of creating new, composite variables to provide a more nuanced input for the model. These features represent key business concepts more insightfully than any single raw metric.</w:t>
      </w:r>
    </w:p>
    <w:p w14:paraId="6EAC2F19" w14:textId="77777777" w:rsidR="002B39A3" w:rsidRPr="002B39A3" w:rsidRDefault="002B39A3" w:rsidP="002B39A3">
      <w:pPr>
        <w:numPr>
          <w:ilvl w:val="0"/>
          <w:numId w:val="8"/>
        </w:numPr>
        <w:spacing w:after="100" w:afterAutospacing="1"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Cost_to_Serve_Ratio</w:t>
      </w:r>
      <w:proofErr w:type="spellEnd"/>
      <w:r w:rsidRPr="002B39A3">
        <w:rPr>
          <w:rFonts w:ascii="Times New Roman" w:eastAsia="Times New Roman" w:hAnsi="Times New Roman" w:cs="Times New Roman"/>
          <w:kern w:val="0"/>
          <w:sz w:val="24"/>
          <w:szCs w:val="24"/>
          <w14:ligatures w14:val="none"/>
        </w:rPr>
        <w:t xml:space="preserve">: Calculated as </w:t>
      </w:r>
      <w:proofErr w:type="spellStart"/>
      <w:proofErr w:type="gramStart"/>
      <w:r w:rsidRPr="002B39A3">
        <w:rPr>
          <w:rFonts w:ascii="Times New Roman" w:eastAsia="Times New Roman" w:hAnsi="Times New Roman" w:cs="Times New Roman"/>
          <w:kern w:val="0"/>
          <w:sz w:val="24"/>
          <w:szCs w:val="24"/>
          <w14:ligatures w14:val="none"/>
        </w:rPr>
        <w:t>FreightLogisticsCost</w:t>
      </w:r>
      <w:proofErr w:type="spellEnd"/>
      <w:r w:rsidRPr="002B39A3">
        <w:rPr>
          <w:rFonts w:ascii="Times New Roman" w:eastAsia="Times New Roman" w:hAnsi="Times New Roman" w:cs="Times New Roman"/>
          <w:kern w:val="0"/>
          <w:sz w:val="24"/>
          <w:szCs w:val="24"/>
          <w14:ligatures w14:val="none"/>
        </w:rPr>
        <w:t>(</w:t>
      </w:r>
      <w:proofErr w:type="gramEnd"/>
      <w:r w:rsidRPr="002B39A3">
        <w:rPr>
          <w:rFonts w:ascii="Times New Roman" w:eastAsia="Times New Roman" w:hAnsi="Times New Roman" w:cs="Times New Roman"/>
          <w:kern w:val="0"/>
          <w:sz w:val="24"/>
          <w:szCs w:val="24"/>
          <w14:ligatures w14:val="none"/>
        </w:rPr>
        <w:t xml:space="preserve">USD) / </w:t>
      </w:r>
      <w:proofErr w:type="spellStart"/>
      <w:proofErr w:type="gramStart"/>
      <w:r w:rsidRPr="002B39A3">
        <w:rPr>
          <w:rFonts w:ascii="Times New Roman" w:eastAsia="Times New Roman" w:hAnsi="Times New Roman" w:cs="Times New Roman"/>
          <w:kern w:val="0"/>
          <w:sz w:val="24"/>
          <w:szCs w:val="24"/>
          <w14:ligatures w14:val="none"/>
        </w:rPr>
        <w:t>TotalSpend</w:t>
      </w:r>
      <w:proofErr w:type="spellEnd"/>
      <w:r w:rsidRPr="002B39A3">
        <w:rPr>
          <w:rFonts w:ascii="Times New Roman" w:eastAsia="Times New Roman" w:hAnsi="Times New Roman" w:cs="Times New Roman"/>
          <w:kern w:val="0"/>
          <w:sz w:val="24"/>
          <w:szCs w:val="24"/>
          <w14:ligatures w14:val="none"/>
        </w:rPr>
        <w:t>(</w:t>
      </w:r>
      <w:proofErr w:type="gramEnd"/>
      <w:r w:rsidRPr="002B39A3">
        <w:rPr>
          <w:rFonts w:ascii="Times New Roman" w:eastAsia="Times New Roman" w:hAnsi="Times New Roman" w:cs="Times New Roman"/>
          <w:kern w:val="0"/>
          <w:sz w:val="24"/>
          <w:szCs w:val="24"/>
          <w14:ligatures w14:val="none"/>
        </w:rPr>
        <w:t>USD). This normalizes logistics costs relative to business volume, identifying suppliers who are logistically inefficient regardless of their item price.</w:t>
      </w:r>
    </w:p>
    <w:p w14:paraId="5E97C745" w14:textId="77777777" w:rsidR="002B39A3" w:rsidRPr="002B39A3" w:rsidRDefault="002B39A3" w:rsidP="002B39A3">
      <w:pPr>
        <w:numPr>
          <w:ilvl w:val="0"/>
          <w:numId w:val="8"/>
        </w:numPr>
        <w:spacing w:after="100" w:afterAutospacing="1"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Quality_Failure_Index</w:t>
      </w:r>
      <w:proofErr w:type="spellEnd"/>
      <w:r w:rsidRPr="002B39A3">
        <w:rPr>
          <w:rFonts w:ascii="Times New Roman" w:eastAsia="Times New Roman" w:hAnsi="Times New Roman" w:cs="Times New Roman"/>
          <w:kern w:val="0"/>
          <w:sz w:val="24"/>
          <w:szCs w:val="24"/>
          <w14:ligatures w14:val="none"/>
        </w:rPr>
        <w:t xml:space="preserve">: A composite score combining </w:t>
      </w:r>
      <w:proofErr w:type="spellStart"/>
      <w:proofErr w:type="gramStart"/>
      <w:r w:rsidRPr="002B39A3">
        <w:rPr>
          <w:rFonts w:ascii="Times New Roman" w:eastAsia="Times New Roman" w:hAnsi="Times New Roman" w:cs="Times New Roman"/>
          <w:kern w:val="0"/>
          <w:sz w:val="24"/>
          <w:szCs w:val="24"/>
          <w14:ligatures w14:val="none"/>
        </w:rPr>
        <w:t>DefectRate</w:t>
      </w:r>
      <w:proofErr w:type="spellEnd"/>
      <w:r w:rsidRPr="002B39A3">
        <w:rPr>
          <w:rFonts w:ascii="Times New Roman" w:eastAsia="Times New Roman" w:hAnsi="Times New Roman" w:cs="Times New Roman"/>
          <w:kern w:val="0"/>
          <w:sz w:val="24"/>
          <w:szCs w:val="24"/>
          <w14:ligatures w14:val="none"/>
        </w:rPr>
        <w:t>(</w:t>
      </w:r>
      <w:proofErr w:type="gramEnd"/>
      <w:r w:rsidRPr="002B39A3">
        <w:rPr>
          <w:rFonts w:ascii="Times New Roman" w:eastAsia="Times New Roman" w:hAnsi="Times New Roman" w:cs="Times New Roman"/>
          <w:kern w:val="0"/>
          <w:sz w:val="24"/>
          <w:szCs w:val="24"/>
          <w14:ligatures w14:val="none"/>
        </w:rPr>
        <w:t xml:space="preserve">%), </w:t>
      </w:r>
      <w:proofErr w:type="spellStart"/>
      <w:r w:rsidRPr="002B39A3">
        <w:rPr>
          <w:rFonts w:ascii="Times New Roman" w:eastAsia="Times New Roman" w:hAnsi="Times New Roman" w:cs="Times New Roman"/>
          <w:kern w:val="0"/>
          <w:sz w:val="24"/>
          <w:szCs w:val="24"/>
          <w14:ligatures w14:val="none"/>
        </w:rPr>
        <w:t>QualityIncidentCount</w:t>
      </w:r>
      <w:proofErr w:type="spellEnd"/>
      <w:r w:rsidRPr="002B39A3">
        <w:rPr>
          <w:rFonts w:ascii="Times New Roman" w:eastAsia="Times New Roman" w:hAnsi="Times New Roman" w:cs="Times New Roman"/>
          <w:kern w:val="0"/>
          <w:sz w:val="24"/>
          <w:szCs w:val="24"/>
          <w14:ligatures w14:val="none"/>
        </w:rPr>
        <w:t xml:space="preserve">, and </w:t>
      </w:r>
      <w:proofErr w:type="spellStart"/>
      <w:proofErr w:type="gramStart"/>
      <w:r w:rsidRPr="002B39A3">
        <w:rPr>
          <w:rFonts w:ascii="Times New Roman" w:eastAsia="Times New Roman" w:hAnsi="Times New Roman" w:cs="Times New Roman"/>
          <w:kern w:val="0"/>
          <w:sz w:val="24"/>
          <w:szCs w:val="24"/>
          <w14:ligatures w14:val="none"/>
        </w:rPr>
        <w:t>IncomingRejectionPct</w:t>
      </w:r>
      <w:proofErr w:type="spellEnd"/>
      <w:r w:rsidRPr="002B39A3">
        <w:rPr>
          <w:rFonts w:ascii="Times New Roman" w:eastAsia="Times New Roman" w:hAnsi="Times New Roman" w:cs="Times New Roman"/>
          <w:kern w:val="0"/>
          <w:sz w:val="24"/>
          <w:szCs w:val="24"/>
          <w14:ligatures w14:val="none"/>
        </w:rPr>
        <w:t>(</w:t>
      </w:r>
      <w:proofErr w:type="gramEnd"/>
      <w:r w:rsidRPr="002B39A3">
        <w:rPr>
          <w:rFonts w:ascii="Times New Roman" w:eastAsia="Times New Roman" w:hAnsi="Times New Roman" w:cs="Times New Roman"/>
          <w:kern w:val="0"/>
          <w:sz w:val="24"/>
          <w:szCs w:val="24"/>
          <w14:ligatures w14:val="none"/>
        </w:rPr>
        <w:t>%). This provides a single, robust measure of a supplier's quality performance, capturing both frequency and severity of failures.</w:t>
      </w:r>
    </w:p>
    <w:p w14:paraId="7FC47F33" w14:textId="77777777" w:rsidR="002B39A3" w:rsidRPr="002B39A3" w:rsidRDefault="002B39A3" w:rsidP="002B39A3">
      <w:pPr>
        <w:numPr>
          <w:ilvl w:val="0"/>
          <w:numId w:val="8"/>
        </w:numPr>
        <w:spacing w:after="100" w:afterAutospacing="1"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Reliability_Score</w:t>
      </w:r>
      <w:proofErr w:type="spellEnd"/>
      <w:r w:rsidRPr="002B39A3">
        <w:rPr>
          <w:rFonts w:ascii="Times New Roman" w:eastAsia="Times New Roman" w:hAnsi="Times New Roman" w:cs="Times New Roman"/>
          <w:kern w:val="0"/>
          <w:sz w:val="24"/>
          <w:szCs w:val="24"/>
          <w14:ligatures w14:val="none"/>
        </w:rPr>
        <w:t xml:space="preserve">: An engineered feature that incorporates </w:t>
      </w:r>
      <w:proofErr w:type="spellStart"/>
      <w:proofErr w:type="gramStart"/>
      <w:r w:rsidRPr="002B39A3">
        <w:rPr>
          <w:rFonts w:ascii="Times New Roman" w:eastAsia="Times New Roman" w:hAnsi="Times New Roman" w:cs="Times New Roman"/>
          <w:kern w:val="0"/>
          <w:sz w:val="24"/>
          <w:szCs w:val="24"/>
          <w14:ligatures w14:val="none"/>
        </w:rPr>
        <w:t>OnTimeDeliveryRate</w:t>
      </w:r>
      <w:proofErr w:type="spellEnd"/>
      <w:r w:rsidRPr="002B39A3">
        <w:rPr>
          <w:rFonts w:ascii="Times New Roman" w:eastAsia="Times New Roman" w:hAnsi="Times New Roman" w:cs="Times New Roman"/>
          <w:kern w:val="0"/>
          <w:sz w:val="24"/>
          <w:szCs w:val="24"/>
          <w14:ligatures w14:val="none"/>
        </w:rPr>
        <w:t>(</w:t>
      </w:r>
      <w:proofErr w:type="gramEnd"/>
      <w:r w:rsidRPr="002B39A3">
        <w:rPr>
          <w:rFonts w:ascii="Times New Roman" w:eastAsia="Times New Roman" w:hAnsi="Times New Roman" w:cs="Times New Roman"/>
          <w:kern w:val="0"/>
          <w:sz w:val="24"/>
          <w:szCs w:val="24"/>
          <w14:ligatures w14:val="none"/>
        </w:rPr>
        <w:t xml:space="preserve">%) and </w:t>
      </w:r>
      <w:proofErr w:type="gramStart"/>
      <w:r w:rsidRPr="002B39A3">
        <w:rPr>
          <w:rFonts w:ascii="Times New Roman" w:eastAsia="Times New Roman" w:hAnsi="Times New Roman" w:cs="Times New Roman"/>
          <w:kern w:val="0"/>
          <w:sz w:val="24"/>
          <w:szCs w:val="24"/>
          <w14:ligatures w14:val="none"/>
        </w:rPr>
        <w:t>FillRate(</w:t>
      </w:r>
      <w:proofErr w:type="gramEnd"/>
      <w:r w:rsidRPr="002B39A3">
        <w:rPr>
          <w:rFonts w:ascii="Times New Roman" w:eastAsia="Times New Roman" w:hAnsi="Times New Roman" w:cs="Times New Roman"/>
          <w:kern w:val="0"/>
          <w:sz w:val="24"/>
          <w:szCs w:val="24"/>
          <w14:ligatures w14:val="none"/>
        </w:rPr>
        <w:t xml:space="preserve">%) while penalizing for </w:t>
      </w:r>
      <w:proofErr w:type="spellStart"/>
      <w:r w:rsidRPr="002B39A3">
        <w:rPr>
          <w:rFonts w:ascii="Times New Roman" w:eastAsia="Times New Roman" w:hAnsi="Times New Roman" w:cs="Times New Roman"/>
          <w:kern w:val="0"/>
          <w:sz w:val="24"/>
          <w:szCs w:val="24"/>
          <w14:ligatures w14:val="none"/>
        </w:rPr>
        <w:t>LateShipmentCount</w:t>
      </w:r>
      <w:proofErr w:type="spellEnd"/>
      <w:r w:rsidRPr="002B39A3">
        <w:rPr>
          <w:rFonts w:ascii="Times New Roman" w:eastAsia="Times New Roman" w:hAnsi="Times New Roman" w:cs="Times New Roman"/>
          <w:kern w:val="0"/>
          <w:sz w:val="24"/>
          <w:szCs w:val="24"/>
          <w14:ligatures w14:val="none"/>
        </w:rPr>
        <w:t xml:space="preserve"> and </w:t>
      </w:r>
      <w:proofErr w:type="spellStart"/>
      <w:r w:rsidRPr="002B39A3">
        <w:rPr>
          <w:rFonts w:ascii="Times New Roman" w:eastAsia="Times New Roman" w:hAnsi="Times New Roman" w:cs="Times New Roman"/>
          <w:kern w:val="0"/>
          <w:sz w:val="24"/>
          <w:szCs w:val="24"/>
          <w14:ligatures w14:val="none"/>
        </w:rPr>
        <w:t>PartialDeliveryCount</w:t>
      </w:r>
      <w:proofErr w:type="spellEnd"/>
      <w:r w:rsidRPr="002B39A3">
        <w:rPr>
          <w:rFonts w:ascii="Times New Roman" w:eastAsia="Times New Roman" w:hAnsi="Times New Roman" w:cs="Times New Roman"/>
          <w:kern w:val="0"/>
          <w:sz w:val="24"/>
          <w:szCs w:val="24"/>
          <w14:ligatures w14:val="none"/>
        </w:rPr>
        <w:t>. This gives a more holistic view of dependability than on-time delivery alone.</w:t>
      </w:r>
    </w:p>
    <w:p w14:paraId="3050BF44" w14:textId="77777777" w:rsidR="002B39A3" w:rsidRPr="002B39A3" w:rsidRDefault="002B39A3" w:rsidP="002B39A3">
      <w:pPr>
        <w:numPr>
          <w:ilvl w:val="0"/>
          <w:numId w:val="8"/>
        </w:numPr>
        <w:spacing w:after="100" w:afterAutospacing="1"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Time_to_Renewal</w:t>
      </w:r>
      <w:proofErr w:type="spellEnd"/>
      <w:r w:rsidRPr="002B39A3">
        <w:rPr>
          <w:rFonts w:ascii="Times New Roman" w:eastAsia="Times New Roman" w:hAnsi="Times New Roman" w:cs="Times New Roman"/>
          <w:kern w:val="0"/>
          <w:sz w:val="24"/>
          <w:szCs w:val="24"/>
          <w14:ligatures w14:val="none"/>
        </w:rPr>
        <w:t xml:space="preserve">: Calculated as the number of days between the analysis date and the </w:t>
      </w:r>
      <w:proofErr w:type="spellStart"/>
      <w:r w:rsidRPr="002B39A3">
        <w:rPr>
          <w:rFonts w:ascii="Times New Roman" w:eastAsia="Times New Roman" w:hAnsi="Times New Roman" w:cs="Times New Roman"/>
          <w:kern w:val="0"/>
          <w:sz w:val="24"/>
          <w:szCs w:val="24"/>
          <w14:ligatures w14:val="none"/>
        </w:rPr>
        <w:t>ContractRenewalDate</w:t>
      </w:r>
      <w:proofErr w:type="spellEnd"/>
      <w:r w:rsidRPr="002B39A3">
        <w:rPr>
          <w:rFonts w:ascii="Times New Roman" w:eastAsia="Times New Roman" w:hAnsi="Times New Roman" w:cs="Times New Roman"/>
          <w:kern w:val="0"/>
          <w:sz w:val="24"/>
          <w:szCs w:val="24"/>
          <w14:ligatures w14:val="none"/>
        </w:rPr>
        <w:t>. This adds a temporal risk dimension, flagging suppliers with imminent contract expirations.</w:t>
      </w:r>
    </w:p>
    <w:p w14:paraId="24C6515F"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3.3. Data Scaling and Encoding</w:t>
      </w:r>
    </w:p>
    <w:p w14:paraId="672C6FCB"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final preparation step transforms data into the format required by the K-Means algorithm.</w:t>
      </w:r>
    </w:p>
    <w:p w14:paraId="2EC9A71F" w14:textId="77777777" w:rsidR="002B39A3" w:rsidRPr="002B39A3" w:rsidRDefault="002B39A3" w:rsidP="002B39A3">
      <w:pPr>
        <w:numPr>
          <w:ilvl w:val="0"/>
          <w:numId w:val="9"/>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Standardization</w:t>
      </w:r>
      <w:r w:rsidRPr="002B39A3">
        <w:rPr>
          <w:rFonts w:ascii="Times New Roman" w:eastAsia="Times New Roman" w:hAnsi="Times New Roman" w:cs="Times New Roman"/>
          <w:kern w:val="0"/>
          <w:sz w:val="24"/>
          <w:szCs w:val="24"/>
          <w14:ligatures w14:val="none"/>
        </w:rPr>
        <w:t xml:space="preserve">: All numeric features were scaled using a technique like </w:t>
      </w:r>
      <w:proofErr w:type="spellStart"/>
      <w:r w:rsidRPr="002B39A3">
        <w:rPr>
          <w:rFonts w:ascii="Times New Roman" w:eastAsia="Times New Roman" w:hAnsi="Times New Roman" w:cs="Times New Roman"/>
          <w:kern w:val="0"/>
          <w:sz w:val="24"/>
          <w:szCs w:val="24"/>
          <w14:ligatures w14:val="none"/>
        </w:rPr>
        <w:t>StandardScaler</w:t>
      </w:r>
      <w:proofErr w:type="spellEnd"/>
      <w:r w:rsidRPr="002B39A3">
        <w:rPr>
          <w:rFonts w:ascii="Times New Roman" w:eastAsia="Times New Roman" w:hAnsi="Times New Roman" w:cs="Times New Roman"/>
          <w:kern w:val="0"/>
          <w:sz w:val="24"/>
          <w:szCs w:val="24"/>
          <w14:ligatures w14:val="none"/>
        </w:rPr>
        <w:t xml:space="preserve">, which transforms each feature to have a mean of 0 and a standard </w:t>
      </w:r>
      <w:r w:rsidRPr="002B39A3">
        <w:rPr>
          <w:rFonts w:ascii="Times New Roman" w:eastAsia="Times New Roman" w:hAnsi="Times New Roman" w:cs="Times New Roman"/>
          <w:kern w:val="0"/>
          <w:sz w:val="24"/>
          <w:szCs w:val="24"/>
          <w14:ligatures w14:val="none"/>
        </w:rPr>
        <w:lastRenderedPageBreak/>
        <w:t>deviation of 1. This prevents features with larger scales from dominating the distance calculations in the clustering algorithm.</w:t>
      </w:r>
    </w:p>
    <w:p w14:paraId="091D2B14" w14:textId="77777777" w:rsidR="002B39A3" w:rsidRPr="002B39A3" w:rsidRDefault="002B39A3" w:rsidP="002B39A3">
      <w:pPr>
        <w:numPr>
          <w:ilvl w:val="0"/>
          <w:numId w:val="9"/>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Categorical Encoding</w:t>
      </w:r>
      <w:r w:rsidRPr="002B39A3">
        <w:rPr>
          <w:rFonts w:ascii="Times New Roman" w:eastAsia="Times New Roman" w:hAnsi="Times New Roman" w:cs="Times New Roman"/>
          <w:kern w:val="0"/>
          <w:sz w:val="24"/>
          <w:szCs w:val="24"/>
          <w14:ligatures w14:val="none"/>
        </w:rPr>
        <w:t xml:space="preserve">: Categorical variables like Region and </w:t>
      </w:r>
      <w:proofErr w:type="spellStart"/>
      <w:r w:rsidRPr="002B39A3">
        <w:rPr>
          <w:rFonts w:ascii="Times New Roman" w:eastAsia="Times New Roman" w:hAnsi="Times New Roman" w:cs="Times New Roman"/>
          <w:kern w:val="0"/>
          <w:sz w:val="24"/>
          <w:szCs w:val="24"/>
          <w14:ligatures w14:val="none"/>
        </w:rPr>
        <w:t>ProductCategory</w:t>
      </w:r>
      <w:proofErr w:type="spellEnd"/>
      <w:r w:rsidRPr="002B39A3">
        <w:rPr>
          <w:rFonts w:ascii="Times New Roman" w:eastAsia="Times New Roman" w:hAnsi="Times New Roman" w:cs="Times New Roman"/>
          <w:kern w:val="0"/>
          <w:sz w:val="24"/>
          <w:szCs w:val="24"/>
          <w14:ligatures w14:val="none"/>
        </w:rPr>
        <w:t xml:space="preserve"> were converted into a numerical format using one-hot encoding. This creates new binary columns for each category, allowing the model to use the information without implying an artificial order.</w:t>
      </w:r>
    </w:p>
    <w:p w14:paraId="3F0A5770" w14:textId="77777777" w:rsidR="002B39A3" w:rsidRPr="002B39A3" w:rsidRDefault="002B39A3" w:rsidP="002B39A3">
      <w:pPr>
        <w:spacing w:after="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pict w14:anchorId="2B092B9D">
          <v:rect id="_x0000_i1028" style="width:0;height:1.5pt" o:hralign="center" o:hrstd="t" o:hr="t" fillcolor="#a0a0a0" stroked="f"/>
        </w:pict>
      </w:r>
    </w:p>
    <w:p w14:paraId="0AC92DDF" w14:textId="77777777" w:rsidR="002B39A3" w:rsidRPr="002B39A3" w:rsidRDefault="002B39A3" w:rsidP="002B39A3">
      <w:pPr>
        <w:spacing w:after="100" w:afterAutospacing="1" w:line="480" w:lineRule="auto"/>
        <w:outlineLvl w:val="2"/>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Phase 4: Modeling - Segmentation and Classification</w:t>
      </w:r>
    </w:p>
    <w:p w14:paraId="62F170BE"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This phase applies machine learning algorithms to uncover the underlying structure of Conagra's supplier base and build a predictive framework.</w:t>
      </w:r>
    </w:p>
    <w:p w14:paraId="637F13B8"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4.1. Unsupervised Segmentation: K-Means Clustering</w:t>
      </w:r>
    </w:p>
    <w:p w14:paraId="1D246CDC"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K-Means Clustering was selected to segment suppliers without using any pre-existing labels.</w:t>
      </w:r>
    </w:p>
    <w:p w14:paraId="197106CC" w14:textId="77777777" w:rsidR="002B39A3" w:rsidRPr="002B39A3" w:rsidRDefault="002B39A3" w:rsidP="002B39A3">
      <w:pPr>
        <w:numPr>
          <w:ilvl w:val="0"/>
          <w:numId w:val="10"/>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Function</w:t>
      </w:r>
      <w:r w:rsidRPr="002B39A3">
        <w:rPr>
          <w:rFonts w:ascii="Times New Roman" w:eastAsia="Times New Roman" w:hAnsi="Times New Roman" w:cs="Times New Roman"/>
          <w:kern w:val="0"/>
          <w:sz w:val="24"/>
          <w:szCs w:val="24"/>
          <w14:ligatures w14:val="none"/>
        </w:rPr>
        <w:t>: The algorithm partitions the 150 suppliers into a specified number of 'K' clusters, ensuring that suppliers within a cluster are as similar as possible while being different from suppliers in other clusters.</w:t>
      </w:r>
    </w:p>
    <w:p w14:paraId="201E6F8B" w14:textId="77777777" w:rsidR="002B39A3" w:rsidRPr="002B39A3" w:rsidRDefault="002B39A3" w:rsidP="002B39A3">
      <w:pPr>
        <w:numPr>
          <w:ilvl w:val="0"/>
          <w:numId w:val="10"/>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Use Case</w:t>
      </w:r>
      <w:r w:rsidRPr="002B39A3">
        <w:rPr>
          <w:rFonts w:ascii="Times New Roman" w:eastAsia="Times New Roman" w:hAnsi="Times New Roman" w:cs="Times New Roman"/>
          <w:kern w:val="0"/>
          <w:sz w:val="24"/>
          <w:szCs w:val="24"/>
          <w14:ligatures w14:val="none"/>
        </w:rPr>
        <w:t>: This approach is ideal for discovering natural groupings in performance data. We used the Elbow Method and Silhouette Score analysis to determine that the optimal number of clusters is K=4.</w:t>
      </w:r>
    </w:p>
    <w:p w14:paraId="4AA9DA26"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4.2. Predictive Modeling: Random Forest and Decision Tree</w:t>
      </w:r>
    </w:p>
    <w:p w14:paraId="7122B58C"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lastRenderedPageBreak/>
        <w:t>Once K-Means identified the four segments, these labels were used to train supervised classification models to predict a supplier's segment based on its performance.</w:t>
      </w:r>
    </w:p>
    <w:p w14:paraId="5B9BC294" w14:textId="77777777" w:rsidR="002B39A3" w:rsidRPr="002B39A3" w:rsidRDefault="002B39A3" w:rsidP="002B39A3">
      <w:pPr>
        <w:numPr>
          <w:ilvl w:val="0"/>
          <w:numId w:val="11"/>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Random Forest</w:t>
      </w:r>
      <w:r w:rsidRPr="002B39A3">
        <w:rPr>
          <w:rFonts w:ascii="Times New Roman" w:eastAsia="Times New Roman" w:hAnsi="Times New Roman" w:cs="Times New Roman"/>
          <w:kern w:val="0"/>
          <w:sz w:val="24"/>
          <w:szCs w:val="24"/>
          <w14:ligatures w14:val="none"/>
        </w:rPr>
        <w:t xml:space="preserve">: Chosen as the primary classification algorithm, it is highly effective for predicting a supplier's tier. Its key strength is a built-in method for measuring feature importance, which allowed us to understand </w:t>
      </w:r>
      <w:r w:rsidRPr="002B39A3">
        <w:rPr>
          <w:rFonts w:ascii="Times New Roman" w:eastAsia="Times New Roman" w:hAnsi="Times New Roman" w:cs="Times New Roman"/>
          <w:i/>
          <w:iCs/>
          <w:kern w:val="0"/>
          <w:sz w:val="24"/>
          <w:szCs w:val="24"/>
          <w14:ligatures w14:val="none"/>
        </w:rPr>
        <w:t>why</w:t>
      </w:r>
      <w:r w:rsidRPr="002B39A3">
        <w:rPr>
          <w:rFonts w:ascii="Times New Roman" w:eastAsia="Times New Roman" w:hAnsi="Times New Roman" w:cs="Times New Roman"/>
          <w:kern w:val="0"/>
          <w:sz w:val="24"/>
          <w:szCs w:val="24"/>
          <w14:ligatures w14:val="none"/>
        </w:rPr>
        <w:t xml:space="preserve"> a supplier was assigned to a certain segment.</w:t>
      </w:r>
    </w:p>
    <w:p w14:paraId="01849863" w14:textId="77777777" w:rsidR="002B39A3" w:rsidRPr="002B39A3" w:rsidRDefault="002B39A3" w:rsidP="002B39A3">
      <w:pPr>
        <w:numPr>
          <w:ilvl w:val="0"/>
          <w:numId w:val="11"/>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Decision Tree</w:t>
      </w:r>
      <w:r w:rsidRPr="002B39A3">
        <w:rPr>
          <w:rFonts w:ascii="Times New Roman" w:eastAsia="Times New Roman" w:hAnsi="Times New Roman" w:cs="Times New Roman"/>
          <w:kern w:val="0"/>
          <w:sz w:val="24"/>
          <w:szCs w:val="24"/>
          <w14:ligatures w14:val="none"/>
        </w:rPr>
        <w:t>: A single Decision Tree model was also trained to complement the Random Forest. Its primary benefit is interpretability, as it produces a clear, flowchart-like structure that translates into human-readable "if-then" rules, which is invaluable for stakeholder communication.</w:t>
      </w:r>
    </w:p>
    <w:p w14:paraId="56D6C1AA"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4.3. The New Supplier Segments: Classification Tiers</w:t>
      </w:r>
    </w:p>
    <w:p w14:paraId="07D07D57"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combination of clustering and classification produced four actionable personas, with the Random Forest model's feature importance analysis helping to profile and name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1698"/>
        <w:gridCol w:w="1557"/>
        <w:gridCol w:w="1705"/>
        <w:gridCol w:w="1679"/>
      </w:tblGrid>
      <w:tr w:rsidR="002B39A3" w:rsidRPr="002B39A3" w14:paraId="370CEE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6524B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Performance Dimension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F07A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High-Risk Liabilities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4825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High-Cost Specialists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8BE5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Operational Workhorses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BB43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Strategic Partners</w:t>
            </w:r>
          </w:p>
        </w:tc>
      </w:tr>
      <w:tr w:rsidR="002B39A3" w:rsidRPr="002B39A3" w14:paraId="7DA8FB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B2D6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Profile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9096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"Poor performers, high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A977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"Capable but expensive"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1DBB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"Reliable, core performers"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7D95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 xml:space="preserve">"Elite, innovative, </w:t>
            </w:r>
            <w:proofErr w:type="gramStart"/>
            <w:r w:rsidRPr="002B39A3">
              <w:rPr>
                <w:rFonts w:ascii="Times New Roman" w:eastAsia="Times New Roman" w:hAnsi="Times New Roman" w:cs="Times New Roman"/>
                <w:kern w:val="0"/>
                <w:sz w:val="24"/>
                <w:szCs w:val="24"/>
                <w14:ligatures w14:val="none"/>
              </w:rPr>
              <w:t>low-risk</w:t>
            </w:r>
            <w:proofErr w:type="gramEnd"/>
            <w:r w:rsidRPr="002B39A3">
              <w:rPr>
                <w:rFonts w:ascii="Times New Roman" w:eastAsia="Times New Roman" w:hAnsi="Times New Roman" w:cs="Times New Roman"/>
                <w:kern w:val="0"/>
                <w:sz w:val="24"/>
                <w:szCs w:val="24"/>
                <w14:ligatures w14:val="none"/>
              </w:rPr>
              <w:t>"</w:t>
            </w:r>
          </w:p>
        </w:tc>
      </w:tr>
      <w:tr w:rsidR="002B39A3" w:rsidRPr="002B39A3" w14:paraId="6FEEBD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CCE4D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Total_Risk_Score (avg)</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495E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33.5 (Very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696E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20.3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8F929"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12.1 (Low)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B656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5.5 (Very Low)</w:t>
            </w:r>
          </w:p>
        </w:tc>
      </w:tr>
      <w:tr w:rsidR="002B39A3" w:rsidRPr="002B39A3" w14:paraId="02575A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EF365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OnTimeDeliveryRate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587B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37F7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94.1%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D12B4"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97.5%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35883"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98.9%</w:t>
            </w:r>
          </w:p>
        </w:tc>
      </w:tr>
      <w:tr w:rsidR="002B39A3" w:rsidRPr="002B39A3" w14:paraId="7D94A8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E401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DefectRate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D68F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13FA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299D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3C5B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0.15%</w:t>
            </w:r>
          </w:p>
        </w:tc>
      </w:tr>
      <w:tr w:rsidR="002B39A3" w:rsidRPr="002B39A3" w14:paraId="1B2ACE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DC76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Cost_to_Serve_Ratio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A836B3"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7614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Very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B71A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3E87D"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Low</w:t>
            </w:r>
          </w:p>
        </w:tc>
      </w:tr>
      <w:tr w:rsidR="002B39A3" w:rsidRPr="002B39A3" w14:paraId="5D2385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34B4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proofErr w:type="gramStart"/>
            <w:r w:rsidRPr="002B39A3">
              <w:rPr>
                <w:rFonts w:ascii="Times New Roman" w:eastAsia="Times New Roman" w:hAnsi="Times New Roman" w:cs="Times New Roman"/>
                <w:b/>
                <w:bCs/>
                <w:kern w:val="0"/>
                <w:sz w:val="24"/>
                <w:szCs w:val="24"/>
                <w14:ligatures w14:val="none"/>
              </w:rPr>
              <w:t>ESGScore</w:t>
            </w:r>
            <w:proofErr w:type="spellEnd"/>
            <w:r w:rsidRPr="002B39A3">
              <w:rPr>
                <w:rFonts w:ascii="Times New Roman" w:eastAsia="Times New Roman" w:hAnsi="Times New Roman" w:cs="Times New Roman"/>
                <w:b/>
                <w:bCs/>
                <w:kern w:val="0"/>
                <w:sz w:val="24"/>
                <w:szCs w:val="24"/>
                <w14:ligatures w14:val="none"/>
              </w:rPr>
              <w:t>(</w:t>
            </w:r>
            <w:proofErr w:type="gramEnd"/>
            <w:r w:rsidRPr="002B39A3">
              <w:rPr>
                <w:rFonts w:ascii="Times New Roman" w:eastAsia="Times New Roman" w:hAnsi="Times New Roman" w:cs="Times New Roman"/>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B718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65.2%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0261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75.4%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2CBA0"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82.1%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A8F9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92.5%</w:t>
            </w:r>
          </w:p>
        </w:tc>
      </w:tr>
      <w:tr w:rsidR="002B39A3" w:rsidRPr="002B39A3" w14:paraId="5A570F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AAEBA"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spellStart"/>
            <w:r w:rsidRPr="002B39A3">
              <w:rPr>
                <w:rFonts w:ascii="Times New Roman" w:eastAsia="Times New Roman" w:hAnsi="Times New Roman" w:cs="Times New Roman"/>
                <w:b/>
                <w:bCs/>
                <w:kern w:val="0"/>
                <w:sz w:val="24"/>
                <w:szCs w:val="24"/>
                <w14:ligatures w14:val="none"/>
              </w:rPr>
              <w:t>InnovationContributions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CDF94D"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None Recorded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1CFBF"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Occasional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BA4E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Occasional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14B6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Frequent &amp; Valuable</w:t>
            </w:r>
          </w:p>
        </w:tc>
      </w:tr>
      <w:tr w:rsidR="002B39A3" w:rsidRPr="002B39A3" w14:paraId="192D0C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EC34DC"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 of Suppliers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4CDE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B61D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5F66AC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96B01B2"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15%</w:t>
            </w:r>
          </w:p>
        </w:tc>
      </w:tr>
    </w:tbl>
    <w:p w14:paraId="704D967A" w14:textId="77777777" w:rsidR="002B39A3" w:rsidRPr="002B39A3" w:rsidRDefault="002B39A3" w:rsidP="002B39A3">
      <w:pPr>
        <w:spacing w:after="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pict w14:anchorId="19DADD69">
          <v:rect id="_x0000_i1029" style="width:0;height:1.5pt" o:hralign="center" o:hrstd="t" o:hr="t" fillcolor="#a0a0a0" stroked="f"/>
        </w:pict>
      </w:r>
    </w:p>
    <w:p w14:paraId="6B92C9E4" w14:textId="77777777" w:rsidR="002B39A3" w:rsidRPr="002B39A3" w:rsidRDefault="002B39A3" w:rsidP="002B39A3">
      <w:pPr>
        <w:spacing w:after="100" w:afterAutospacing="1" w:line="480" w:lineRule="auto"/>
        <w:outlineLvl w:val="2"/>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Phase 5: Evaluation</w:t>
      </w:r>
    </w:p>
    <w:p w14:paraId="46FDF73D"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Summary of Business Objectives</w:t>
      </w:r>
    </w:p>
    <w:p w14:paraId="1802C54A"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lastRenderedPageBreak/>
        <w:t>The project was developed to support four strategic imperatives:</w:t>
      </w:r>
    </w:p>
    <w:p w14:paraId="3D577176" w14:textId="77777777" w:rsidR="002B39A3" w:rsidRPr="002B39A3" w:rsidRDefault="002B39A3" w:rsidP="002B39A3">
      <w:pPr>
        <w:numPr>
          <w:ilvl w:val="0"/>
          <w:numId w:val="12"/>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Enhance Supply Chain Resilience.</w:t>
      </w:r>
    </w:p>
    <w:p w14:paraId="5EA8A3F1" w14:textId="77777777" w:rsidR="002B39A3" w:rsidRPr="002B39A3" w:rsidRDefault="002B39A3" w:rsidP="002B39A3">
      <w:pPr>
        <w:numPr>
          <w:ilvl w:val="0"/>
          <w:numId w:val="12"/>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Drive "Fuel for Growth" Initiative.</w:t>
      </w:r>
    </w:p>
    <w:p w14:paraId="06A639DC" w14:textId="77777777" w:rsidR="002B39A3" w:rsidRPr="002B39A3" w:rsidRDefault="002B39A3" w:rsidP="002B39A3">
      <w:pPr>
        <w:numPr>
          <w:ilvl w:val="0"/>
          <w:numId w:val="12"/>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Strengthen Strategic Partnerships.</w:t>
      </w:r>
    </w:p>
    <w:p w14:paraId="32065037" w14:textId="77777777" w:rsidR="002B39A3" w:rsidRPr="002B39A3" w:rsidRDefault="002B39A3" w:rsidP="002B39A3">
      <w:pPr>
        <w:numPr>
          <w:ilvl w:val="0"/>
          <w:numId w:val="12"/>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Align Procurement with Corporate Values.</w:t>
      </w:r>
    </w:p>
    <w:p w14:paraId="374016A9"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5.1. Evaluate Results</w:t>
      </w:r>
    </w:p>
    <w:p w14:paraId="30B23294"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models were evaluated from both a technical and a business perspective.</w:t>
      </w:r>
    </w:p>
    <w:p w14:paraId="3F4B21CC" w14:textId="77777777" w:rsidR="002B39A3" w:rsidRPr="002B39A3" w:rsidRDefault="002B39A3" w:rsidP="002B39A3">
      <w:pPr>
        <w:numPr>
          <w:ilvl w:val="0"/>
          <w:numId w:val="13"/>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Technical Evaluation</w:t>
      </w:r>
      <w:r w:rsidRPr="002B39A3">
        <w:rPr>
          <w:rFonts w:ascii="Times New Roman" w:eastAsia="Times New Roman" w:hAnsi="Times New Roman" w:cs="Times New Roman"/>
          <w:kern w:val="0"/>
          <w:sz w:val="24"/>
          <w:szCs w:val="24"/>
          <w14:ligatures w14:val="none"/>
        </w:rPr>
        <w:t>: The analytical models proved statistically sound. The primary classification model, Random Forest, achieved an Area Under the Curve (AUC) score of 0.88, indicating it is highly accurate in distinguishing between supplier segments. The K-Means clustering model showed a high average Silhouette Score, confirming that the four segments are dense, well-separated, and statistically meaningful.</w:t>
      </w:r>
    </w:p>
    <w:p w14:paraId="405C5445" w14:textId="77777777" w:rsidR="002B39A3" w:rsidRPr="002B39A3" w:rsidRDefault="002B39A3" w:rsidP="002B39A3">
      <w:pPr>
        <w:numPr>
          <w:ilvl w:val="0"/>
          <w:numId w:val="13"/>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Business Evaluation</w:t>
      </w:r>
      <w:r w:rsidRPr="002B39A3">
        <w:rPr>
          <w:rFonts w:ascii="Times New Roman" w:eastAsia="Times New Roman" w:hAnsi="Times New Roman" w:cs="Times New Roman"/>
          <w:kern w:val="0"/>
          <w:sz w:val="24"/>
          <w:szCs w:val="24"/>
          <w14:ligatures w14:val="none"/>
        </w:rPr>
        <w:t>: The models' performance directly translates to achieving the key business objectives. The project successfully meets the defined success criteria by providing value against each core goal.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6882"/>
      </w:tblGrid>
      <w:tr w:rsidR="002B39A3" w:rsidRPr="002B39A3" w14:paraId="1FFBA8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9A7A5"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Business Objective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130D8"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How the Model Achieves It</w:t>
            </w:r>
          </w:p>
        </w:tc>
      </w:tr>
      <w:tr w:rsidR="002B39A3" w:rsidRPr="002B39A3" w14:paraId="01FE8D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77903F"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Enhance Supply Chain Resilience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56FC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model's predictive accuracy allows for the proactive identification of high-risk orders and suppliers, enabling early intervention.</w:t>
            </w:r>
          </w:p>
        </w:tc>
      </w:tr>
      <w:tr w:rsidR="002B39A3" w:rsidRPr="002B39A3" w14:paraId="24467F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15791"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Drive "Fuel for Growth" Initiative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090D0E"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 xml:space="preserve">The model identifies underperforming suppliers where </w:t>
            </w:r>
            <w:proofErr w:type="gramStart"/>
            <w:r w:rsidRPr="002B39A3">
              <w:rPr>
                <w:rFonts w:ascii="Times New Roman" w:eastAsia="Times New Roman" w:hAnsi="Times New Roman" w:cs="Times New Roman"/>
                <w:kern w:val="0"/>
                <w:sz w:val="24"/>
                <w:szCs w:val="24"/>
                <w14:ligatures w14:val="none"/>
              </w:rPr>
              <w:t>cost</w:t>
            </w:r>
            <w:proofErr w:type="gramEnd"/>
            <w:r w:rsidRPr="002B39A3">
              <w:rPr>
                <w:rFonts w:ascii="Times New Roman" w:eastAsia="Times New Roman" w:hAnsi="Times New Roman" w:cs="Times New Roman"/>
                <w:kern w:val="0"/>
                <w:sz w:val="24"/>
                <w:szCs w:val="24"/>
                <w14:ligatures w14:val="none"/>
              </w:rPr>
              <w:t>-of-quality is high, providing a data-driven basis for cost-saving negotiations.</w:t>
            </w:r>
          </w:p>
        </w:tc>
      </w:tr>
      <w:tr w:rsidR="002B39A3" w:rsidRPr="002B39A3" w14:paraId="5DF365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87821B"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proofErr w:type="gramStart"/>
            <w:r w:rsidRPr="002B39A3">
              <w:rPr>
                <w:rFonts w:ascii="Times New Roman" w:eastAsia="Times New Roman" w:hAnsi="Times New Roman" w:cs="Times New Roman"/>
                <w:b/>
                <w:bCs/>
                <w:kern w:val="0"/>
                <w:sz w:val="24"/>
                <w:szCs w:val="24"/>
                <w14:ligatures w14:val="none"/>
              </w:rPr>
              <w:t>Strengthen</w:t>
            </w:r>
            <w:proofErr w:type="gramEnd"/>
            <w:r w:rsidRPr="002B39A3">
              <w:rPr>
                <w:rFonts w:ascii="Times New Roman" w:eastAsia="Times New Roman" w:hAnsi="Times New Roman" w:cs="Times New Roman"/>
                <w:b/>
                <w:bCs/>
                <w:kern w:val="0"/>
                <w:sz w:val="24"/>
                <w:szCs w:val="24"/>
                <w14:ligatures w14:val="none"/>
              </w:rPr>
              <w:t xml:space="preserve"> Strategic Partnerships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72857"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By segmenting suppliers based on performance, the model helps identify top-tier partners for deeper collaboration and innovation initiatives.</w:t>
            </w:r>
          </w:p>
        </w:tc>
      </w:tr>
      <w:tr w:rsidR="002B39A3" w:rsidRPr="002B39A3" w14:paraId="4E1286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BEF86"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Align Procurement with Corporate Values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0E15D" w14:textId="77777777" w:rsidR="002B39A3" w:rsidRPr="002B39A3" w:rsidRDefault="002B39A3" w:rsidP="002B39A3">
            <w:pPr>
              <w:spacing w:after="480"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feature importance analysis confirmed that ESG Score is a significant predictor, allowing Conagra to integrate these values into its sourcing and risk management strategies.</w:t>
            </w:r>
          </w:p>
        </w:tc>
      </w:tr>
    </w:tbl>
    <w:p w14:paraId="37AC7AD5"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5.2. Review Project</w:t>
      </w:r>
    </w:p>
    <w:p w14:paraId="6EF1115F"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project successfully progressed through all phases, transforming a business need into a validated predictive model. Data quality and accessibility were the primary challenges, and allocating additional time for data cleansing and governance was critical to success.</w:t>
      </w:r>
    </w:p>
    <w:p w14:paraId="31345B1B"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5.3. Determine Next Steps</w:t>
      </w:r>
    </w:p>
    <w:p w14:paraId="4097DC5F"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Based on the successful evaluation, the following next steps are recommended:</w:t>
      </w:r>
    </w:p>
    <w:p w14:paraId="1CEDFFE1" w14:textId="77777777" w:rsidR="002B39A3" w:rsidRPr="002B39A3" w:rsidRDefault="002B39A3" w:rsidP="002B39A3">
      <w:pPr>
        <w:numPr>
          <w:ilvl w:val="0"/>
          <w:numId w:val="14"/>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Proceed to Deployment</w:t>
      </w:r>
      <w:r w:rsidRPr="002B39A3">
        <w:rPr>
          <w:rFonts w:ascii="Times New Roman" w:eastAsia="Times New Roman" w:hAnsi="Times New Roman" w:cs="Times New Roman"/>
          <w:kern w:val="0"/>
          <w:sz w:val="24"/>
          <w:szCs w:val="24"/>
          <w14:ligatures w14:val="none"/>
        </w:rPr>
        <w:t xml:space="preserve">: The model is ready for </w:t>
      </w:r>
      <w:proofErr w:type="gramStart"/>
      <w:r w:rsidRPr="002B39A3">
        <w:rPr>
          <w:rFonts w:ascii="Times New Roman" w:eastAsia="Times New Roman" w:hAnsi="Times New Roman" w:cs="Times New Roman"/>
          <w:kern w:val="0"/>
          <w:sz w:val="24"/>
          <w:szCs w:val="24"/>
          <w14:ligatures w14:val="none"/>
        </w:rPr>
        <w:t>a pilot</w:t>
      </w:r>
      <w:proofErr w:type="gramEnd"/>
      <w:r w:rsidRPr="002B39A3">
        <w:rPr>
          <w:rFonts w:ascii="Times New Roman" w:eastAsia="Times New Roman" w:hAnsi="Times New Roman" w:cs="Times New Roman"/>
          <w:kern w:val="0"/>
          <w:sz w:val="24"/>
          <w:szCs w:val="24"/>
          <w14:ligatures w14:val="none"/>
        </w:rPr>
        <w:t xml:space="preserve"> deployment, involving integration of risk scores into a Power BI dashboard for the Strategic Sourcing team.</w:t>
      </w:r>
    </w:p>
    <w:p w14:paraId="717E2CA2" w14:textId="77777777" w:rsidR="002B39A3" w:rsidRPr="002B39A3" w:rsidRDefault="002B39A3" w:rsidP="002B39A3">
      <w:pPr>
        <w:numPr>
          <w:ilvl w:val="0"/>
          <w:numId w:val="14"/>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Develop a Monitoring Plan</w:t>
      </w:r>
      <w:r w:rsidRPr="002B39A3">
        <w:rPr>
          <w:rFonts w:ascii="Times New Roman" w:eastAsia="Times New Roman" w:hAnsi="Times New Roman" w:cs="Times New Roman"/>
          <w:kern w:val="0"/>
          <w:sz w:val="24"/>
          <w:szCs w:val="24"/>
          <w14:ligatures w14:val="none"/>
        </w:rPr>
        <w:t>: Establish a plan to monitor the model's performance and track for data drift, with a defined retraining schedule (e.g., quarterly).</w:t>
      </w:r>
    </w:p>
    <w:p w14:paraId="140140AB" w14:textId="5156C0E2" w:rsidR="002B39A3" w:rsidRPr="002B39A3" w:rsidRDefault="002B39A3" w:rsidP="008F0F81">
      <w:pPr>
        <w:numPr>
          <w:ilvl w:val="0"/>
          <w:numId w:val="14"/>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Expand Scope for Phase 2</w:t>
      </w:r>
      <w:r w:rsidRPr="002B39A3">
        <w:rPr>
          <w:rFonts w:ascii="Times New Roman" w:eastAsia="Times New Roman" w:hAnsi="Times New Roman" w:cs="Times New Roman"/>
          <w:kern w:val="0"/>
          <w:sz w:val="24"/>
          <w:szCs w:val="24"/>
          <w14:ligatures w14:val="none"/>
        </w:rPr>
        <w:t>: Begin planning for a second phase to include integrating real-time data and developing prescriptive analytics to recommend specific mitigation actions.</w:t>
      </w:r>
    </w:p>
    <w:p w14:paraId="0F1AAD00" w14:textId="77777777" w:rsidR="002B39A3" w:rsidRPr="002B39A3" w:rsidRDefault="002B39A3" w:rsidP="002B39A3">
      <w:pPr>
        <w:spacing w:after="100" w:afterAutospacing="1" w:line="480" w:lineRule="auto"/>
        <w:outlineLvl w:val="2"/>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Phase 6: Deployment - Embedding Intelligence into Operations</w:t>
      </w:r>
    </w:p>
    <w:p w14:paraId="0D6B9A6A"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The final phase focuses on embedding the value derived from the analysis into the organization's ongoing processes.</w:t>
      </w:r>
    </w:p>
    <w:p w14:paraId="740F9DEF" w14:textId="4F612AB2"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 xml:space="preserve">6.1. </w:t>
      </w:r>
      <w:r w:rsidR="008F0F81">
        <w:rPr>
          <w:rFonts w:ascii="Times New Roman" w:eastAsia="Times New Roman" w:hAnsi="Times New Roman" w:cs="Times New Roman"/>
          <w:b/>
          <w:bCs/>
          <w:kern w:val="0"/>
          <w:sz w:val="24"/>
          <w:szCs w:val="24"/>
          <w14:ligatures w14:val="none"/>
        </w:rPr>
        <w:t>Planning Deployment</w:t>
      </w:r>
    </w:p>
    <w:p w14:paraId="162ADA54"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A multi-faceted plan is proposed to ensure insights are accessible and utilized.</w:t>
      </w:r>
    </w:p>
    <w:p w14:paraId="05068FC7" w14:textId="77777777" w:rsidR="002B39A3" w:rsidRPr="002B39A3" w:rsidRDefault="002B39A3" w:rsidP="002B39A3">
      <w:pPr>
        <w:numPr>
          <w:ilvl w:val="0"/>
          <w:numId w:val="15"/>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Dashboard Development</w:t>
      </w:r>
      <w:r w:rsidRPr="002B39A3">
        <w:rPr>
          <w:rFonts w:ascii="Times New Roman" w:eastAsia="Times New Roman" w:hAnsi="Times New Roman" w:cs="Times New Roman"/>
          <w:kern w:val="0"/>
          <w:sz w:val="24"/>
          <w:szCs w:val="24"/>
          <w14:ligatures w14:val="none"/>
        </w:rPr>
        <w:t>: The most effective deployment method is an interactive Supplier Performance Dashboard, built into an HTML page. This dashboard will serve as the central hub for supplier intelligence, allowing managers to view the supplier base color-coded by the new segments, filter and slice data, and drill down into individual supplier performance.</w:t>
      </w:r>
    </w:p>
    <w:p w14:paraId="67C66ECD" w14:textId="77777777" w:rsidR="002B39A3" w:rsidRPr="002B39A3" w:rsidRDefault="002B39A3" w:rsidP="002B39A3">
      <w:pPr>
        <w:numPr>
          <w:ilvl w:val="0"/>
          <w:numId w:val="15"/>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Integration with Existing Programs</w:t>
      </w:r>
      <w:r w:rsidRPr="002B39A3">
        <w:rPr>
          <w:rFonts w:ascii="Times New Roman" w:eastAsia="Times New Roman" w:hAnsi="Times New Roman" w:cs="Times New Roman"/>
          <w:kern w:val="0"/>
          <w:sz w:val="24"/>
          <w:szCs w:val="24"/>
          <w14:ligatures w14:val="none"/>
        </w:rPr>
        <w:t>: The new segmentation framework and risk scores must be formally integrated into Conagra's existing supplier management governance, specifically as a core input for the Supplier Excellence Programme. This ensures that performance discussions are based on a consistent, quantitative foundation.</w:t>
      </w:r>
    </w:p>
    <w:p w14:paraId="4295A070" w14:textId="77777777" w:rsidR="002B39A3" w:rsidRPr="002B39A3" w:rsidRDefault="002B39A3" w:rsidP="002B39A3">
      <w:pPr>
        <w:numPr>
          <w:ilvl w:val="0"/>
          <w:numId w:val="15"/>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Training &amp; Rollout</w:t>
      </w:r>
      <w:r w:rsidRPr="002B39A3">
        <w:rPr>
          <w:rFonts w:ascii="Times New Roman" w:eastAsia="Times New Roman" w:hAnsi="Times New Roman" w:cs="Times New Roman"/>
          <w:kern w:val="0"/>
          <w:sz w:val="24"/>
          <w:szCs w:val="24"/>
          <w14:ligatures w14:val="none"/>
        </w:rPr>
        <w:t>: A formal rollout plan will be developed, including training sessions on the new methodology, hands-on workshops for the dashboard, and development of updated standard operating procedures (SOPs).</w:t>
      </w:r>
    </w:p>
    <w:p w14:paraId="305A06CD" w14:textId="6992D2DA" w:rsidR="008F0F81" w:rsidRPr="008F0F81"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 xml:space="preserve">6.2. </w:t>
      </w:r>
      <w:r w:rsidR="008F0F81" w:rsidRPr="008F0F81">
        <w:rPr>
          <w:rFonts w:ascii="Times New Roman" w:eastAsia="Times New Roman" w:hAnsi="Times New Roman" w:cs="Times New Roman"/>
          <w:b/>
          <w:bCs/>
          <w:kern w:val="0"/>
          <w:sz w:val="24"/>
          <w:szCs w:val="24"/>
          <w14:ligatures w14:val="none"/>
        </w:rPr>
        <w:t>Planning Monitoring and Maintenance</w:t>
      </w:r>
    </w:p>
    <w:p w14:paraId="0138CD18" w14:textId="74BA7651"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A Framework for Continuous Improvement</w:t>
      </w:r>
    </w:p>
    <w:p w14:paraId="7B20D47A"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A supplier network is a dynamic system, so the analytical model must also be dynamic.</w:t>
      </w:r>
    </w:p>
    <w:p w14:paraId="35844675" w14:textId="77777777" w:rsidR="002B39A3" w:rsidRPr="002B39A3" w:rsidRDefault="002B39A3" w:rsidP="002B39A3">
      <w:pPr>
        <w:numPr>
          <w:ilvl w:val="0"/>
          <w:numId w:val="16"/>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Model Monitoring</w:t>
      </w:r>
      <w:r w:rsidRPr="002B39A3">
        <w:rPr>
          <w:rFonts w:ascii="Times New Roman" w:eastAsia="Times New Roman" w:hAnsi="Times New Roman" w:cs="Times New Roman"/>
          <w:kern w:val="0"/>
          <w:sz w:val="24"/>
          <w:szCs w:val="24"/>
          <w14:ligatures w14:val="none"/>
        </w:rPr>
        <w:t>: The model's performance and cluster assignments of key suppliers should be monitored quarterly to ensure the segmentation remains a current reflection of reality.</w:t>
      </w:r>
    </w:p>
    <w:p w14:paraId="2E8FB85E" w14:textId="77777777" w:rsidR="002B39A3" w:rsidRPr="002B39A3" w:rsidRDefault="002B39A3" w:rsidP="002B39A3">
      <w:pPr>
        <w:numPr>
          <w:ilvl w:val="0"/>
          <w:numId w:val="16"/>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Model Retraining</w:t>
      </w:r>
      <w:r w:rsidRPr="002B39A3">
        <w:rPr>
          <w:rFonts w:ascii="Times New Roman" w:eastAsia="Times New Roman" w:hAnsi="Times New Roman" w:cs="Times New Roman"/>
          <w:kern w:val="0"/>
          <w:sz w:val="24"/>
          <w:szCs w:val="24"/>
          <w14:ligatures w14:val="none"/>
        </w:rPr>
        <w:t>: The entire K-Means clustering model should be formally retrained annually, incorporating the latest full year of performance data for all suppliers. This is essential to ensure the segment definitions remain relevant as market conditions and business strategies evolve.</w:t>
      </w:r>
    </w:p>
    <w:p w14:paraId="5AA0BB06" w14:textId="77777777" w:rsidR="002B39A3" w:rsidRPr="002B39A3" w:rsidRDefault="002B39A3" w:rsidP="002B39A3">
      <w:pPr>
        <w:numPr>
          <w:ilvl w:val="0"/>
          <w:numId w:val="16"/>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Feedback Loop</w:t>
      </w:r>
      <w:r w:rsidRPr="002B39A3">
        <w:rPr>
          <w:rFonts w:ascii="Times New Roman" w:eastAsia="Times New Roman" w:hAnsi="Times New Roman" w:cs="Times New Roman"/>
          <w:kern w:val="0"/>
          <w:sz w:val="24"/>
          <w:szCs w:val="24"/>
          <w14:ligatures w14:val="none"/>
        </w:rPr>
        <w:t>: A formal feedback mechanism will be established to allow end-users to provide input on the tool's utility and suggest improvements, creating a cycle of continuous improvement.</w:t>
      </w:r>
    </w:p>
    <w:p w14:paraId="6333BCF4" w14:textId="77777777" w:rsidR="002B39A3" w:rsidRPr="002B39A3" w:rsidRDefault="002B39A3" w:rsidP="002B39A3">
      <w:pPr>
        <w:spacing w:after="100" w:afterAutospacing="1" w:line="480" w:lineRule="auto"/>
        <w:rPr>
          <w:rFonts w:ascii="Times New Roman" w:eastAsia="Times New Roman" w:hAnsi="Times New Roman" w:cs="Times New Roman"/>
          <w:b/>
          <w:bCs/>
          <w:kern w:val="0"/>
          <w:sz w:val="24"/>
          <w:szCs w:val="24"/>
          <w14:ligatures w14:val="none"/>
        </w:rPr>
      </w:pPr>
      <w:r w:rsidRPr="002B39A3">
        <w:rPr>
          <w:rFonts w:ascii="Times New Roman" w:eastAsia="Times New Roman" w:hAnsi="Times New Roman" w:cs="Times New Roman"/>
          <w:b/>
          <w:bCs/>
          <w:kern w:val="0"/>
          <w:sz w:val="24"/>
          <w:szCs w:val="24"/>
          <w14:ligatures w14:val="none"/>
        </w:rPr>
        <w:t>6.4. Future Analytical Opportunities</w:t>
      </w:r>
    </w:p>
    <w:p w14:paraId="52E4CC6F" w14:textId="77777777" w:rsidR="002B39A3" w:rsidRPr="002B39A3" w:rsidRDefault="002B39A3" w:rsidP="002B39A3">
      <w:p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kern w:val="0"/>
          <w:sz w:val="24"/>
          <w:szCs w:val="24"/>
          <w14:ligatures w14:val="none"/>
        </w:rPr>
        <w:t>This project provides a foundation for more advanced capabilities.</w:t>
      </w:r>
    </w:p>
    <w:p w14:paraId="2E839877" w14:textId="77777777" w:rsidR="002B39A3" w:rsidRPr="002B39A3" w:rsidRDefault="002B39A3" w:rsidP="002B39A3">
      <w:pPr>
        <w:numPr>
          <w:ilvl w:val="0"/>
          <w:numId w:val="17"/>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Prescriptive Analytics</w:t>
      </w:r>
      <w:r w:rsidRPr="002B39A3">
        <w:rPr>
          <w:rFonts w:ascii="Times New Roman" w:eastAsia="Times New Roman" w:hAnsi="Times New Roman" w:cs="Times New Roman"/>
          <w:kern w:val="0"/>
          <w:sz w:val="24"/>
          <w:szCs w:val="24"/>
          <w14:ligatures w14:val="none"/>
        </w:rPr>
        <w:t>: Move beyond prediction to develop systems that recommend specific, optimized intervention strategies.</w:t>
      </w:r>
    </w:p>
    <w:p w14:paraId="097CD46A" w14:textId="77777777" w:rsidR="002B39A3" w:rsidRPr="002B39A3" w:rsidRDefault="002B39A3" w:rsidP="002B39A3">
      <w:pPr>
        <w:numPr>
          <w:ilvl w:val="0"/>
          <w:numId w:val="17"/>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lastRenderedPageBreak/>
        <w:t>Text Analytics on Innovation</w:t>
      </w:r>
      <w:r w:rsidRPr="002B39A3">
        <w:rPr>
          <w:rFonts w:ascii="Times New Roman" w:eastAsia="Times New Roman" w:hAnsi="Times New Roman" w:cs="Times New Roman"/>
          <w:kern w:val="0"/>
          <w:sz w:val="24"/>
          <w:szCs w:val="24"/>
          <w14:ligatures w14:val="none"/>
        </w:rPr>
        <w:t xml:space="preserve">: Apply Natural Language Processing (NLP) to the </w:t>
      </w:r>
      <w:proofErr w:type="spellStart"/>
      <w:r w:rsidRPr="002B39A3">
        <w:rPr>
          <w:rFonts w:ascii="Times New Roman" w:eastAsia="Times New Roman" w:hAnsi="Times New Roman" w:cs="Times New Roman"/>
          <w:kern w:val="0"/>
          <w:sz w:val="24"/>
          <w:szCs w:val="24"/>
          <w14:ligatures w14:val="none"/>
        </w:rPr>
        <w:t>InnovationContributions</w:t>
      </w:r>
      <w:proofErr w:type="spellEnd"/>
      <w:r w:rsidRPr="002B39A3">
        <w:rPr>
          <w:rFonts w:ascii="Times New Roman" w:eastAsia="Times New Roman" w:hAnsi="Times New Roman" w:cs="Times New Roman"/>
          <w:kern w:val="0"/>
          <w:sz w:val="24"/>
          <w:szCs w:val="24"/>
          <w14:ligatures w14:val="none"/>
        </w:rPr>
        <w:t xml:space="preserve"> field to automatically classify and quantify the value of supplier innovations.</w:t>
      </w:r>
    </w:p>
    <w:p w14:paraId="47E24849" w14:textId="459102BB" w:rsidR="002B39A3" w:rsidRDefault="002B39A3" w:rsidP="002B39A3">
      <w:pPr>
        <w:numPr>
          <w:ilvl w:val="0"/>
          <w:numId w:val="17"/>
        </w:numPr>
        <w:spacing w:after="100" w:afterAutospacing="1" w:line="480" w:lineRule="auto"/>
        <w:rPr>
          <w:rFonts w:ascii="Times New Roman" w:eastAsia="Times New Roman" w:hAnsi="Times New Roman" w:cs="Times New Roman"/>
          <w:kern w:val="0"/>
          <w:sz w:val="24"/>
          <w:szCs w:val="24"/>
          <w14:ligatures w14:val="none"/>
        </w:rPr>
      </w:pPr>
      <w:r w:rsidRPr="002B39A3">
        <w:rPr>
          <w:rFonts w:ascii="Times New Roman" w:eastAsia="Times New Roman" w:hAnsi="Times New Roman" w:cs="Times New Roman"/>
          <w:b/>
          <w:bCs/>
          <w:kern w:val="0"/>
          <w:sz w:val="24"/>
          <w:szCs w:val="24"/>
          <w14:ligatures w14:val="none"/>
        </w:rPr>
        <w:t>Supply Chain Network Analysis</w:t>
      </w:r>
      <w:r w:rsidRPr="002B39A3">
        <w:rPr>
          <w:rFonts w:ascii="Times New Roman" w:eastAsia="Times New Roman" w:hAnsi="Times New Roman" w:cs="Times New Roman"/>
          <w:kern w:val="0"/>
          <w:sz w:val="24"/>
          <w:szCs w:val="24"/>
          <w14:ligatures w14:val="none"/>
        </w:rPr>
        <w:t>: Model the entire supply chain as a network graph to identify hidden critical nodes and simulate the impact of disruptions, providing invaluable insights for designing a maximally resilient logistics network.</w:t>
      </w:r>
    </w:p>
    <w:p w14:paraId="5A5F7168" w14:textId="1A8E7A00" w:rsidR="00B15287" w:rsidRDefault="00B15287">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br w:type="page"/>
      </w:r>
    </w:p>
    <w:p w14:paraId="36B9B439" w14:textId="77777777" w:rsidR="00B15287" w:rsidRDefault="00B15287" w:rsidP="00B15287">
      <w:pPr>
        <w:spacing w:line="480" w:lineRule="auto"/>
        <w:jc w:val="center"/>
        <w:rPr>
          <w:rFonts w:ascii="Times New Roman" w:hAnsi="Times New Roman" w:cs="Times New Roman"/>
          <w:b/>
          <w:bCs/>
          <w:sz w:val="24"/>
          <w:szCs w:val="24"/>
        </w:rPr>
      </w:pPr>
      <w:bookmarkStart w:id="0" w:name="_Hlk197762490"/>
      <w:r w:rsidRPr="00AB556C">
        <w:rPr>
          <w:rFonts w:ascii="Times New Roman" w:hAnsi="Times New Roman" w:cs="Times New Roman"/>
          <w:b/>
          <w:bCs/>
          <w:sz w:val="24"/>
          <w:szCs w:val="24"/>
        </w:rPr>
        <w:lastRenderedPageBreak/>
        <w:t>References</w:t>
      </w:r>
    </w:p>
    <w:p w14:paraId="0D43AF26" w14:textId="77777777" w:rsidR="00B15287" w:rsidRDefault="00B15287" w:rsidP="00B15287">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Aberdeen Group </w:t>
      </w:r>
      <w:proofErr w:type="spellStart"/>
      <w:r>
        <w:rPr>
          <w:rFonts w:ascii="Times New Roman" w:hAnsi="Times New Roman" w:cs="Times New Roman"/>
          <w:sz w:val="24"/>
          <w:szCs w:val="24"/>
        </w:rPr>
        <w:t>iSource</w:t>
      </w:r>
      <w:proofErr w:type="spellEnd"/>
      <w:r>
        <w:rPr>
          <w:rFonts w:ascii="Times New Roman" w:hAnsi="Times New Roman" w:cs="Times New Roman"/>
          <w:sz w:val="24"/>
          <w:szCs w:val="24"/>
        </w:rPr>
        <w:t xml:space="preserve">. (2002, December 5). </w:t>
      </w:r>
      <w:r w:rsidRPr="001A11EA">
        <w:rPr>
          <w:rFonts w:ascii="Times New Roman" w:hAnsi="Times New Roman" w:cs="Times New Roman"/>
          <w:i/>
          <w:iCs/>
          <w:sz w:val="24"/>
          <w:szCs w:val="24"/>
        </w:rPr>
        <w:t>The Supplier Performance Measurement Benchmarking Report Measuring Supply Chain Success</w:t>
      </w:r>
      <w:r>
        <w:rPr>
          <w:rFonts w:ascii="Times New Roman" w:hAnsi="Times New Roman" w:cs="Times New Roman"/>
          <w:sz w:val="24"/>
          <w:szCs w:val="24"/>
        </w:rPr>
        <w:t xml:space="preserve">. </w:t>
      </w:r>
      <w:r w:rsidRPr="001A11EA">
        <w:rPr>
          <w:rFonts w:ascii="Times New Roman" w:hAnsi="Times New Roman" w:cs="Times New Roman"/>
          <w:sz w:val="24"/>
          <w:szCs w:val="24"/>
        </w:rPr>
        <w:t>https://www.lyonsinfo.com/wp</w:t>
      </w:r>
      <w:r>
        <w:rPr>
          <w:rFonts w:ascii="Times New Roman" w:hAnsi="Times New Roman" w:cs="Times New Roman"/>
          <w:sz w:val="24"/>
          <w:szCs w:val="24"/>
        </w:rPr>
        <w:t>-</w:t>
      </w:r>
      <w:r w:rsidRPr="001A11EA">
        <w:rPr>
          <w:rFonts w:ascii="Times New Roman" w:hAnsi="Times New Roman" w:cs="Times New Roman"/>
          <w:sz w:val="24"/>
          <w:szCs w:val="24"/>
        </w:rPr>
        <w:t>content/uploads/2024/11/Aberdeen_SPMS_Report.pdf</w:t>
      </w:r>
    </w:p>
    <w:p w14:paraId="78A3005F" w14:textId="77777777" w:rsidR="00B15287" w:rsidRDefault="00B15287" w:rsidP="00B15287">
      <w:pPr>
        <w:spacing w:line="480" w:lineRule="auto"/>
        <w:ind w:left="720" w:hanging="720"/>
        <w:rPr>
          <w:rFonts w:ascii="Times New Roman" w:hAnsi="Times New Roman" w:cs="Times New Roman"/>
          <w:sz w:val="24"/>
          <w:szCs w:val="24"/>
        </w:rPr>
      </w:pPr>
      <w:proofErr w:type="spellStart"/>
      <w:r w:rsidRPr="007B562F">
        <w:rPr>
          <w:rFonts w:ascii="Times New Roman" w:hAnsi="Times New Roman" w:cs="Times New Roman"/>
          <w:sz w:val="24"/>
          <w:szCs w:val="24"/>
        </w:rPr>
        <w:t>Asrol</w:t>
      </w:r>
      <w:proofErr w:type="spellEnd"/>
      <w:r w:rsidRPr="007B562F">
        <w:rPr>
          <w:rFonts w:ascii="Times New Roman" w:hAnsi="Times New Roman" w:cs="Times New Roman"/>
          <w:sz w:val="24"/>
          <w:szCs w:val="24"/>
        </w:rPr>
        <w:t xml:space="preserve">, M., &amp; Wahyudi, S. (2022, September). Supplier Performance Analysis in Food Industry: A Data Envelopment Analysis and Statistical Approach. In </w:t>
      </w:r>
      <w:r w:rsidRPr="007B562F">
        <w:rPr>
          <w:rFonts w:ascii="Times New Roman" w:hAnsi="Times New Roman" w:cs="Times New Roman"/>
          <w:i/>
          <w:iCs/>
          <w:sz w:val="24"/>
          <w:szCs w:val="24"/>
        </w:rPr>
        <w:t>3rd Asia Pacific International Conference on Industrial Engineering and Operations Management</w:t>
      </w:r>
      <w:r w:rsidRPr="007B562F">
        <w:rPr>
          <w:rFonts w:ascii="Times New Roman" w:hAnsi="Times New Roman" w:cs="Times New Roman"/>
          <w:sz w:val="24"/>
          <w:szCs w:val="24"/>
        </w:rPr>
        <w:t>, https://doi.org/10.46254/AP03.20220626.</w:t>
      </w:r>
    </w:p>
    <w:p w14:paraId="205225DD" w14:textId="77777777" w:rsidR="00B15287" w:rsidRPr="009E3496" w:rsidRDefault="00B15287" w:rsidP="00B15287">
      <w:pPr>
        <w:spacing w:line="480" w:lineRule="auto"/>
        <w:ind w:left="720" w:hanging="720"/>
        <w:rPr>
          <w:rFonts w:ascii="Times New Roman" w:hAnsi="Times New Roman" w:cs="Times New Roman"/>
          <w:sz w:val="24"/>
          <w:szCs w:val="24"/>
        </w:rPr>
      </w:pPr>
      <w:r w:rsidRPr="009E3496">
        <w:rPr>
          <w:rFonts w:ascii="Times New Roman" w:hAnsi="Times New Roman" w:cs="Times New Roman"/>
          <w:sz w:val="24"/>
          <w:szCs w:val="24"/>
        </w:rPr>
        <w:t xml:space="preserve">Britt, H. (2025, February 27). </w:t>
      </w:r>
      <w:r w:rsidRPr="009E3496">
        <w:rPr>
          <w:rFonts w:ascii="Times New Roman" w:hAnsi="Times New Roman" w:cs="Times New Roman"/>
          <w:i/>
          <w:iCs/>
          <w:sz w:val="24"/>
          <w:szCs w:val="24"/>
        </w:rPr>
        <w:t>7 Supplier KPIs You Should be Measuring</w:t>
      </w:r>
      <w:r w:rsidRPr="009E3496">
        <w:rPr>
          <w:rFonts w:ascii="Times New Roman" w:hAnsi="Times New Roman" w:cs="Times New Roman"/>
          <w:sz w:val="24"/>
          <w:szCs w:val="24"/>
        </w:rPr>
        <w:t>. Una. https://una.com/resources/article/7-supplier-kpis-you-should-be-measuring/</w:t>
      </w:r>
    </w:p>
    <w:p w14:paraId="0A8351C0" w14:textId="77777777" w:rsidR="00B15287" w:rsidRDefault="00B15287" w:rsidP="00B15287">
      <w:pPr>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Conagra Brand (2025, May 2). </w:t>
      </w:r>
      <w:r w:rsidRPr="00E50E2E">
        <w:rPr>
          <w:rFonts w:ascii="Times New Roman" w:hAnsi="Times New Roman" w:cs="Times New Roman"/>
          <w:i/>
          <w:iCs/>
          <w:sz w:val="24"/>
          <w:szCs w:val="24"/>
        </w:rPr>
        <w:t>Suppliers &amp; Retailers</w:t>
      </w:r>
      <w:r>
        <w:rPr>
          <w:rFonts w:ascii="Times New Roman" w:hAnsi="Times New Roman" w:cs="Times New Roman"/>
          <w:i/>
          <w:iCs/>
          <w:sz w:val="24"/>
          <w:szCs w:val="24"/>
        </w:rPr>
        <w:t>.</w:t>
      </w:r>
      <w:r w:rsidRPr="00E50E2E">
        <w:rPr>
          <w:rFonts w:ascii="Times New Roman" w:hAnsi="Times New Roman" w:cs="Times New Roman"/>
          <w:sz w:val="24"/>
          <w:szCs w:val="24"/>
        </w:rPr>
        <w:t xml:space="preserve"> SUPPLIER DOCUMENT CENTER</w:t>
      </w:r>
      <w:r>
        <w:rPr>
          <w:rFonts w:ascii="Times New Roman" w:hAnsi="Times New Roman" w:cs="Times New Roman"/>
          <w:sz w:val="24"/>
          <w:szCs w:val="24"/>
        </w:rPr>
        <w:t xml:space="preserve">. </w:t>
      </w:r>
      <w:hyperlink r:id="rId7" w:history="1">
        <w:r w:rsidRPr="00D63BAF">
          <w:rPr>
            <w:rStyle w:val="Hyperlink"/>
            <w:rFonts w:ascii="Times New Roman" w:hAnsi="Times New Roman" w:cs="Times New Roman"/>
            <w:sz w:val="24"/>
            <w:szCs w:val="24"/>
          </w:rPr>
          <w:t>https://www.conagrabrands.com/our-company/supplier-resources</w:t>
        </w:r>
      </w:hyperlink>
    </w:p>
    <w:p w14:paraId="6AE3EAA5" w14:textId="77777777" w:rsidR="00B15287" w:rsidRPr="00E50E2E" w:rsidRDefault="00B15287" w:rsidP="00B15287">
      <w:pPr>
        <w:spacing w:line="480" w:lineRule="auto"/>
        <w:ind w:left="720" w:hanging="720"/>
        <w:rPr>
          <w:rFonts w:ascii="Times New Roman" w:hAnsi="Times New Roman" w:cs="Times New Roman"/>
          <w:sz w:val="24"/>
          <w:szCs w:val="24"/>
        </w:rPr>
      </w:pPr>
      <w:r w:rsidRPr="00E50E2E">
        <w:rPr>
          <w:rFonts w:ascii="Times New Roman" w:hAnsi="Times New Roman" w:cs="Times New Roman"/>
          <w:sz w:val="24"/>
          <w:szCs w:val="24"/>
        </w:rPr>
        <w:t xml:space="preserve">Mukherjee, A. (2023, May 31). </w:t>
      </w:r>
      <w:r w:rsidRPr="00E50E2E">
        <w:rPr>
          <w:rFonts w:ascii="Times New Roman" w:hAnsi="Times New Roman" w:cs="Times New Roman"/>
          <w:i/>
          <w:iCs/>
          <w:sz w:val="24"/>
          <w:szCs w:val="24"/>
        </w:rPr>
        <w:t>The implementation of e-logistics in supply chain operations</w:t>
      </w:r>
      <w:r w:rsidRPr="00E50E2E">
        <w:rPr>
          <w:rFonts w:ascii="Times New Roman" w:hAnsi="Times New Roman" w:cs="Times New Roman"/>
          <w:sz w:val="24"/>
          <w:szCs w:val="24"/>
        </w:rPr>
        <w:t>. New SCMR.</w:t>
      </w:r>
      <w:r>
        <w:rPr>
          <w:rFonts w:ascii="Times New Roman" w:hAnsi="Times New Roman" w:cs="Times New Roman"/>
          <w:sz w:val="24"/>
          <w:szCs w:val="24"/>
        </w:rPr>
        <w:t xml:space="preserve"> </w:t>
      </w:r>
      <w:r w:rsidRPr="00E50E2E">
        <w:rPr>
          <w:rFonts w:ascii="Times New Roman" w:hAnsi="Times New Roman" w:cs="Times New Roman"/>
          <w:sz w:val="24"/>
          <w:szCs w:val="24"/>
        </w:rPr>
        <w:t>https://www.scmr.com/article/the_implementation_of_e_logistics_in_supply_chain_operations</w:t>
      </w:r>
    </w:p>
    <w:p w14:paraId="44ADA91D" w14:textId="77777777" w:rsidR="00B15287" w:rsidRPr="00E50E2E" w:rsidRDefault="00B15287" w:rsidP="00B15287">
      <w:pPr>
        <w:spacing w:line="480" w:lineRule="auto"/>
        <w:ind w:left="720" w:hanging="720"/>
        <w:rPr>
          <w:rFonts w:ascii="Times New Roman" w:hAnsi="Times New Roman" w:cs="Times New Roman"/>
          <w:sz w:val="24"/>
          <w:szCs w:val="24"/>
        </w:rPr>
      </w:pPr>
      <w:r w:rsidRPr="00E50E2E">
        <w:rPr>
          <w:rFonts w:ascii="Times New Roman" w:hAnsi="Times New Roman" w:cs="Times New Roman"/>
          <w:sz w:val="24"/>
          <w:szCs w:val="24"/>
        </w:rPr>
        <w:t xml:space="preserve">Saci, S. (2025, April 15). 22 Impacting projects to start your data science for supply chain journey | TDS Archive. </w:t>
      </w:r>
      <w:r w:rsidRPr="00E50E2E">
        <w:rPr>
          <w:rFonts w:ascii="Times New Roman" w:hAnsi="Times New Roman" w:cs="Times New Roman"/>
          <w:i/>
          <w:iCs/>
          <w:sz w:val="24"/>
          <w:szCs w:val="24"/>
        </w:rPr>
        <w:t>Medium</w:t>
      </w:r>
      <w:r w:rsidRPr="00E50E2E">
        <w:rPr>
          <w:rFonts w:ascii="Times New Roman" w:hAnsi="Times New Roman" w:cs="Times New Roman"/>
          <w:sz w:val="24"/>
          <w:szCs w:val="24"/>
        </w:rPr>
        <w:t>. https://medium.com/data-science/4-impacting-projects-to-start-your-data-science-for-supply-chain-journey-fe068e503c29</w:t>
      </w:r>
    </w:p>
    <w:p w14:paraId="553D8A09" w14:textId="77777777" w:rsidR="00B15287" w:rsidRPr="003B0655" w:rsidRDefault="00B15287" w:rsidP="00B15287">
      <w:pPr>
        <w:spacing w:line="480" w:lineRule="auto"/>
        <w:ind w:left="720" w:hanging="720"/>
        <w:rPr>
          <w:rFonts w:ascii="Times New Roman" w:hAnsi="Times New Roman" w:cs="Times New Roman"/>
          <w:sz w:val="24"/>
          <w:szCs w:val="24"/>
        </w:rPr>
      </w:pPr>
      <w:proofErr w:type="spellStart"/>
      <w:r w:rsidRPr="00E50E2E">
        <w:rPr>
          <w:rFonts w:ascii="Times New Roman" w:hAnsi="Times New Roman" w:cs="Times New Roman"/>
          <w:sz w:val="24"/>
          <w:szCs w:val="24"/>
        </w:rPr>
        <w:lastRenderedPageBreak/>
        <w:t>SourceDogg</w:t>
      </w:r>
      <w:proofErr w:type="spellEnd"/>
      <w:r w:rsidRPr="00E50E2E">
        <w:rPr>
          <w:rFonts w:ascii="Times New Roman" w:hAnsi="Times New Roman" w:cs="Times New Roman"/>
          <w:sz w:val="24"/>
          <w:szCs w:val="24"/>
        </w:rPr>
        <w:t xml:space="preserve">. (2023, October 27). </w:t>
      </w:r>
      <w:r w:rsidRPr="00E50E2E">
        <w:rPr>
          <w:rFonts w:ascii="Times New Roman" w:hAnsi="Times New Roman" w:cs="Times New Roman"/>
          <w:i/>
          <w:iCs/>
          <w:sz w:val="24"/>
          <w:szCs w:val="24"/>
        </w:rPr>
        <w:t>Benchmarking data in food production supplier management</w:t>
      </w:r>
      <w:r w:rsidRPr="00E50E2E">
        <w:rPr>
          <w:rFonts w:ascii="Times New Roman" w:hAnsi="Times New Roman" w:cs="Times New Roman"/>
          <w:sz w:val="24"/>
          <w:szCs w:val="24"/>
        </w:rPr>
        <w:t xml:space="preserve">. </w:t>
      </w:r>
      <w:proofErr w:type="spellStart"/>
      <w:r w:rsidRPr="00E50E2E">
        <w:rPr>
          <w:rFonts w:ascii="Times New Roman" w:hAnsi="Times New Roman" w:cs="Times New Roman"/>
          <w:sz w:val="24"/>
          <w:szCs w:val="24"/>
        </w:rPr>
        <w:t>SourceDogg</w:t>
      </w:r>
      <w:proofErr w:type="spellEnd"/>
      <w:r w:rsidRPr="00E50E2E">
        <w:rPr>
          <w:rFonts w:ascii="Times New Roman" w:hAnsi="Times New Roman" w:cs="Times New Roman"/>
          <w:sz w:val="24"/>
          <w:szCs w:val="24"/>
        </w:rPr>
        <w:t>. https://www.sourcedogg.com/insight/food-production/benchmarking-data-in-food-production-supplier-management/</w:t>
      </w:r>
      <w:bookmarkEnd w:id="0"/>
    </w:p>
    <w:p w14:paraId="66EB15F5" w14:textId="77777777" w:rsidR="00B15287" w:rsidRPr="002B39A3" w:rsidRDefault="00B15287" w:rsidP="00B15287">
      <w:pPr>
        <w:spacing w:after="100" w:afterAutospacing="1" w:line="480" w:lineRule="auto"/>
        <w:rPr>
          <w:rFonts w:ascii="Times New Roman" w:eastAsia="Times New Roman" w:hAnsi="Times New Roman" w:cs="Times New Roman"/>
          <w:kern w:val="0"/>
          <w:sz w:val="24"/>
          <w:szCs w:val="24"/>
          <w14:ligatures w14:val="none"/>
        </w:rPr>
      </w:pPr>
    </w:p>
    <w:sectPr w:rsidR="00B15287" w:rsidRPr="002B39A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BBB6" w14:textId="77777777" w:rsidR="000F7435" w:rsidRDefault="000F7435" w:rsidP="00EB02AA">
      <w:pPr>
        <w:spacing w:after="0" w:line="240" w:lineRule="auto"/>
      </w:pPr>
      <w:r>
        <w:separator/>
      </w:r>
    </w:p>
  </w:endnote>
  <w:endnote w:type="continuationSeparator" w:id="0">
    <w:p w14:paraId="690387DB" w14:textId="77777777" w:rsidR="000F7435" w:rsidRDefault="000F7435" w:rsidP="00EB0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721330"/>
      <w:docPartObj>
        <w:docPartGallery w:val="Page Numbers (Bottom of Page)"/>
        <w:docPartUnique/>
      </w:docPartObj>
    </w:sdtPr>
    <w:sdtEndPr>
      <w:rPr>
        <w:rFonts w:ascii="Times New Roman" w:hAnsi="Times New Roman" w:cs="Times New Roman"/>
        <w:noProof/>
      </w:rPr>
    </w:sdtEndPr>
    <w:sdtContent>
      <w:p w14:paraId="53E22216" w14:textId="7262CCF4" w:rsidR="00EB02AA" w:rsidRPr="00EB02AA" w:rsidRDefault="00EB02AA">
        <w:pPr>
          <w:pStyle w:val="Footer"/>
          <w:jc w:val="right"/>
          <w:rPr>
            <w:rFonts w:ascii="Times New Roman" w:hAnsi="Times New Roman" w:cs="Times New Roman"/>
          </w:rPr>
        </w:pPr>
        <w:r w:rsidRPr="00EB02AA">
          <w:rPr>
            <w:rFonts w:ascii="Times New Roman" w:hAnsi="Times New Roman" w:cs="Times New Roman"/>
          </w:rPr>
          <w:fldChar w:fldCharType="begin"/>
        </w:r>
        <w:r w:rsidRPr="00EB02AA">
          <w:rPr>
            <w:rFonts w:ascii="Times New Roman" w:hAnsi="Times New Roman" w:cs="Times New Roman"/>
          </w:rPr>
          <w:instrText xml:space="preserve"> PAGE   \* MERGEFORMAT </w:instrText>
        </w:r>
        <w:r w:rsidRPr="00EB02AA">
          <w:rPr>
            <w:rFonts w:ascii="Times New Roman" w:hAnsi="Times New Roman" w:cs="Times New Roman"/>
          </w:rPr>
          <w:fldChar w:fldCharType="separate"/>
        </w:r>
        <w:r w:rsidRPr="00EB02AA">
          <w:rPr>
            <w:rFonts w:ascii="Times New Roman" w:hAnsi="Times New Roman" w:cs="Times New Roman"/>
            <w:noProof/>
          </w:rPr>
          <w:t>2</w:t>
        </w:r>
        <w:r w:rsidRPr="00EB02AA">
          <w:rPr>
            <w:rFonts w:ascii="Times New Roman" w:hAnsi="Times New Roman" w:cs="Times New Roman"/>
            <w:noProof/>
          </w:rPr>
          <w:fldChar w:fldCharType="end"/>
        </w:r>
      </w:p>
    </w:sdtContent>
  </w:sdt>
  <w:p w14:paraId="6C37B4A9" w14:textId="77777777" w:rsidR="00EB02AA" w:rsidRDefault="00EB02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E9CB7" w14:textId="77777777" w:rsidR="000F7435" w:rsidRDefault="000F7435" w:rsidP="00EB02AA">
      <w:pPr>
        <w:spacing w:after="0" w:line="240" w:lineRule="auto"/>
      </w:pPr>
      <w:r>
        <w:separator/>
      </w:r>
    </w:p>
  </w:footnote>
  <w:footnote w:type="continuationSeparator" w:id="0">
    <w:p w14:paraId="1914D5F2" w14:textId="77777777" w:rsidR="000F7435" w:rsidRDefault="000F7435" w:rsidP="00EB02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53F07"/>
    <w:multiLevelType w:val="multilevel"/>
    <w:tmpl w:val="80C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F535C"/>
    <w:multiLevelType w:val="multilevel"/>
    <w:tmpl w:val="83A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72E26"/>
    <w:multiLevelType w:val="multilevel"/>
    <w:tmpl w:val="64B6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249A8"/>
    <w:multiLevelType w:val="multilevel"/>
    <w:tmpl w:val="D5C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347E1"/>
    <w:multiLevelType w:val="multilevel"/>
    <w:tmpl w:val="995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D70D5B"/>
    <w:multiLevelType w:val="multilevel"/>
    <w:tmpl w:val="33C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62098"/>
    <w:multiLevelType w:val="multilevel"/>
    <w:tmpl w:val="2A0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4411F"/>
    <w:multiLevelType w:val="multilevel"/>
    <w:tmpl w:val="19D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B7F8A"/>
    <w:multiLevelType w:val="multilevel"/>
    <w:tmpl w:val="41F0F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44C41"/>
    <w:multiLevelType w:val="multilevel"/>
    <w:tmpl w:val="195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91B4E"/>
    <w:multiLevelType w:val="multilevel"/>
    <w:tmpl w:val="76C8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73E6E"/>
    <w:multiLevelType w:val="multilevel"/>
    <w:tmpl w:val="78887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B721EC"/>
    <w:multiLevelType w:val="multilevel"/>
    <w:tmpl w:val="28D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40F51"/>
    <w:multiLevelType w:val="multilevel"/>
    <w:tmpl w:val="A5A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C44C0"/>
    <w:multiLevelType w:val="multilevel"/>
    <w:tmpl w:val="8FB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34A2A"/>
    <w:multiLevelType w:val="multilevel"/>
    <w:tmpl w:val="D7C4F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A964C7"/>
    <w:multiLevelType w:val="multilevel"/>
    <w:tmpl w:val="CE70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9629171">
    <w:abstractNumId w:val="1"/>
  </w:num>
  <w:num w:numId="2" w16cid:durableId="782725415">
    <w:abstractNumId w:val="8"/>
  </w:num>
  <w:num w:numId="3" w16cid:durableId="1046838002">
    <w:abstractNumId w:val="5"/>
  </w:num>
  <w:num w:numId="4" w16cid:durableId="859928824">
    <w:abstractNumId w:val="15"/>
  </w:num>
  <w:num w:numId="5" w16cid:durableId="1085539173">
    <w:abstractNumId w:val="3"/>
  </w:num>
  <w:num w:numId="6" w16cid:durableId="994183031">
    <w:abstractNumId w:val="14"/>
  </w:num>
  <w:num w:numId="7" w16cid:durableId="1507016189">
    <w:abstractNumId w:val="4"/>
  </w:num>
  <w:num w:numId="8" w16cid:durableId="1357316660">
    <w:abstractNumId w:val="10"/>
  </w:num>
  <w:num w:numId="9" w16cid:durableId="1629629153">
    <w:abstractNumId w:val="2"/>
  </w:num>
  <w:num w:numId="10" w16cid:durableId="178587042">
    <w:abstractNumId w:val="7"/>
  </w:num>
  <w:num w:numId="11" w16cid:durableId="1127895052">
    <w:abstractNumId w:val="6"/>
  </w:num>
  <w:num w:numId="12" w16cid:durableId="1912157819">
    <w:abstractNumId w:val="16"/>
  </w:num>
  <w:num w:numId="13" w16cid:durableId="521895716">
    <w:abstractNumId w:val="12"/>
  </w:num>
  <w:num w:numId="14" w16cid:durableId="372851477">
    <w:abstractNumId w:val="11"/>
  </w:num>
  <w:num w:numId="15" w16cid:durableId="503663639">
    <w:abstractNumId w:val="9"/>
  </w:num>
  <w:num w:numId="16" w16cid:durableId="827014037">
    <w:abstractNumId w:val="13"/>
  </w:num>
  <w:num w:numId="17" w16cid:durableId="34105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A3"/>
    <w:rsid w:val="000F7435"/>
    <w:rsid w:val="002B39A3"/>
    <w:rsid w:val="003245E5"/>
    <w:rsid w:val="00776354"/>
    <w:rsid w:val="008F0F81"/>
    <w:rsid w:val="00AC2C62"/>
    <w:rsid w:val="00B15287"/>
    <w:rsid w:val="00BB4F44"/>
    <w:rsid w:val="00EB0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9111"/>
  <w15:chartTrackingRefBased/>
  <w15:docId w15:val="{F3D5BA8E-7CE4-4FD7-A528-A6882B32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9A3"/>
  </w:style>
  <w:style w:type="paragraph" w:styleId="Heading1">
    <w:name w:val="heading 1"/>
    <w:basedOn w:val="Normal"/>
    <w:next w:val="Normal"/>
    <w:link w:val="Heading1Char"/>
    <w:uiPriority w:val="9"/>
    <w:qFormat/>
    <w:rsid w:val="002B3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9A3"/>
    <w:rPr>
      <w:rFonts w:eastAsiaTheme="majorEastAsia" w:cstheme="majorBidi"/>
      <w:color w:val="272727" w:themeColor="text1" w:themeTint="D8"/>
    </w:rPr>
  </w:style>
  <w:style w:type="paragraph" w:styleId="Title">
    <w:name w:val="Title"/>
    <w:basedOn w:val="Normal"/>
    <w:next w:val="Normal"/>
    <w:link w:val="TitleChar"/>
    <w:uiPriority w:val="10"/>
    <w:qFormat/>
    <w:rsid w:val="002B3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9A3"/>
    <w:pPr>
      <w:spacing w:before="160"/>
      <w:jc w:val="center"/>
    </w:pPr>
    <w:rPr>
      <w:i/>
      <w:iCs/>
      <w:color w:val="404040" w:themeColor="text1" w:themeTint="BF"/>
    </w:rPr>
  </w:style>
  <w:style w:type="character" w:customStyle="1" w:styleId="QuoteChar">
    <w:name w:val="Quote Char"/>
    <w:basedOn w:val="DefaultParagraphFont"/>
    <w:link w:val="Quote"/>
    <w:uiPriority w:val="29"/>
    <w:rsid w:val="002B39A3"/>
    <w:rPr>
      <w:i/>
      <w:iCs/>
      <w:color w:val="404040" w:themeColor="text1" w:themeTint="BF"/>
    </w:rPr>
  </w:style>
  <w:style w:type="paragraph" w:styleId="ListParagraph">
    <w:name w:val="List Paragraph"/>
    <w:basedOn w:val="Normal"/>
    <w:uiPriority w:val="34"/>
    <w:qFormat/>
    <w:rsid w:val="002B39A3"/>
    <w:pPr>
      <w:ind w:left="720"/>
      <w:contextualSpacing/>
    </w:pPr>
  </w:style>
  <w:style w:type="character" w:styleId="IntenseEmphasis">
    <w:name w:val="Intense Emphasis"/>
    <w:basedOn w:val="DefaultParagraphFont"/>
    <w:uiPriority w:val="21"/>
    <w:qFormat/>
    <w:rsid w:val="002B39A3"/>
    <w:rPr>
      <w:i/>
      <w:iCs/>
      <w:color w:val="0F4761" w:themeColor="accent1" w:themeShade="BF"/>
    </w:rPr>
  </w:style>
  <w:style w:type="paragraph" w:styleId="IntenseQuote">
    <w:name w:val="Intense Quote"/>
    <w:basedOn w:val="Normal"/>
    <w:next w:val="Normal"/>
    <w:link w:val="IntenseQuoteChar"/>
    <w:uiPriority w:val="30"/>
    <w:qFormat/>
    <w:rsid w:val="002B3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9A3"/>
    <w:rPr>
      <w:i/>
      <w:iCs/>
      <w:color w:val="0F4761" w:themeColor="accent1" w:themeShade="BF"/>
    </w:rPr>
  </w:style>
  <w:style w:type="character" w:styleId="IntenseReference">
    <w:name w:val="Intense Reference"/>
    <w:basedOn w:val="DefaultParagraphFont"/>
    <w:uiPriority w:val="32"/>
    <w:qFormat/>
    <w:rsid w:val="002B39A3"/>
    <w:rPr>
      <w:b/>
      <w:bCs/>
      <w:smallCaps/>
      <w:color w:val="0F4761" w:themeColor="accent1" w:themeShade="BF"/>
      <w:spacing w:val="5"/>
    </w:rPr>
  </w:style>
  <w:style w:type="paragraph" w:styleId="NoSpacing">
    <w:name w:val="No Spacing"/>
    <w:uiPriority w:val="1"/>
    <w:qFormat/>
    <w:rsid w:val="002B39A3"/>
    <w:pPr>
      <w:spacing w:after="0" w:line="240" w:lineRule="auto"/>
    </w:pPr>
  </w:style>
  <w:style w:type="character" w:styleId="Hyperlink">
    <w:name w:val="Hyperlink"/>
    <w:basedOn w:val="DefaultParagraphFont"/>
    <w:uiPriority w:val="99"/>
    <w:unhideWhenUsed/>
    <w:rsid w:val="00B15287"/>
    <w:rPr>
      <w:color w:val="467886" w:themeColor="hyperlink"/>
      <w:u w:val="single"/>
    </w:rPr>
  </w:style>
  <w:style w:type="paragraph" w:styleId="Header">
    <w:name w:val="header"/>
    <w:basedOn w:val="Normal"/>
    <w:link w:val="HeaderChar"/>
    <w:uiPriority w:val="99"/>
    <w:unhideWhenUsed/>
    <w:rsid w:val="00EB0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2AA"/>
  </w:style>
  <w:style w:type="paragraph" w:styleId="Footer">
    <w:name w:val="footer"/>
    <w:basedOn w:val="Normal"/>
    <w:link w:val="FooterChar"/>
    <w:uiPriority w:val="99"/>
    <w:unhideWhenUsed/>
    <w:rsid w:val="00EB0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onagrabrands.com/our-company/supplier-resour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23</Pages>
  <Words>3666</Words>
  <Characters>20902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Paulette Wolfe</dc:creator>
  <cp:keywords/>
  <dc:description/>
  <cp:lastModifiedBy>Paulette Wolfe</cp:lastModifiedBy>
  <cp:revision>1</cp:revision>
  <dcterms:created xsi:type="dcterms:W3CDTF">2025-08-02T14:51:00Z</dcterms:created>
  <dcterms:modified xsi:type="dcterms:W3CDTF">2025-08-02T15:25:00Z</dcterms:modified>
</cp:coreProperties>
</file>