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58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tblGridChange w:id="0">
          <w:tblGrid>
            <w:gridCol w:w="2942"/>
            <w:gridCol w:w="2943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+ Fecha Multa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Cliente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+ Nombre Credito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Cuota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Monto Cuota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Monto multa (0.03)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monto de la multa se irá actualizando de manera diaria al finalizar el día(23:59).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 monto total de la multa se añadirá al monto total de la cuota, este se calcula usando el monto de la deuda y de la cuota.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 porcentaje de deuda será 0.03 diario acumulable del monto total a pagar.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1A081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bAUi/6OLurkQLhjLwbTFGoiDwg==">AMUW2mU3RlDpyWjx3nFCvnbqwzStlbx65/Bl8edJAIrizcMr3/iz363OHTeW+B62fH/PiirFF4LuxTt91z7ojYgGSZEkG4FT0Mk1XHUDOg6eDsohS4fZK4o=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2022-06-29T13:58:00Z</dcterms:created>
  <dc:creator>MAICKOL ALEXANDER NÚÑEZ VIDAL</dc:creator>
</cp:coreProperties>
</file>