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9.png" ContentType="image/png"/>
  <Override PartName="/word/media/rId52.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4" w:name="notes"/>
    <w:p>
      <w:pPr>
        <w:pStyle w:val="Heading1"/>
      </w:pPr>
      <w:r>
        <w:t xml:space="preserve">Notes</w:t>
      </w:r>
    </w:p>
    <w:p>
      <w:pPr>
        <w:pStyle w:val="Compact"/>
        <w:numPr>
          <w:ilvl w:val="0"/>
          <w:numId w:val="1001"/>
        </w:numPr>
      </w:pPr>
      <w:r>
        <w:t xml:space="preserve">Journal:</w:t>
      </w:r>
      <w:r>
        <w:t xml:space="preserve"> </w:t>
      </w:r>
      <w:hyperlink r:id="rId21">
        <w:r>
          <w:rPr>
            <w:rStyle w:val="Hyperlink"/>
          </w:rPr>
          <w:t xml:space="preserve">Population Health Metrics, BMC</w:t>
        </w:r>
      </w:hyperlink>
    </w:p>
    <w:p>
      <w:pPr>
        <w:pStyle w:val="Compact"/>
        <w:numPr>
          <w:ilvl w:val="0"/>
          <w:numId w:val="1001"/>
        </w:numPr>
      </w:pPr>
      <w:r>
        <w:t xml:space="preserve">Using</w:t>
      </w:r>
      <w:r>
        <w:t xml:space="preserve"> </w:t>
      </w:r>
      <w:hyperlink r:id="rId22">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3">
        <w:r>
          <w:rPr>
            <w:rStyle w:val="Hyperlink"/>
          </w:rPr>
          <w:t xml:space="preserve">raRoB tool</w:t>
        </w:r>
      </w:hyperlink>
      <w:r>
        <w:t xml:space="preserve"> </w:t>
      </w:r>
      <w:r>
        <w:t xml:space="preserve">for Risk of Bias Assessment</w:t>
      </w:r>
    </w:p>
    <w:bookmarkEnd w:id="24"/>
    <w:bookmarkStart w:id="25" w:name="abstract"/>
    <w:p>
      <w:pPr>
        <w:pStyle w:val="Heading1"/>
      </w:pPr>
      <w:r>
        <w:t xml:space="preserve">Abstract</w:t>
      </w:r>
    </w:p>
    <w:p>
      <w:r>
        <w:br w:type="page"/>
      </w:r>
    </w:p>
    <w:bookmarkEnd w:id="25"/>
    <w:bookmarkStart w:id="27"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6">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have predominantly relied on the foundational study by Lanphear et al. (2005), a pooled analysis of seven cohort-studies, or subsequent re-analyses of the same data</w:t>
      </w:r>
      <w:r>
        <w:t xml:space="preserve"> </w:t>
      </w:r>
      <w:r>
        <w:t xml:space="preserve">(16,24)</w:t>
      </w:r>
      <w:r>
        <w:t xml:space="preserve">.</w:t>
      </w:r>
      <w:r>
        <w:t xml:space="preserve"> </w:t>
      </w:r>
      <w:r>
        <w:t xml:space="preserve">While this landmark studies has substantially shaped research and policy on childhood lead exposure, methodological issues and errors have been raised</w:t>
      </w:r>
      <w:r>
        <w:t xml:space="preserve"> </w:t>
      </w:r>
      <w:r>
        <w:t xml:space="preserve">(24,25)</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(26)</w:t>
      </w:r>
      <w:r>
        <w:t xml:space="preserve">.</w:t>
      </w:r>
      <w:r>
        <w:t xml:space="preserve"> </w:t>
      </w:r>
      <w:r>
        <w:t xml:space="preserve">Unlike frequentist confidence intervals, which are often misinterpreted as probabilistic</w:t>
      </w:r>
      <w:r>
        <w:t xml:space="preserve"> </w:t>
      </w:r>
      <w:r>
        <w:t xml:space="preserve">(27)</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7"/>
    <w:bookmarkStart w:id="43" w:name="methods"/>
    <w:p>
      <w:pPr>
        <w:pStyle w:val="Heading1"/>
      </w:pPr>
      <w:r>
        <w:t xml:space="preserve">2. Methods</w:t>
      </w:r>
    </w:p>
    <w:p>
      <w:pPr>
        <w:pStyle w:val="Compact"/>
        <w:numPr>
          <w:ilvl w:val="0"/>
          <w:numId w:val="1002"/>
        </w:numPr>
      </w:pPr>
      <w:r>
        <w:t xml:space="preserve">Overview: systematic review and meta-analysis, comparing a frequentist to a Bayesian approach</w:t>
      </w:r>
    </w:p>
    <w:p>
      <w:pPr>
        <w:pStyle w:val="Compact"/>
        <w:numPr>
          <w:ilvl w:val="0"/>
          <w:numId w:val="1003"/>
        </w:numPr>
      </w:pPr>
      <w:r>
        <w:t xml:space="preserve">Inclusion &amp; exclusion criteria, databases, search strategy, screening process</w:t>
      </w:r>
    </w:p>
    <w:p>
      <w:pPr>
        <w:pStyle w:val="Compact"/>
        <w:numPr>
          <w:ilvl w:val="0"/>
          <w:numId w:val="1004"/>
        </w:numPr>
      </w:pPr>
      <w:r>
        <w:t xml:space="preserve">Risk of bias analysis method</w:t>
      </w:r>
    </w:p>
    <w:p>
      <w:pPr>
        <w:pStyle w:val="Compact"/>
        <w:numPr>
          <w:ilvl w:val="0"/>
          <w:numId w:val="1005"/>
        </w:numPr>
      </w:pPr>
      <w:r>
        <w:t xml:space="preserve">Description &amp; rationale of harmonization of reported effect measures</w:t>
      </w:r>
    </w:p>
    <w:p>
      <w:pPr>
        <w:pStyle w:val="Compact"/>
        <w:numPr>
          <w:ilvl w:val="0"/>
          <w:numId w:val="1006"/>
        </w:numPr>
      </w:pPr>
      <w:r>
        <w:t xml:space="preserve">Description of meta-analysis methodology (frequentist &amp; Bayesian), models and software used, heterogeneity identification, prior choice</w:t>
      </w:r>
    </w:p>
    <w:p>
      <w:pPr>
        <w:pStyle w:val="Compact"/>
        <w:numPr>
          <w:ilvl w:val="0"/>
          <w:numId w:val="1007"/>
        </w:numPr>
      </w:pPr>
      <w:r>
        <w:t xml:space="preserve">Sensitivity analysis</w:t>
      </w:r>
      <w:r>
        <w:br/>
      </w:r>
    </w:p>
    <w:bookmarkStart w:id="29"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(28)</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(29)</w:t>
      </w:r>
      <w:r>
        <w:t xml:space="preserve">.</w:t>
      </w:r>
      <w:r>
        <w:br/>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8">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be conducted at the same time.</w:t>
      </w:r>
      <w:r>
        <w:t xml:space="preserve"> </w:t>
      </w:r>
      <w:r>
        <w:t xml:space="preserve">Descriptive study data was extracted using a grid based on the one proposed by NTP OHAT</w:t>
      </w:r>
      <w:r>
        <w:t xml:space="preserve"> </w:t>
      </w:r>
      <w:r>
        <w:t xml:space="preserve">(30)</w:t>
      </w:r>
      <w:r>
        <w:t xml:space="preserve">.</w:t>
      </w:r>
      <w:r>
        <w:t xml:space="preserve"> </w:t>
      </w:r>
      <w:r>
        <w:t xml:space="preserve">For all included studies, effect estimates from the most-adjusted model were extracted and the set of confounders adjused for recorded.</w:t>
      </w:r>
    </w:p>
    <w:bookmarkEnd w:id="29"/>
    <w:bookmarkStart w:id="30"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(31)</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provided by the RoB tool (for more information, see</w:t>
      </w:r>
      <w:r>
        <w:t xml:space="preserve"> </w:t>
      </w:r>
      <w:r>
        <w:t xml:space="preserve">(31)</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0"/>
    <w:bookmarkStart w:id="32"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(32,33)</w:t>
      </w:r>
      <w:r>
        <w:t xml:space="preserve">, this assumption may only be valid at very low concentrations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(24,34)</w:t>
      </w:r>
      <w:r>
        <w:t xml:space="preserve">.</w:t>
      </w:r>
    </w:p>
    <w:p>
      <w:pPr>
        <w:pStyle w:val="BodyText"/>
      </w:pPr>
      <w:r>
        <w:t xml:space="preserve">The general form of regression model used for a log-linear association is:</w:t>
      </w:r>
    </w:p>
    <w:p>
      <w:pPr>
        <w:pStyle w:val="BodyText"/>
      </w:pPr>
      <w:bookmarkStart w:id="31"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1"/>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2 (Screening documentation excel)</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(supplement: plots?).</w:t>
      </w:r>
    </w:p>
    <w:bookmarkEnd w:id="32"/>
    <w:bookmarkStart w:id="39"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In both approaches, the same effect estimates from the identified publications were included and analogous models were chosen to enable comparison between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blood lead concentration (µg/dL).</w:t>
      </w:r>
      <w:r>
        <w:br/>
      </w:r>
      <w:r>
        <w:t xml:space="preserve">R version 4.4.2 (2024-10-31)</w:t>
      </w:r>
      <w:r>
        <w:t xml:space="preserve"> </w:t>
      </w:r>
      <w:r>
        <w:t xml:space="preserve">(35)</w:t>
      </w:r>
      <w:r>
        <w:t xml:space="preserve"> </w:t>
      </w:r>
      <w:r>
        <w:t xml:space="preserve">was used for all computations.</w:t>
      </w:r>
      <w:r>
        <w:t xml:space="preserve"> </w:t>
      </w:r>
      <w:r>
        <w:t xml:space="preserve">All computational code for this study is publicly available on</w:t>
      </w:r>
      <w:r>
        <w:t xml:space="preserve"> </w:t>
      </w:r>
      <w:hyperlink r:id="rId33">
        <w:r>
          <w:rPr>
            <w:rStyle w:val="Hyperlink"/>
          </w:rPr>
          <w:t xml:space="preserve">GitHub</w:t>
        </w:r>
      </w:hyperlink>
      <w:r>
        <w:t xml:space="preserve">.</w:t>
      </w:r>
    </w:p>
    <w:bookmarkStart w:id="35"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4"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4"/>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(36)</w:t>
      </w:r>
      <w:r>
        <w:t xml:space="preserve"> </w:t>
      </w:r>
      <w:r>
        <w:t xml:space="preserve">version 2.22.0.</w:t>
      </w:r>
      <w:r>
        <w:t xml:space="preserve"> </w:t>
      </w:r>
      <w:r>
        <w:t xml:space="preserve">Posterior draws were sampled using Markov chain Monte Carlo (MCMC) and the No-U-Turn sampler (NUTS)</w:t>
      </w:r>
      <w:r>
        <w:t xml:space="preserve"> </w:t>
      </w:r>
      <w:r>
        <w:t xml:space="preserve">(37)</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t xml:space="preserve"> </w:t>
      </w:r>
      <w:r>
        <w:t xml:space="preserve">As shown in</w:t>
      </w:r>
      <w:r>
        <w:t xml:space="preserve"> </w:t>
      </w:r>
      <w:hyperlink w:anchor="eq-model">
        <w:r>
          <w:rPr>
            <w:rStyle w:val="Hyperlink"/>
          </w:rPr>
          <w:t xml:space="preserve">Equation 2</w:t>
        </w:r>
      </w:hyperlink>
      <w:r>
        <w:t xml:space="preserve">, heterogeneity</w:t>
      </w:r>
      <w:r>
        <w:t xml:space="preserve"> </w:t>
      </w:r>
      <m:oMath>
        <m:r>
          <m:t>τ</m:t>
        </m:r>
      </m:oMath>
      <w:r>
        <w:t xml:space="preserve"> </w:t>
      </w:r>
      <w:r>
        <w:t xml:space="preserve">was modelled as a parameter directly and</w:t>
      </w:r>
      <w:r>
        <w:t xml:space="preserve"> </w:t>
      </w:r>
      <m:oMath>
        <m:sSup>
          <m:e>
            <m:r>
              <m:t>I</m:t>
            </m:r>
          </m:e>
          <m:sup>
            <m:r>
              <m:t>2</m:t>
            </m:r>
          </m:sup>
        </m:sSup>
      </m:oMath>
      <w:r>
        <w:t xml:space="preserve"> </w:t>
      </w:r>
      <w:r>
        <w:t xml:space="preserve">was calculated using the typical within-study variance that is used in the frequentist approach so that it is comparable.</w:t>
      </w:r>
    </w:p>
    <w:bookmarkEnd w:id="35"/>
    <w:bookmarkStart w:id="37"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must be chosen for all parameters to be estimated in the analysis, which in this case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 conservative priors were chosen so that the posterior distributions are softly being bounded to a realistic range.</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about 95% probability.</w:t>
      </w:r>
      <w:r>
        <w:t xml:space="preserve"> </w:t>
      </w:r>
      <w:r>
        <w:t xml:space="preserve">The center point of the prior was chosen to be -1 because the negative effects of lead on the developing nervous system and its toxicological mechanisms of action are well established in the scientific literature</w:t>
      </w:r>
      <w:r>
        <w:t xml:space="preserve"> </w:t>
      </w:r>
      <w:r>
        <w:t xml:space="preserve">(18)</w:t>
      </w:r>
      <w:r>
        <w:t xml:space="preserve">.</w:t>
      </w:r>
      <w:r>
        <w:br/>
      </w:r>
      <w:r>
        <w:t xml:space="preserve">Since between-study standard deviation (heterogeneity)</w:t>
      </w:r>
      <w:r>
        <w:t xml:space="preserve"> </w:t>
      </w:r>
      <m:oMath>
        <m:r>
          <m:t>τ</m:t>
        </m:r>
      </m:oMath>
      <w:r>
        <w:t xml:space="preserve"> </w:t>
      </w:r>
      <w:r>
        <w:t xml:space="preserve">must by definition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(38)</w:t>
      </w:r>
      <w:r>
        <w:t xml:space="preserve"> </w:t>
      </w:r>
      <w:r>
        <w:t xml:space="preserve">to assess the appropriateness of the specified priors.</w:t>
      </w:r>
      <w:r>
        <w:t xml:space="preserve"> </w:t>
      </w:r>
      <w:r>
        <w:t xml:space="preserve">Additionally, a sensitivity analysis with alternatice priors was conduced, as described below.</w:t>
      </w:r>
    </w:p>
    <w:bookmarkEnd w:id="37"/>
    <w:bookmarkStart w:id="38"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w:t>
      </w:r>
      <w:r>
        <w:t xml:space="preserve">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(39)</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(less conservative):</w:t>
      </w:r>
    </w:p>
    <w:p>
      <w:pPr>
        <w:pStyle w:val="BodyText"/>
      </w:pPr>
      <w:bookmarkStart w:id="40"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4</m:t>
              </m:r>
            </m:e>
          </m:d>
        </m:oMath>
      </m:oMathPara>
      <w:bookmarkEnd w:id="40"/>
    </w:p>
    <w:p>
      <w:pPr>
        <w:pStyle w:val="FirstParagraph"/>
      </w:pPr>
      <w:r>
        <w:t xml:space="preserve">Less informative priors (more conservative):</w:t>
      </w:r>
    </w:p>
    <w:p>
      <w:pPr>
        <w:pStyle w:val="BodyText"/>
      </w:pPr>
      <w:bookmarkStart w:id="41"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5</m:t>
              </m:r>
            </m:e>
          </m:d>
        </m:oMath>
      </m:oMathPara>
      <w:bookmarkEnd w:id="41"/>
    </w:p>
    <w:bookmarkEnd w:id="42"/>
    <w:bookmarkEnd w:id="43"/>
    <w:bookmarkStart w:id="57" w:name="results"/>
    <w:p>
      <w:pPr>
        <w:pStyle w:val="Heading1"/>
      </w:pPr>
      <w:r>
        <w:t xml:space="preserve">3. Results</w:t>
      </w:r>
    </w:p>
    <w:p>
      <w:pPr>
        <w:pStyle w:val="Compact"/>
        <w:numPr>
          <w:ilvl w:val="0"/>
          <w:numId w:val="1008"/>
        </w:numPr>
      </w:pPr>
      <w:r>
        <w:t xml:space="preserve">Cite studies that might appear to meet inclusion criteria, but were excluded &amp; explain why (no citation so far)</w:t>
      </w:r>
    </w:p>
    <w:p>
      <w:pPr>
        <w:pStyle w:val="Compact"/>
        <w:numPr>
          <w:ilvl w:val="0"/>
          <w:numId w:val="1009"/>
        </w:numPr>
      </w:pPr>
      <w:r>
        <w:t xml:space="preserve">Study characteristics (table), including original and harmonized effect measures</w:t>
      </w:r>
    </w:p>
    <w:p>
      <w:pPr>
        <w:pStyle w:val="Compact"/>
        <w:numPr>
          <w:ilvl w:val="0"/>
          <w:numId w:val="1010"/>
        </w:numPr>
      </w:pPr>
      <w:r>
        <w:t xml:space="preserve">Flow diagram, description of (full text) screening results</w:t>
      </w:r>
    </w:p>
    <w:p>
      <w:pPr>
        <w:pStyle w:val="Compact"/>
        <w:numPr>
          <w:ilvl w:val="0"/>
          <w:numId w:val="1011"/>
        </w:numPr>
      </w:pPr>
      <w:r>
        <w:t xml:space="preserve">RoB results for each included study</w:t>
      </w:r>
    </w:p>
    <w:p>
      <w:pPr>
        <w:pStyle w:val="Compact"/>
        <w:numPr>
          <w:ilvl w:val="0"/>
          <w:numId w:val="1012"/>
        </w:numPr>
      </w:pPr>
      <w:r>
        <w:t xml:space="preserve">Forest plots</w:t>
      </w:r>
    </w:p>
    <w:p>
      <w:pPr>
        <w:pStyle w:val="Compact"/>
        <w:numPr>
          <w:ilvl w:val="0"/>
          <w:numId w:val="1013"/>
        </w:numPr>
      </w:pPr>
      <w:r>
        <w:t xml:space="preserve">Sensitivity analysis results</w:t>
      </w:r>
    </w:p>
    <w:bookmarkStart w:id="47" w:name="literature-review-1"/>
    <w:p>
      <w:pPr>
        <w:pStyle w:val="Heading2"/>
      </w:pPr>
      <w:r>
        <w:t xml:space="preserve">3.1 Literature Review</w:t>
      </w:r>
    </w:p>
    <w:p>
      <w:pPr>
        <w:pStyle w:val="FirstParagraph"/>
      </w:pPr>
      <w:r>
        <w:t xml:space="preserve">As described in the methods, the systematic review was conducted with a larger scope, because it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lead to 149 records (Pb &amp; Hg) to be screened in fulltext.</w:t>
      </w:r>
      <w:r>
        <w:t xml:space="preserve"> </w:t>
      </w:r>
      <w:r>
        <w:t xml:space="preserve">After fulltext-screening,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a duplicate.</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table 2.</w:t>
      </w:r>
    </w:p>
    <w:p>
      <w:pPr>
        <w:pStyle w:val="BodyText"/>
      </w:pPr>
      <w:r>
        <w:t xml:space="preserve">A PRISMA flow diagram summarizing the review process is shown as in figure 1</w:t>
      </w:r>
      <w:r>
        <w:t xml:space="preserve"> </w:t>
      </w:r>
      <w:r>
        <w:t xml:space="preserve">(28)</w:t>
      </w:r>
      <w:r>
        <w:t xml:space="preserve">.</w:t>
      </w:r>
      <w:r>
        <w:t xml:space="preserve"> </w:t>
      </w:r>
      <w:r>
        <w:t xml:space="preserve">A file containing detailed information on the screening process and exclusion reasons can be found in suppl. file 2.</w:t>
      </w:r>
    </w:p>
    <w:p>
      <w:pPr>
        <w:pStyle w:val="CaptionedFigure"/>
      </w:pPr>
      <w:r>
        <w:drawing>
          <wp:inline>
            <wp:extent cx="2971800" cy="4205471"/>
            <wp:effectExtent b="0" l="0" r="0" t="0"/>
            <wp:docPr descr="Figure 1: PRISMA flow diagram" title="" id="45" name="Picture"/>
            <a:graphic>
              <a:graphicData uri="http://schemas.openxmlformats.org/drawingml/2006/picture">
                <pic:pic>
                  <pic:nvPicPr>
                    <pic:cNvPr descr="tables_figures/main/figure1.png" id="46" name="Picture"/>
                    <pic:cNvPicPr>
                      <a:picLocks noChangeArrowheads="1" noChangeAspect="1"/>
                    </pic:cNvPicPr>
                  </pic:nvPicPr>
                  <pic:blipFill>
                    <a:blip r:embed="rId44"/>
                    <a:stretch>
                      <a:fillRect/>
                    </a:stretch>
                  </pic:blipFill>
                  <pic:spPr bwMode="auto">
                    <a:xfrm>
                      <a:off x="0" y="0"/>
                      <a:ext cx="2971800" cy="4205471"/>
                    </a:xfrm>
                    <a:prstGeom prst="rect">
                      <a:avLst/>
                    </a:prstGeom>
                    <a:noFill/>
                    <a:ln w="9525">
                      <a:noFill/>
                      <a:headEnd/>
                      <a:tailEnd/>
                    </a:ln>
                  </pic:spPr>
                </pic:pic>
              </a:graphicData>
            </a:graphic>
          </wp:inline>
        </w:drawing>
      </w:r>
    </w:p>
    <w:p>
      <w:pPr>
        <w:pStyle w:val="ImageCaption"/>
      </w:pPr>
      <w:r>
        <w:t xml:space="preserve">Figure 1: PRISMA flow diagram</w:t>
      </w:r>
    </w:p>
    <w:bookmarkEnd w:id="47"/>
    <w:bookmarkStart w:id="48"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(34)</w:t>
      </w:r>
      <w:r>
        <w:t xml:space="preserve">,</w:t>
      </w:r>
      <w:r>
        <w:t xml:space="preserve"> </w:t>
      </w:r>
      <w:r>
        <w:t xml:space="preserve">two with a moderate risk</w:t>
      </w:r>
      <w:r>
        <w:t xml:space="preserve"> </w:t>
      </w:r>
      <w:r>
        <w:t xml:space="preserve">(48)</w:t>
      </w:r>
      <w:r>
        <w:t xml:space="preserve"> </w:t>
      </w:r>
      <w:r>
        <w:t xml:space="preserve">and two studies with a high RoB</w:t>
      </w:r>
      <w:r>
        <w:t xml:space="preserve"> </w:t>
      </w:r>
      <w:r>
        <w:t xml:space="preserve">(49)</w:t>
      </w:r>
      <w:r>
        <w:t xml:space="preserve">.</w:t>
      </w:r>
      <w:r>
        <w:br/>
      </w:r>
      <w:r>
        <w:t xml:space="preserve">Domains with a higher RoB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in the included studies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(50)</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table 3.</w:t>
      </w:r>
    </w:p>
    <w:bookmarkEnd w:id="48"/>
    <w:bookmarkStart w:id="55" w:name="meta-analysis-results"/>
    <w:p>
      <w:pPr>
        <w:pStyle w:val="Heading2"/>
      </w:pPr>
      <w:r>
        <w:t xml:space="preserve">3.3 Meta Analysis Results</w:t>
      </w:r>
    </w:p>
    <w:p>
      <w:pPr>
        <w:pStyle w:val="FirstParagraph"/>
      </w:pPr>
      <w:r>
        <w:t xml:space="preserve">The prior predictive check indicated that the specified priors are appropriate (suppl. file 3).</w:t>
      </w:r>
      <w:r>
        <w:t xml:space="preserve"> </w:t>
      </w:r>
      <w:r>
        <w:t xml:space="preserve">The posterior predictive check suggested appropriate model specification (suppl.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ESS for the central part of the posterior distribution for</w:t>
      </w:r>
      <w:r>
        <w:t xml:space="preserve"> </w:t>
      </w:r>
      <m:oMath>
        <m:r>
          <m:t>μ</m:t>
        </m:r>
      </m:oMath>
      <w:r>
        <w:t xml:space="preserve"> </w:t>
      </w:r>
      <w:r>
        <w:t xml:space="preserve">is 1,872 and 3,179 for the tails of the distribution.</w:t>
      </w:r>
      <w:r>
        <w:t xml:space="preserve"> </w:t>
      </w:r>
      <w:r>
        <w:t xml:space="preserve">Both values exceed 1,000,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r>
        <w:t xml:space="preserve"> </w:t>
      </w:r>
    </w:p>
    <w:p>
      <w:pPr>
        <w:pStyle w:val="BodyText"/>
      </w:pPr>
      <w:r>
        <w:t xml:space="preserve">The Bayesian random-effects meta-analysis yielded a posterior mean pooled estimate of -2.15 (95% credible interval (CrI): -3.48; -0.92) IQ points per unit increase in</w:t>
      </w:r>
      <w:r>
        <w:t xml:space="preserve"> </w:t>
      </w:r>
      <m:oMath>
        <m:sSub>
          <m:e>
            <m:r>
              <m:rPr>
                <m:sty m:val="p"/>
              </m:rPr>
              <m:t>log</m:t>
            </m:r>
          </m:e>
          <m:sub>
            <m:r>
              <m:t>e</m:t>
            </m:r>
          </m:sub>
        </m:sSub>
      </m:oMath>
      <w:r>
        <w:t xml:space="preserve">-transformed BLL (µg/dL).</w:t>
      </w:r>
      <w:r>
        <w:t xml:space="preserve"> </w:t>
      </w:r>
      <w:r>
        <w:t xml:space="preserve">The frequentist approach produced a comparable pooled estimate of -2.35 (95% confidence interval (CI): -3.65; -1.05).</w:t>
      </w:r>
      <w:r>
        <w:t xml:space="preserve"> </w:t>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4.32 [95% CrI: 1.28; 10.6], corresponding to an</w:t>
      </w:r>
      <w:r>
        <w:t xml:space="preserve"> </w:t>
      </w:r>
      <m:oMath>
        <m:sSup>
          <m:e>
            <m:r>
              <m:rPr>
                <m:nor/>
                <m:sty m:val="p"/>
              </m:rPr>
              <m:t>I</m:t>
            </m:r>
          </m:e>
          <m:sup>
            <m:r>
              <m:t>2</m:t>
            </m:r>
          </m:sup>
        </m:sSup>
      </m:oMath>
      <w:r>
        <w:t xml:space="preserve"> </w:t>
      </w:r>
      <w:r>
        <w:t xml:space="preserve">of 98.3% [95% CrI: 95.8%; 99.5%].</w:t>
      </w:r>
      <w:r>
        <w:t xml:space="preserve"> </w:t>
      </w:r>
      <w:r>
        <w:t xml:space="preserve">Similarly, the frequentist model estimated</w:t>
      </w:r>
      <w:r>
        <w:t xml:space="preserve"> </w:t>
      </w:r>
      <m:oMath>
        <m:sSup>
          <m:e>
            <m:r>
              <m:t>τ</m:t>
            </m:r>
          </m:e>
          <m:sup>
            <m:r>
              <m:t>2</m:t>
            </m:r>
          </m:sup>
        </m:sSup>
      </m:oMath>
      <w:r>
        <w:t xml:space="preserve"> </w:t>
      </w:r>
      <w:r>
        <w:t xml:space="preserve">= 3.79 (95% CI: 1.24; 3.79), with</w:t>
      </w:r>
      <w:r>
        <w:t xml:space="preserve"> </w:t>
      </w:r>
      <m:oMath>
        <m:sSup>
          <m:e>
            <m:r>
              <m:rPr>
                <m:nor/>
                <m:sty m:val="p"/>
              </m:rPr>
              <m:t>I</m:t>
            </m:r>
          </m:e>
          <m:sup>
            <m:r>
              <m:t>2</m:t>
            </m:r>
          </m:sup>
        </m:sSup>
      </m:oMath>
      <w:r>
        <w:t xml:space="preserve"> </w:t>
      </w:r>
      <w:r>
        <w:t xml:space="preserve">= 98.5% (95% CI: 95.65; 99.57%).</w:t>
      </w:r>
    </w:p>
    <w:p>
      <w:pPr>
        <w:pStyle w:val="BodyText"/>
      </w:pPr>
      <w:r>
        <w:t xml:space="preserve">Forest plots of both approaches are shown in figure 2:</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943600" cy="6400800"/>
                  <wp:effectExtent b="0" l="0" r="0" t="0"/>
                  <wp:docPr descr="Figure 2: forest plots" title="" id="50" name="Picture"/>
                  <a:graphic>
                    <a:graphicData uri="http://schemas.openxmlformats.org/drawingml/2006/picture">
                      <pic:pic>
                        <pic:nvPicPr>
                          <pic:cNvPr descr="manuscript_files/figure-docx/figure_2_forestplots-1.png" id="51" name="Picture"/>
                          <pic:cNvPicPr>
                            <a:picLocks noChangeArrowheads="1" noChangeAspect="1"/>
                          </pic:cNvPicPr>
                        </pic:nvPicPr>
                        <pic:blipFill>
                          <a:blip r:embed="rId49"/>
                          <a:stretch>
                            <a:fillRect/>
                          </a:stretch>
                        </pic:blipFill>
                        <pic:spPr bwMode="auto">
                          <a:xfrm>
                            <a:off x="0" y="0"/>
                            <a:ext cx="5943600" cy="6400800"/>
                          </a:xfrm>
                          <a:prstGeom prst="rect">
                            <a:avLst/>
                          </a:prstGeom>
                          <a:noFill/>
                          <a:ln w="9525">
                            <a:noFill/>
                            <a:headEnd/>
                            <a:tailEnd/>
                          </a:ln>
                        </pic:spPr>
                      </pic:pic>
                    </a:graphicData>
                  </a:graphic>
                </wp:inline>
              </w:drawing>
            </w:r>
          </w:p>
          <w:p>
            <w:pPr>
              <w:pStyle w:val="ImageCaption"/>
              <w:jc w:val="left"/>
            </w:pPr>
            <w:r>
              <w:t xml:space="preserve">Figure 2: forest plots</w:t>
            </w:r>
          </w:p>
        </w:tc>
        <w:tc>
          <w:tcPr/>
          <w:p>
            <w:pPr>
              <w:pStyle w:val="CaptionedFigure"/>
              <w:jc w:val="left"/>
            </w:pPr>
            <w:r>
              <w:drawing>
                <wp:inline>
                  <wp:extent cx="5943600" cy="6400800"/>
                  <wp:effectExtent b="0" l="0" r="0" t="0"/>
                  <wp:docPr descr="Figure 2: forest plots" title="" id="53" name="Picture"/>
                  <a:graphic>
                    <a:graphicData uri="http://schemas.openxmlformats.org/drawingml/2006/picture">
                      <pic:pic>
                        <pic:nvPicPr>
                          <pic:cNvPr descr="manuscript_files/figure-docx/figure_2_forestplots-2.png" id="54" name="Picture"/>
                          <pic:cNvPicPr>
                            <a:picLocks noChangeArrowheads="1" noChangeAspect="1"/>
                          </pic:cNvPicPr>
                        </pic:nvPicPr>
                        <pic:blipFill>
                          <a:blip r:embed="rId52"/>
                          <a:stretch>
                            <a:fillRect/>
                          </a:stretch>
                        </pic:blipFill>
                        <pic:spPr bwMode="auto">
                          <a:xfrm>
                            <a:off x="0" y="0"/>
                            <a:ext cx="5943600" cy="6400800"/>
                          </a:xfrm>
                          <a:prstGeom prst="rect">
                            <a:avLst/>
                          </a:prstGeom>
                          <a:noFill/>
                          <a:ln w="9525">
                            <a:noFill/>
                            <a:headEnd/>
                            <a:tailEnd/>
                          </a:ln>
                        </pic:spPr>
                      </pic:pic>
                    </a:graphicData>
                  </a:graphic>
                </wp:inline>
              </w:drawing>
            </w:r>
          </w:p>
          <w:p>
            <w:pPr>
              <w:pStyle w:val="ImageCaption"/>
              <w:jc w:val="left"/>
            </w:pPr>
            <w:r>
              <w:t xml:space="preserve">Figure 2: forest plots</w:t>
            </w:r>
          </w:p>
        </w:tc>
      </w:tr>
    </w:tbl>
    <w:p>
      <w:pPr>
        <w:pStyle w:val="BodyText"/>
      </w:pPr>
      <w:r>
        <w:t xml:space="preserve">The study estimates depicted in figure 2 are not the same in both approaches because the Bayesian model estimates a posterior distribution for every individual study that is influenced by all of the included studies as well as the priors.</w:t>
      </w:r>
      <w:r>
        <w:t xml:space="preserve"> </w:t>
      </w:r>
      <w:r>
        <w:t xml:space="preserve">This leads to a shrinkage of the mean coefficients towards the pooled effect and is comparable to the inverse-variance weighting in frequentist meta-analyses.</w:t>
      </w:r>
    </w:p>
    <w:bookmarkEnd w:id="55"/>
    <w:bookmarkStart w:id="56" w:name="sensitivity-analysis-results"/>
    <w:p>
      <w:pPr>
        <w:pStyle w:val="Heading2"/>
      </w:pPr>
      <w:r>
        <w:t xml:space="preserve">3.4 Sensitivity Analysis Results</w:t>
      </w:r>
    </w:p>
    <w:p>
      <w:pPr>
        <w:pStyle w:val="FirstParagraph"/>
      </w:pPr>
      <w:r>
        <w:t xml:space="preserve">We conducted two sets of sensitivity analyses, the results are shown in table 4.</w:t>
      </w:r>
      <w:r>
        <w:t xml:space="preserve"> </w:t>
      </w:r>
      <w:r>
        <w:t xml:space="preserve">First, in order to test the sensitivity of the results to possibly biased study estimates, we excluded (1) studies with high RoB and (2) with high or medium RoB.</w:t>
      </w:r>
      <w:r>
        <w:t xml:space="preserve"> </w:t>
      </w:r>
      <w:r>
        <w:t xml:space="preserve">For both the frequentist and Bayesian models, the strength of the mean effect decreased after removing studies with high risk of bias and slightly increased again after removing high and medium RoB studies.</w:t>
      </w:r>
      <w:r>
        <w:t xml:space="preserve"> </w:t>
      </w:r>
      <w:r>
        <w:t xml:space="preserve">Because the margin of shift in effects are small and the effects shifted in both directions, we concluded that the results are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),the posterior mean</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(broader)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w:t>
      </w:r>
      <w:r>
        <w:t xml:space="preserve"> </w:t>
      </w:r>
      <m:oMath>
        <m:r>
          <m:t>μ</m:t>
        </m:r>
      </m:oMath>
      <w:r>
        <w:t xml:space="preserve"> </w:t>
      </w:r>
      <w:r>
        <w:t xml:space="preserve">increases slightly.</w:t>
      </w:r>
      <w:r>
        <w:t xml:space="preserve"> </w:t>
      </w:r>
      <w:r>
        <w:t xml:space="preserve">In this case, more</w:t>
      </w:r>
      <w:r>
        <w:t xml:space="preserve"> </w:t>
      </w:r>
      <w:r>
        <w:t xml:space="preserve">“trust”</w:t>
      </w:r>
      <w:r>
        <w:t xml:space="preserve"> </w:t>
      </w:r>
      <w:r>
        <w:t xml:space="preserve">is given to studies reporting high effects with large uncertainty ranges.</w:t>
      </w:r>
      <w:r>
        <w:t xml:space="preserve"> </w:t>
      </w:r>
      <w:r>
        <w:t xml:space="preserve">The results of the prior sensitivity analysis strengthens the priors specified for the main analysis.</w:t>
      </w:r>
      <w:r>
        <w:t xml:space="preserve"> </w:t>
      </w:r>
      <w:r>
        <w:t xml:space="preserve">Suppl. file 5 shows prior, observed data and posterior distributions of all three prior specifications.</w:t>
      </w:r>
    </w:p>
    <w:bookmarkEnd w:id="56"/>
    <w:bookmarkEnd w:id="57"/>
    <w:bookmarkStart w:id="62" w:name="discussion"/>
    <w:p>
      <w:pPr>
        <w:pStyle w:val="Heading1"/>
      </w:pPr>
      <w:r>
        <w:t xml:space="preserve">4. Discussion</w:t>
      </w:r>
    </w:p>
    <w:bookmarkStart w:id="58" w:name="Xe4fd33c14a4d85ff45876f16d4ff6029ee422c4"/>
    <w:p>
      <w:pPr>
        <w:pStyle w:val="Heading2"/>
      </w:pPr>
      <w:r>
        <w:t xml:space="preserve">4.1 General interpretation in light of evidence</w:t>
      </w:r>
    </w:p>
    <w:p>
      <w:pPr>
        <w:pStyle w:val="FirstParagraph"/>
      </w:pPr>
      <w:r>
        <w:t xml:space="preserve">In this study, we provide updated pooled effect estimates for the association of children’s lead exposure on their IQ.</w:t>
      </w:r>
      <w:r>
        <w:t xml:space="preserve"> </w:t>
      </w:r>
      <w:r>
        <w:t xml:space="preserve">Our results are in line with previous toxicological and epidemiological studies</w:t>
      </w:r>
      <w:r>
        <w:t xml:space="preserve"> </w:t>
      </w:r>
      <w:r>
        <w:t xml:space="preserve">(13,15,16,18)</w:t>
      </w:r>
      <w:r>
        <w:t xml:space="preserve"> </w:t>
      </w:r>
      <w:r>
        <w:t xml:space="preserve">and previous meta-analyses.</w:t>
      </w:r>
      <w:r>
        <w:t xml:space="preserve"> </w:t>
      </w:r>
      <w:r>
        <w:t xml:space="preserve">However, because of methodological differences, the magnitude of the pooled effect cannot be directly compared to previous meta-analyses.</w:t>
      </w:r>
      <w:r>
        <w:t xml:space="preserve"> </w:t>
      </w:r>
      <w:r>
        <w:t xml:space="preserve">For example, in previous studies, the effect of lead has been estimated for increases in defined exposure categories</w:t>
      </w:r>
      <w:r>
        <w:t xml:space="preserve"> </w:t>
      </w:r>
      <w:r>
        <w:t xml:space="preserve">(19,51,52)</w:t>
      </w:r>
      <w:r>
        <w:t xml:space="preserve">.</w:t>
      </w:r>
      <w:r>
        <w:t xml:space="preserve"> </w:t>
      </w:r>
      <w:r>
        <w:t xml:space="preserve">Also, different coefficients like partial r</w:t>
      </w:r>
      <w:r>
        <w:t xml:space="preserve"> </w:t>
      </w:r>
      <w:r>
        <w:t xml:space="preserve">(14)</w:t>
      </w:r>
      <w:r>
        <w:t xml:space="preserve"> </w:t>
      </w:r>
      <w:r>
        <w:t xml:space="preserve">or standardized differences in mean</w:t>
      </w:r>
      <w:r>
        <w:t xml:space="preserve"> </w:t>
      </w:r>
      <w:r>
        <w:t xml:space="preserve">(53)</w:t>
      </w:r>
      <w:r>
        <w:t xml:space="preserve"> </w:t>
      </w:r>
      <w:r>
        <w:t xml:space="preserve">have been estimated in previous meta-analyses.</w:t>
      </w:r>
    </w:p>
    <w:p>
      <w:pPr>
        <w:pStyle w:val="BodyText"/>
      </w:pPr>
      <w:r>
        <w:t xml:space="preserve">We observed substantial heterogeneity in the studies included in this meta-analysis.</w:t>
      </w:r>
      <w:r>
        <w:t xml:space="preserve"> </w:t>
      </w:r>
      <w:r>
        <w:t xml:space="preserve">We identified no single obvious source of heterogeneity.</w:t>
      </w:r>
      <w:r>
        <w:t xml:space="preserve"> </w:t>
      </w:r>
      <w:r>
        <w:t xml:space="preserve">Instead, multiple differences in study population (size, location, age, exposure range) and statistical methods, especially the covariates included in the statistical models (adjustment set) might have caused heterogeneity between the studies (see table 2).</w:t>
      </w:r>
      <w:r>
        <w:t xml:space="preserve"> </w:t>
      </w:r>
      <w:r>
        <w:t xml:space="preserve">For example, one of the included studies that reported a very low effect has been conducted within a relatively low-exposed population</w:t>
      </w:r>
      <w:r>
        <w:t xml:space="preserve"> </w:t>
      </w:r>
      <w:r>
        <w:t xml:space="preserve">(42)</w:t>
      </w:r>
      <w:r>
        <w:t xml:space="preserve">.</w:t>
      </w:r>
      <w:r>
        <w:t xml:space="preserve"> </w:t>
      </w:r>
      <w:r>
        <w:t xml:space="preserve">Missing variation in exposure in the sample limits the detectability of an effect.</w:t>
      </w:r>
      <w:r>
        <w:br/>
      </w:r>
      <w:r>
        <w:t xml:space="preserve">Using an IQ test that has not been culturally adapted to the population it is used in, the IQ score results may be an underestimate of the true IQ.</w:t>
      </w:r>
      <w:r>
        <w:t xml:space="preserve"> </w:t>
      </w:r>
      <w:r>
        <w:t xml:space="preserve">This might be the case in</w:t>
      </w:r>
      <w:r>
        <w:t xml:space="preserve"> </w:t>
      </w:r>
      <w:r>
        <w:t xml:space="preserve">(45)</w:t>
      </w:r>
      <w:r>
        <w:t xml:space="preserve">.</w:t>
      </w:r>
      <w:r>
        <w:t xml:space="preserve"> </w:t>
      </w:r>
      <w:r>
        <w:t xml:space="preserve">Studies that reported a larger standard error of the regression coefficient also tended to reported larger effects.</w:t>
      </w:r>
      <w:r>
        <w:t xml:space="preserve"> </w:t>
      </w:r>
      <w:r>
        <w:t xml:space="preserve">This might indicate publication bias and is one explanation for the substantial heterogeneity in this meta-analysis.</w:t>
      </w:r>
      <w:r>
        <w:br/>
      </w:r>
      <w:r>
        <w:t xml:space="preserve">By incorporating prior knowledge and thus laying less</w:t>
      </w:r>
      <w:r>
        <w:t xml:space="preserve"> </w:t>
      </w:r>
      <w:r>
        <w:t xml:space="preserve">“trust”</w:t>
      </w:r>
      <w:r>
        <w:t xml:space="preserve"> </w:t>
      </w:r>
      <w:r>
        <w:t xml:space="preserve">on such studies, Bayesian models are less sensitive to such outliers, especially when pooling a small number of studies.</w:t>
      </w:r>
      <w:r>
        <w:br/>
      </w:r>
      <w:r>
        <w:t xml:space="preserve">As mentioned above, the included studies are based on population samples from multiple different regions (North America: 4, South America: 1, Europe: 3, Asia: 3, Australia: 1) and some populations have been sampled in hotspot regions with presumably higher lead concentrations</w:t>
      </w:r>
      <w:r>
        <w:t xml:space="preserve"> </w:t>
      </w:r>
      <w:r>
        <w:t xml:space="preserve">(40,45,49)</w:t>
      </w:r>
      <w:r>
        <w:t xml:space="preserve">.</w:t>
      </w:r>
      <w:r>
        <w:t xml:space="preserve"> </w:t>
      </w:r>
      <w:r>
        <w:t xml:space="preserve">This limits the generalizability of our findings.</w:t>
      </w:r>
    </w:p>
    <w:p>
      <w:pPr>
        <w:pStyle w:val="BodyText"/>
      </w:pPr>
      <w:r>
        <w:t xml:space="preserve">The RoB sensitivity analysis suggested that the results are generally robust to possible individual-study bias.</w:t>
      </w:r>
      <w:r>
        <w:t xml:space="preserve"> </w:t>
      </w:r>
      <w:r>
        <w:t xml:space="preserve">Importantly, the study published by Crump et al. (2013)</w:t>
      </w:r>
      <w:r>
        <w:t xml:space="preserve"> </w:t>
      </w:r>
      <w:r>
        <w:t xml:space="preserve">(24)</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The results of this study have been used in multiple down-stream analyses, including in the most recent Global Burden of Disease study</w:t>
      </w:r>
      <w:r>
        <w:t xml:space="preserve"> </w:t>
      </w:r>
      <w:r>
        <w:t xml:space="preserve">(5)</w:t>
      </w:r>
      <w:r>
        <w:t xml:space="preserve">.</w:t>
      </w:r>
      <w:r>
        <w:t xml:space="preserve"> </w:t>
      </w:r>
      <w:r>
        <w:t xml:space="preserve">In this study, the burden of disease in 204 countries and for several health risks, including lead exposure was estimated.</w:t>
      </w:r>
      <w:r>
        <w:t xml:space="preserve"> </w:t>
      </w:r>
      <w:r>
        <w:t xml:space="preserve">The main driver for the high RoB identified in the analysis of Crump et al. is the stepwise backward-elimination regression approach, which is central to their findings and has received substantial criticism</w:t>
      </w:r>
      <w:r>
        <w:t xml:space="preserve"> </w:t>
      </w:r>
      <w:r>
        <w:t xml:space="preserve">(50,54,55)</w:t>
      </w:r>
      <w:r>
        <w:t xml:space="preserve">.</w:t>
      </w:r>
      <w:r>
        <w:t xml:space="preserve"> </w:t>
      </w:r>
      <w:r>
        <w:t xml:space="preserve">This highlights the need for an updated evidence synthesis which we provide in this study.</w:t>
      </w:r>
    </w:p>
    <w:p>
      <w:pPr>
        <w:pStyle w:val="BodyText"/>
      </w:pPr>
      <w:r>
        <w:t xml:space="preserve">This study does not only provide an updated effect measure for the association of lead and IQ, but additionally compares a more conventional, frequentist approach to meta-analysis to a Bayesian approach that is less used in environmental epidemiology to date.</w:t>
      </w:r>
    </w:p>
    <w:bookmarkEnd w:id="58"/>
    <w:bookmarkStart w:id="59" w:name="Xe5ac57d0eff2b1210c69c5d0ce3670b3d74f7a3"/>
    <w:p>
      <w:pPr>
        <w:pStyle w:val="Heading2"/>
      </w:pPr>
      <w:r>
        <w:t xml:space="preserve">4.2 Differences, similarities, strengths &amp; weaknesses of both approaches</w:t>
      </w:r>
    </w:p>
    <w:p>
      <w:pPr>
        <w:pStyle w:val="FirstParagraph"/>
      </w:pPr>
      <w:r>
        <w:t xml:space="preserve">Pooled effects and measures of heterogeneity were largely consistent in both approaches.</w:t>
      </w:r>
      <w:r>
        <w:t xml:space="preserve"> </w:t>
      </w:r>
      <w:r>
        <w:t xml:space="preserve">Slightly lower mean pooled effects were estimated by the Bayesian model.</w:t>
      </w:r>
      <w:r>
        <w:t xml:space="preserve"> </w:t>
      </w:r>
      <w:r>
        <w:t xml:space="preserve">The prior sensitivity analyses shows that this is caused by posterior shrinkage of the study-level estimates, comparable to inverse-variance weighting in frequentist meta-analysis, together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if priors (more specifically the prior for heterogeneity) reflecting plausible domain knowledge or expectations are specified.</w:t>
      </w:r>
      <w:r>
        <w:t xml:space="preserve"> </w:t>
      </w:r>
      <w:r>
        <w:t xml:space="preserve">In contrast, frequentist meta-analytic models implicitly rely on flat or non-informative priors, which result in greater sensitivity to outliers</w:t>
      </w:r>
      <w:r>
        <w:t xml:space="preserve"> </w:t>
      </w:r>
      <w:r>
        <w:t xml:space="preserve">(56)</w:t>
      </w:r>
      <w:r>
        <w:t xml:space="preserve">.</w:t>
      </w:r>
      <w:r>
        <w:br/>
      </w:r>
      <w:r>
        <w:t xml:space="preserve">Conducting a Bayesian meta-analysis can be laborious compared to frequentist approaches, as it requires more statistical knowledge, explicit consideration of modelling assumptions, and in practice often more programming effort</w:t>
      </w:r>
      <w:r>
        <w:t xml:space="preserve"> </w:t>
      </w:r>
      <w:r>
        <w:t xml:space="preserve">(57)</w:t>
      </w:r>
      <w:r>
        <w:t xml:space="preserve">.</w:t>
      </w:r>
      <w:r>
        <w:t xml:space="preserve"> </w:t>
      </w:r>
      <w:r>
        <w:t xml:space="preserve">While these might initially appear as disadvantages, they can equally be understood as methodological safeguards:</w:t>
      </w:r>
      <w:r>
        <w:t xml:space="preserve"> </w:t>
      </w:r>
      <w:r>
        <w:t xml:space="preserve">by requiring researchers to state their assumptions explicitly rather than accepting defaults embedded in software, the Bayesian approach encourages engagement with the data and the modelling assumptions being made.</w:t>
      </w:r>
    </w:p>
    <w:bookmarkEnd w:id="59"/>
    <w:bookmarkStart w:id="60" w:name="outlook"/>
    <w:p>
      <w:pPr>
        <w:pStyle w:val="Heading2"/>
      </w:pPr>
      <w:r>
        <w:t xml:space="preserve">4.3 Outlook</w:t>
      </w:r>
    </w:p>
    <w:p>
      <w:pPr>
        <w:pStyle w:val="Compact"/>
        <w:numPr>
          <w:ilvl w:val="0"/>
          <w:numId w:val="1014"/>
        </w:numPr>
      </w:pPr>
      <w:r>
        <w:t xml:space="preserve">full posterior distributions for mu and tau in Bayesian approach can be used for:</w:t>
      </w:r>
    </w:p>
    <w:p>
      <w:pPr>
        <w:pStyle w:val="Compact"/>
        <w:numPr>
          <w:ilvl w:val="1"/>
          <w:numId w:val="1015"/>
        </w:numPr>
      </w:pPr>
      <w:r>
        <w:rPr>
          <w:strike/>
        </w:rPr>
        <w:t xml:space="preserve">comparative risk assessment</w:t>
      </w:r>
    </w:p>
    <w:p>
      <w:pPr>
        <w:pStyle w:val="Compact"/>
        <w:numPr>
          <w:ilvl w:val="1"/>
          <w:numId w:val="1015"/>
        </w:numPr>
      </w:pPr>
      <w:r>
        <w:rPr>
          <w:strike/>
        </w:rPr>
        <w:t xml:space="preserve">calculating exceedance probabilities of threshold values</w:t>
      </w:r>
    </w:p>
    <w:p>
      <w:pPr>
        <w:pStyle w:val="Compact"/>
        <w:numPr>
          <w:ilvl w:val="1"/>
          <w:numId w:val="1015"/>
        </w:numPr>
      </w:pPr>
      <w:r>
        <w:rPr>
          <w:strike/>
        </w:rPr>
        <w:t xml:space="preserve">flexible credible intervals</w:t>
      </w:r>
    </w:p>
    <w:p>
      <w:pPr>
        <w:pStyle w:val="Compact"/>
        <w:numPr>
          <w:ilvl w:val="1"/>
          <w:numId w:val="1015"/>
        </w:numPr>
      </w:pPr>
      <w:r>
        <w:t xml:space="preserve">prediction of theoretical future studies (simulation)</w:t>
      </w:r>
    </w:p>
    <w:p>
      <w:pPr>
        <w:pStyle w:val="Compact"/>
        <w:numPr>
          <w:ilvl w:val="0"/>
          <w:numId w:val="1014"/>
        </w:numPr>
      </w:pPr>
      <w:r>
        <w:t xml:space="preserve">possible use-cases of probabilistic meta-analysis (risk assessment, EBD)</w:t>
      </w:r>
    </w:p>
    <w:p>
      <w:pPr>
        <w:pStyle w:val="Compact"/>
        <w:numPr>
          <w:ilvl w:val="1"/>
          <w:numId w:val="1016"/>
        </w:numPr>
      </w:pPr>
      <w:r>
        <w:t xml:space="preserve">probabilistic EBD (give examples of deterministic approach?)</w:t>
      </w:r>
    </w:p>
    <w:p>
      <w:pPr>
        <w:pStyle w:val="FirstParagraph"/>
      </w:pPr>
      <w:r>
        <w:t xml:space="preserve">The results of Bayesian models always are distributional, which is a central difference to point estimates (central estimate, CI) produced by frequentist models.</w:t>
      </w:r>
      <w:r>
        <w:t xml:space="preserve"> </w:t>
      </w:r>
      <w:r>
        <w:t xml:space="preserve">Distributional results offer distinct advantages, especially for risk assessment and policy-making.</w:t>
      </w:r>
      <w:r>
        <w:t xml:space="preserve"> </w:t>
      </w:r>
      <w:r>
        <w:t xml:space="preserve">First, credible intervals are not limited to 95% and any interval can be estimated from the posterior distribution.</w:t>
      </w:r>
      <w:r>
        <w:t xml:space="preserve"> </w:t>
      </w:r>
      <w:r>
        <w:t xml:space="preserve">These can then be interpreted in terms of probability, which confidence intervals, even though often misinterpreted as that, can’t be.</w:t>
      </w:r>
      <w:r>
        <w:t xml:space="preserve"> </w:t>
      </w:r>
      <w:r>
        <w:t xml:space="preserve">Whenever multiple health risks are to be compared, probability distributions make it possible to calculate the probability of one health risk being greater than the other.</w:t>
      </w:r>
      <w:r>
        <w:t xml:space="preserve"> </w:t>
      </w:r>
      <w:r>
        <w:t xml:space="preserve">In case there are meaningful thresholds of effect strength / health risk to be evaluated, exceedance probabilities can be calculated from the posterior distribution.</w:t>
      </w:r>
      <w:r>
        <w:br/>
      </w:r>
      <w:r>
        <w:t xml:space="preserve">Posterior distributions of meta-analyses together with the specified statistical model can be used to either predict theoretical future epidemiological studies, which (why interesting?) or the theoretical population health impact of the exposure in another population.</w:t>
      </w:r>
      <w:r>
        <w:t xml:space="preserve"> </w:t>
      </w:r>
      <w:r>
        <w:t xml:space="preserve">This second approach is known as environmental Burden of Disease.</w:t>
      </w:r>
    </w:p>
    <w:bookmarkEnd w:id="60"/>
    <w:bookmarkStart w:id="61" w:name="study-limitations-strengths"/>
    <w:p>
      <w:pPr>
        <w:pStyle w:val="Heading2"/>
      </w:pPr>
      <w:r>
        <w:t xml:space="preserve">4.4 Study limitations &amp; strengths</w:t>
      </w:r>
    </w:p>
    <w:p>
      <w:pPr>
        <w:pStyle w:val="FirstParagraph"/>
      </w:pPr>
      <w:r>
        <w:t xml:space="preserve">This study has several limitations and strengths that should be taken into consideration when interpreting the results.</w:t>
      </w:r>
      <w:r>
        <w:t xml:space="preserve"> </w:t>
      </w:r>
      <w:r>
        <w:t xml:space="preserve">The included studies are heterogenous and have for example adjusted for varying sets of covariates.</w:t>
      </w:r>
      <w:r>
        <w:t xml:space="preserve"> </w:t>
      </w:r>
      <w:r>
        <w:t xml:space="preserve">Also, as mentioned above, the locations of cohorts in the included studies vary.</w:t>
      </w:r>
      <w:r>
        <w:t xml:space="preserve"> </w:t>
      </w:r>
      <w:r>
        <w:t xml:space="preserve">Both of these limit the generalizability of the results or their applicability to a specific population.</w:t>
      </w:r>
    </w:p>
    <w:p>
      <w:pPr>
        <w:pStyle w:val="BodyText"/>
      </w:pPr>
      <w:r>
        <w:t xml:space="preserve">While there are publications that compare Bayesian and frequentist approaches to meta-analysis, they either have a focus on evidence-based medicine</w:t>
      </w:r>
      <w:r>
        <w:t xml:space="preserve"> </w:t>
      </w:r>
      <w:r>
        <w:t xml:space="preserve">(58–61)</w:t>
      </w:r>
      <w:r>
        <w:t xml:space="preserve"> </w:t>
      </w:r>
      <w:r>
        <w:t xml:space="preserve">or network meta-analysis</w:t>
      </w:r>
      <w:r>
        <w:t xml:space="preserve"> </w:t>
      </w:r>
      <w:r>
        <w:t xml:space="preserve">(62,63)</w:t>
      </w:r>
      <w:r>
        <w:t xml:space="preserve">.</w:t>
      </w:r>
      <w:r>
        <w:t xml:space="preserve"> </w:t>
      </w:r>
      <w:r>
        <w:t xml:space="preserve">While these publications certainly provide valuable insights into the choice of meta-analytic methods, they come with different methodological challenges than only partially overlap with those covered in this study.</w:t>
      </w:r>
      <w:r>
        <w:t xml:space="preserve"> </w:t>
      </w:r>
      <w:r>
        <w:t xml:space="preserve">To our knowledge, this is the first study to compare Bayesian and frequentist approaches to meta-analysis in the field of environmental epidemiology.</w:t>
      </w:r>
      <w:r>
        <w:t xml:space="preserve"> </w:t>
      </w:r>
      <w:r>
        <w:t xml:space="preserve">All of the data and computational code used in this study are available on</w:t>
      </w:r>
      <w:r>
        <w:t xml:space="preserve"> </w:t>
      </w:r>
      <w:hyperlink r:id="rId33">
        <w:r>
          <w:rPr>
            <w:rStyle w:val="Hyperlink"/>
          </w:rPr>
          <w:t xml:space="preserve">GitHub</w:t>
        </w:r>
      </w:hyperlink>
      <w:r>
        <w:t xml:space="preserve"> </w:t>
      </w:r>
      <w:r>
        <w:t xml:space="preserve">which makes it fully reproducible.</w:t>
      </w:r>
    </w:p>
    <w:bookmarkEnd w:id="61"/>
    <w:bookmarkEnd w:id="62"/>
    <w:bookmarkStart w:id="63" w:name="conclusions"/>
    <w:p>
      <w:pPr>
        <w:pStyle w:val="Heading1"/>
      </w:pPr>
      <w:r>
        <w:t xml:space="preserve">5. Conclusions</w:t>
      </w:r>
    </w:p>
    <w:p>
      <w:pPr>
        <w:pStyle w:val="Compact"/>
        <w:numPr>
          <w:ilvl w:val="0"/>
          <w:numId w:val="1017"/>
        </w:numPr>
      </w:pPr>
      <w:r>
        <w:t xml:space="preserve">Conclusion, with reference to aim of study</w:t>
      </w:r>
    </w:p>
    <w:p>
      <w:pPr>
        <w:pStyle w:val="Compact"/>
        <w:numPr>
          <w:ilvl w:val="0"/>
          <w:numId w:val="1018"/>
        </w:numPr>
      </w:pPr>
      <w:r>
        <w:t xml:space="preserve">Implications of results: policy, (scientific?) practice, future research needs</w:t>
      </w:r>
    </w:p>
    <w:bookmarkEnd w:id="63"/>
    <w:bookmarkStart w:id="6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64"/>
    <w:bookmarkStart w:id="65"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65"/>
    <w:bookmarkStart w:id="66"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66"/>
    <w:bookmarkStart w:id="190" w:name="bibliography"/>
    <w:p>
      <w:pPr>
        <w:pStyle w:val="Heading1"/>
      </w:pPr>
      <w:r>
        <w:t xml:space="preserve">References</w:t>
      </w:r>
    </w:p>
    <w:bookmarkStart w:id="189" w:name="refs"/>
    <w:bookmarkStart w:id="68"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67">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68"/>
    <w:bookmarkStart w:id="70"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69">
        <w:r>
          <w:rPr>
            <w:rStyle w:val="Hyperlink"/>
          </w:rPr>
          <w:t xml:space="preserve">Global decrease in blood lead concentrations due to the removal of leaded gasoline</w:t>
        </w:r>
      </w:hyperlink>
      <w:r>
        <w:t xml:space="preserve">. Chemosphere. 2023;324:138207.</w:t>
      </w:r>
      <w:r>
        <w:t xml:space="preserve"> </w:t>
      </w:r>
    </w:p>
    <w:bookmarkEnd w:id="70"/>
    <w:bookmarkStart w:id="72" w:name="X4707f3a4b72a0982487545f9dc3d674642af108"/>
    <w:p>
      <w:pPr>
        <w:pStyle w:val="Bibliography"/>
      </w:pPr>
      <w:r>
        <w:t xml:space="preserve">3.</w:t>
      </w:r>
      <w:r>
        <w:t xml:space="preserve"> </w:t>
      </w:r>
      <w:r>
        <w:t xml:space="preserve">	</w:t>
      </w:r>
      <w:r>
        <w:t xml:space="preserve">European Food Safety Authority.</w:t>
      </w:r>
      <w:r>
        <w:t xml:space="preserve"> </w:t>
      </w:r>
      <w:hyperlink r:id="rId71">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72"/>
    <w:bookmarkStart w:id="74"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73">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74"/>
    <w:bookmarkStart w:id="76"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75">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76"/>
    <w:bookmarkStart w:id="78"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77">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78"/>
    <w:bookmarkStart w:id="80"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79">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80"/>
    <w:bookmarkStart w:id="82"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81">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82"/>
    <w:bookmarkStart w:id="84"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83">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84"/>
    <w:bookmarkStart w:id="86"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85">
        <w:r>
          <w:rPr>
            <w:rStyle w:val="Hyperlink"/>
          </w:rPr>
          <w:t xml:space="preserve">Low blood lead concentration in association with infertility in women</w:t>
        </w:r>
      </w:hyperlink>
      <w:r>
        <w:t xml:space="preserve">. Environmental Research. 2006 Jul;101(3):380–6.</w:t>
      </w:r>
      <w:r>
        <w:t xml:space="preserve"> </w:t>
      </w:r>
    </w:p>
    <w:bookmarkEnd w:id="86"/>
    <w:bookmarkStart w:id="88"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87">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88"/>
    <w:bookmarkStart w:id="90"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89">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90"/>
    <w:bookmarkStart w:id="92"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91">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92"/>
    <w:bookmarkStart w:id="94" w:name="ref-needleman1990LowLevelLeadExposure"/>
    <w:p>
      <w:pPr>
        <w:pStyle w:val="Bibliography"/>
      </w:pPr>
      <w:r>
        <w:t xml:space="preserve">14.</w:t>
      </w:r>
      <w:r>
        <w:t xml:space="preserve"> </w:t>
      </w:r>
      <w:r>
        <w:t xml:space="preserve">	</w:t>
      </w:r>
      <w:r>
        <w:t xml:space="preserve">Needleman HL.</w:t>
      </w:r>
      <w:r>
        <w:t xml:space="preserve"> </w:t>
      </w:r>
      <w:hyperlink r:id="rId93">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94"/>
    <w:bookmarkStart w:id="96" w:name="ref-bellinger1992LowLevelLeadExposure"/>
    <w:p>
      <w:pPr>
        <w:pStyle w:val="Bibliography"/>
      </w:pPr>
      <w:r>
        <w:t xml:space="preserve">15.</w:t>
      </w:r>
      <w:r>
        <w:t xml:space="preserve"> </w:t>
      </w:r>
      <w:r>
        <w:t xml:space="preserve">	</w:t>
      </w:r>
      <w:r>
        <w:t xml:space="preserve">Bellinger DC, Stiles KM, Needleman HL.</w:t>
      </w:r>
      <w:r>
        <w:t xml:space="preserve"> </w:t>
      </w:r>
      <w:hyperlink r:id="rId95">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96"/>
    <w:bookmarkStart w:id="98"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97">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98"/>
    <w:bookmarkStart w:id="100" w:name="ref-larsen2023GlobalHealthBurden"/>
    <w:p>
      <w:pPr>
        <w:pStyle w:val="Bibliography"/>
      </w:pPr>
      <w:r>
        <w:t xml:space="preserve">17.</w:t>
      </w:r>
      <w:r>
        <w:t xml:space="preserve"> </w:t>
      </w:r>
      <w:r>
        <w:t xml:space="preserve">	</w:t>
      </w:r>
      <w:r>
        <w:t xml:space="preserve">Larsen B, Sánchez-Triana E.</w:t>
      </w:r>
      <w:r>
        <w:t xml:space="preserve"> </w:t>
      </w:r>
      <w:hyperlink r:id="rId9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100"/>
    <w:bookmarkStart w:id="102"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10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102"/>
    <w:bookmarkStart w:id="104" w:name="ref-schwartz1994LowLevelLeadExposure"/>
    <w:p>
      <w:pPr>
        <w:pStyle w:val="Bibliography"/>
      </w:pPr>
      <w:r>
        <w:t xml:space="preserve">19.</w:t>
      </w:r>
      <w:r>
        <w:t xml:space="preserve"> </w:t>
      </w:r>
      <w:r>
        <w:t xml:space="preserve">	</w:t>
      </w:r>
      <w:r>
        <w:t xml:space="preserve">Schwartz J.</w:t>
      </w:r>
      <w:r>
        <w:t xml:space="preserve"> </w:t>
      </w:r>
      <w:hyperlink r:id="rId10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104"/>
    <w:bookmarkStart w:id="106"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10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106"/>
    <w:bookmarkStart w:id="108"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107">
        <w:r>
          <w:rPr>
            <w:rStyle w:val="Hyperlink"/>
          </w:rPr>
          <w:t xml:space="preserve">Global burden of intellectual disability resulting from dietary exposure to lead, 2015</w:t>
        </w:r>
      </w:hyperlink>
      <w:r>
        <w:t xml:space="preserve">. Environmental Research. 2019;172:420–9.</w:t>
      </w:r>
      <w:r>
        <w:t xml:space="preserve"> </w:t>
      </w:r>
    </w:p>
    <w:bookmarkEnd w:id="108"/>
    <w:bookmarkStart w:id="110"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10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10"/>
    <w:bookmarkStart w:id="112" w:name="ref-mcfarland2022HalfUSPopulation"/>
    <w:p>
      <w:pPr>
        <w:pStyle w:val="Bibliography"/>
      </w:pPr>
      <w:r>
        <w:t xml:space="preserve">23.</w:t>
      </w:r>
      <w:r>
        <w:t xml:space="preserve"> </w:t>
      </w:r>
      <w:r>
        <w:t xml:space="preserve">	</w:t>
      </w:r>
      <w:r>
        <w:t xml:space="preserve">McFarland MJ, Hauer ME, Reuben A.</w:t>
      </w:r>
      <w:r>
        <w:t xml:space="preserve"> </w:t>
      </w:r>
      <w:hyperlink r:id="rId11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12"/>
    <w:bookmarkStart w:id="114"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11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14"/>
    <w:bookmarkStart w:id="116"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11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16"/>
    <w:bookmarkStart w:id="118" w:name="X035620408d1fb22c7ed381e74f0468c30df4612"/>
    <w:p>
      <w:pPr>
        <w:pStyle w:val="Bibliography"/>
      </w:pPr>
      <w:r>
        <w:t xml:space="preserve">26.</w:t>
      </w:r>
      <w:r>
        <w:t xml:space="preserve"> </w:t>
      </w:r>
      <w:r>
        <w:t xml:space="preserve">	</w:t>
      </w:r>
      <w:r>
        <w:t xml:space="preserve">Grant R, Di Tanna GL.</w:t>
      </w:r>
      <w:r>
        <w:t xml:space="preserve"> </w:t>
      </w:r>
      <w:hyperlink r:id="rId117">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8"/>
    <w:bookmarkStart w:id="120" w:name="X837f91f784566061977da85c17a5755a81dedde"/>
    <w:p>
      <w:pPr>
        <w:pStyle w:val="Bibliography"/>
      </w:pPr>
      <w:r>
        <w:t xml:space="preserve">27.</w:t>
      </w:r>
      <w:r>
        <w:t xml:space="preserve"> </w:t>
      </w:r>
      <w:r>
        <w:t xml:space="preserve">	</w:t>
      </w:r>
      <w:r>
        <w:t xml:space="preserve">Hoekstra R, Morey RD, Rouder JN, Wagenmakers EJ.</w:t>
      </w:r>
      <w:r>
        <w:t xml:space="preserve"> </w:t>
      </w:r>
      <w:hyperlink r:id="rId119">
        <w:r>
          <w:rPr>
            <w:rStyle w:val="Hyperlink"/>
          </w:rPr>
          <w:t xml:space="preserve">Robust misinterpretation of confidence intervals</w:t>
        </w:r>
      </w:hyperlink>
      <w:r>
        <w:t xml:space="preserve">. Psychon Bull Rev. 2014 Oct;21(5):1157–64.</w:t>
      </w:r>
      <w:r>
        <w:t xml:space="preserve"> </w:t>
      </w:r>
    </w:p>
    <w:bookmarkEnd w:id="120"/>
    <w:bookmarkStart w:id="122" w:name="ref-page2021PRISMA2020Statement"/>
    <w:p>
      <w:pPr>
        <w:pStyle w:val="Bibliography"/>
      </w:pPr>
      <w:r>
        <w:t xml:space="preserve">28.</w:t>
      </w:r>
      <w:r>
        <w:t xml:space="preserve"> </w:t>
      </w:r>
      <w:r>
        <w:t xml:space="preserve">	</w:t>
      </w:r>
      <w:r>
        <w:t xml:space="preserve">Page MJ, McKenzie JE, Bossuyt PM, Boutron I, Hoffmann TC, Mulrow CD, et al.</w:t>
      </w:r>
      <w:r>
        <w:t xml:space="preserve"> </w:t>
      </w:r>
      <w:hyperlink r:id="rId121">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22"/>
    <w:bookmarkStart w:id="124" w:name="X5cae6442bbe0e1f5d8df6cd5008aab2dbfb65a6"/>
    <w:p>
      <w:pPr>
        <w:pStyle w:val="Bibliography"/>
      </w:pPr>
      <w:r>
        <w:t xml:space="preserve">29.</w:t>
      </w:r>
      <w:r>
        <w:t xml:space="preserve"> </w:t>
      </w:r>
      <w:r>
        <w:t xml:space="preserve">	</w:t>
      </w:r>
      <w:r>
        <w:t xml:space="preserve">Kruschke JK.</w:t>
      </w:r>
      <w:r>
        <w:t xml:space="preserve"> </w:t>
      </w:r>
      <w:hyperlink r:id="rId123">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24"/>
    <w:bookmarkStart w:id="125" w:name="Xf5486a80753c915bf34b5d8f3ad5e46aac479a7"/>
    <w:p>
      <w:pPr>
        <w:pStyle w:val="Bibliography"/>
      </w:pPr>
      <w:r>
        <w:t xml:space="preserve">30.</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25"/>
    <w:bookmarkStart w:id="127" w:name="ref-plate2024DevelopmentToolRapid"/>
    <w:p>
      <w:pPr>
        <w:pStyle w:val="Bibliography"/>
      </w:pPr>
      <w:r>
        <w:t xml:space="preserve">31.</w:t>
      </w:r>
      <w:r>
        <w:t xml:space="preserve"> </w:t>
      </w:r>
      <w:r>
        <w:t xml:space="preserve">	</w:t>
      </w:r>
      <w:r>
        <w:t xml:space="preserve">Plate K, Knüppel S, Hornbacher A, Greiner M, Müller-Graf C.</w:t>
      </w:r>
      <w:r>
        <w:t xml:space="preserve"> </w:t>
      </w:r>
      <w:hyperlink r:id="rId126">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7"/>
    <w:bookmarkStart w:id="129" w:name="ref-halabicky2023LowLevelLead"/>
    <w:p>
      <w:pPr>
        <w:pStyle w:val="Bibliography"/>
      </w:pPr>
      <w:r>
        <w:t xml:space="preserve">32.</w:t>
      </w:r>
      <w:r>
        <w:t xml:space="preserve"> </w:t>
      </w:r>
      <w:r>
        <w:t xml:space="preserve">	</w:t>
      </w:r>
      <w:r>
        <w:t xml:space="preserve">Halabicky OM, Pinto-Martin JA, Compton P, Liu J.</w:t>
      </w:r>
      <w:r>
        <w:t xml:space="preserve"> </w:t>
      </w:r>
      <w:hyperlink r:id="rId128">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9"/>
    <w:bookmarkStart w:id="131" w:name="ref-chen2005IQBloodLead"/>
    <w:p>
      <w:pPr>
        <w:pStyle w:val="Bibliography"/>
      </w:pPr>
      <w:r>
        <w:t xml:space="preserve">33.</w:t>
      </w:r>
      <w:r>
        <w:t xml:space="preserve"> </w:t>
      </w:r>
      <w:r>
        <w:t xml:space="preserve">	</w:t>
      </w:r>
      <w:r>
        <w:t xml:space="preserve">Chen A, Dietrich KN, Ware JH, Radcliffe J, Rogan WJ.</w:t>
      </w:r>
      <w:r>
        <w:t xml:space="preserve"> </w:t>
      </w:r>
      <w:hyperlink r:id="rId130">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31"/>
    <w:bookmarkStart w:id="133" w:name="Xcf7993c3f58afaabaf73be6238c67f4f63053d9"/>
    <w:p>
      <w:pPr>
        <w:pStyle w:val="Bibliography"/>
      </w:pPr>
      <w:r>
        <w:t xml:space="preserve">34.</w:t>
      </w:r>
      <w:r>
        <w:t xml:space="preserve"> </w:t>
      </w:r>
      <w:r>
        <w:t xml:space="preserve">	</w:t>
      </w:r>
      <w:r>
        <w:t xml:space="preserve">Schnaas L, Rothenberg Stephen J, Flores MF, Martinez S, Hernandez C, Osorio E, et al.</w:t>
      </w:r>
      <w:r>
        <w:t xml:space="preserve"> </w:t>
      </w:r>
      <w:hyperlink r:id="rId132">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33"/>
    <w:bookmarkStart w:id="134" w:name="X4bd034c52731e178b4de125c2c778bdc533803c"/>
    <w:p>
      <w:pPr>
        <w:pStyle w:val="Bibliography"/>
      </w:pPr>
      <w:r>
        <w:t xml:space="preserve">35.</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34"/>
    <w:bookmarkStart w:id="136" w:name="ref-burkner2017BrmsPackageBayesian"/>
    <w:p>
      <w:pPr>
        <w:pStyle w:val="Bibliography"/>
      </w:pPr>
      <w:r>
        <w:t xml:space="preserve">36.</w:t>
      </w:r>
      <w:r>
        <w:t xml:space="preserve"> </w:t>
      </w:r>
      <w:r>
        <w:t xml:space="preserve">	</w:t>
      </w:r>
      <w:r>
        <w:t xml:space="preserve">Bürkner PC.</w:t>
      </w:r>
      <w:r>
        <w:t xml:space="preserve"> </w:t>
      </w:r>
      <w:hyperlink r:id="rId135">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36"/>
    <w:bookmarkStart w:id="138" w:name="ref-hoffman2011NoUTurnSamplerAdaptively"/>
    <w:p>
      <w:pPr>
        <w:pStyle w:val="Bibliography"/>
      </w:pPr>
      <w:r>
        <w:t xml:space="preserve">37.</w:t>
      </w:r>
      <w:r>
        <w:t xml:space="preserve"> </w:t>
      </w:r>
      <w:r>
        <w:t xml:space="preserve">	</w:t>
      </w:r>
      <w:r>
        <w:t xml:space="preserve">Hoffman MD, Gelman A.</w:t>
      </w:r>
      <w:r>
        <w:t xml:space="preserve"> </w:t>
      </w:r>
      <w:hyperlink r:id="rId137">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8"/>
    <w:bookmarkStart w:id="139" w:name="X21bf392f662dc1b38e9a7fa4b314fc7a471696b"/>
    <w:p>
      <w:pPr>
        <w:pStyle w:val="Bibliography"/>
      </w:pPr>
      <w:r>
        <w:t xml:space="preserve">38.</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9"/>
    <w:bookmarkStart w:id="141" w:name="X111bb06244f8f2a1a6d0d2f1f41c24b71f248e6"/>
    <w:p>
      <w:pPr>
        <w:pStyle w:val="Bibliography"/>
      </w:pPr>
      <w:r>
        <w:t xml:space="preserve">39.</w:t>
      </w:r>
      <w:r>
        <w:t xml:space="preserve"> </w:t>
      </w:r>
      <w:r>
        <w:t xml:space="preserve">	</w:t>
      </w:r>
      <w:r>
        <w:t xml:space="preserve">Wolfgang Viechtbauer.</w:t>
      </w:r>
      <w:r>
        <w:t xml:space="preserve"> </w:t>
      </w:r>
      <w:hyperlink r:id="rId140">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41"/>
    <w:bookmarkStart w:id="143" w:name="ref-bauer2020AssociationsMetalMixture"/>
    <w:p>
      <w:pPr>
        <w:pStyle w:val="Bibliography"/>
      </w:pPr>
      <w:r>
        <w:t xml:space="preserve">40.</w:t>
      </w:r>
      <w:r>
        <w:t xml:space="preserve"> </w:t>
      </w:r>
      <w:r>
        <w:t xml:space="preserve">	</w:t>
      </w:r>
      <w:r>
        <w:t xml:space="preserve">Bauer JA, Devick KL, Bobb JF, Coull BA, Bellinger D, Benedetti C, et al.</w:t>
      </w:r>
      <w:r>
        <w:t xml:space="preserve"> </w:t>
      </w:r>
      <w:hyperlink r:id="rId142">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43"/>
    <w:bookmarkStart w:id="145" w:name="ref-dantzer2020ComparisonBloodToenails"/>
    <w:p>
      <w:pPr>
        <w:pStyle w:val="Bibliography"/>
      </w:pPr>
      <w:r>
        <w:t xml:space="preserve">41.</w:t>
      </w:r>
      <w:r>
        <w:t xml:space="preserve"> </w:t>
      </w:r>
      <w:r>
        <w:t xml:space="preserve">	</w:t>
      </w:r>
      <w:r>
        <w:t xml:space="preserve">Dantzer J, Ryan P, Yolton K, Parsons PJ, Palmer CD, Cecil K, et al.</w:t>
      </w:r>
      <w:r>
        <w:t xml:space="preserve"> </w:t>
      </w:r>
      <w:hyperlink r:id="rId144">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45"/>
    <w:bookmarkStart w:id="147" w:name="X6bc65313eadd1b86059eb4ba10c8cf9d91be17d"/>
    <w:p>
      <w:pPr>
        <w:pStyle w:val="Bibliography"/>
      </w:pPr>
      <w:r>
        <w:t xml:space="preserve">42.</w:t>
      </w:r>
      <w:r>
        <w:t xml:space="preserve"> </w:t>
      </w:r>
      <w:r>
        <w:t xml:space="preserve">	</w:t>
      </w:r>
      <w:r>
        <w:t xml:space="preserve">Desrochers-Couture M, Oulhote Y, Arbuckle TE, Fraser WD, Séguin JR, Ouellet E, et al.</w:t>
      </w:r>
      <w:r>
        <w:t xml:space="preserve"> </w:t>
      </w:r>
      <w:hyperlink r:id="rId146">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47"/>
    <w:bookmarkStart w:id="149" w:name="ref-hong2015EnvironmentalLeadExposure"/>
    <w:p>
      <w:pPr>
        <w:pStyle w:val="Bibliography"/>
      </w:pPr>
      <w:r>
        <w:t xml:space="preserve">43.</w:t>
      </w:r>
      <w:r>
        <w:t xml:space="preserve"> </w:t>
      </w:r>
      <w:r>
        <w:t xml:space="preserve">	</w:t>
      </w:r>
      <w:r>
        <w:t xml:space="preserve">Hong SB, Im MH, Kim JW, Park EJ, Shin MS, Kim BN, et al.</w:t>
      </w:r>
      <w:r>
        <w:t xml:space="preserve"> </w:t>
      </w:r>
      <w:hyperlink r:id="rId148">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49"/>
    <w:bookmarkStart w:id="151" w:name="ref-lee2021PrenatalPostnatalExposures"/>
    <w:p>
      <w:pPr>
        <w:pStyle w:val="Bibliography"/>
      </w:pPr>
      <w:r>
        <w:t xml:space="preserve">44.</w:t>
      </w:r>
      <w:r>
        <w:t xml:space="preserve"> </w:t>
      </w:r>
      <w:r>
        <w:t xml:space="preserve">	</w:t>
      </w:r>
      <w:r>
        <w:t xml:space="preserve">Lee KS, Kim KN, Ahn YD, Choi YJ, Cho J, Jang Y, et al.</w:t>
      </w:r>
      <w:r>
        <w:t xml:space="preserve"> </w:t>
      </w:r>
      <w:hyperlink r:id="rId150">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51"/>
    <w:bookmarkStart w:id="152" w:name="X33fe7de6e8b65c86af337dbdb8d7cc8651c48a8"/>
    <w:p>
      <w:pPr>
        <w:pStyle w:val="Bibliography"/>
      </w:pPr>
      <w:r>
        <w:t xml:space="preserve">45.</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52"/>
    <w:bookmarkStart w:id="154" w:name="ref-roy2013EffectModificationTransferrin"/>
    <w:p>
      <w:pPr>
        <w:pStyle w:val="Bibliography"/>
      </w:pPr>
      <w:r>
        <w:t xml:space="preserve">46.</w:t>
      </w:r>
      <w:r>
        <w:t xml:space="preserve"> </w:t>
      </w:r>
      <w:r>
        <w:t xml:space="preserve">	</w:t>
      </w:r>
      <w:r>
        <w:t xml:space="preserve">Roy A, Ettinger AS, Hu H, Bellinger D, Schwartz J, Modali R, et al.</w:t>
      </w:r>
      <w:r>
        <w:t xml:space="preserve"> </w:t>
      </w:r>
      <w:hyperlink r:id="rId153">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54"/>
    <w:bookmarkStart w:id="156" w:name="Xb0421be95a139ca5af39ce6040517bf1be79427"/>
    <w:p>
      <w:pPr>
        <w:pStyle w:val="Bibliography"/>
      </w:pPr>
      <w:r>
        <w:t xml:space="preserve">47.</w:t>
      </w:r>
      <w:r>
        <w:t xml:space="preserve"> </w:t>
      </w:r>
      <w:r>
        <w:t xml:space="preserve">	</w:t>
      </w:r>
      <w:r>
        <w:t xml:space="preserve">Lucchini RG, Zoni S, Guazzetti S, Bontempi E, Micheletti S, Broberg K, et al.</w:t>
      </w:r>
      <w:r>
        <w:t xml:space="preserve"> </w:t>
      </w:r>
      <w:hyperlink r:id="rId155">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56"/>
    <w:bookmarkStart w:id="158" w:name="X716dc31ca13dac7355fea3a0f7dea95779ecabb"/>
    <w:p>
      <w:pPr>
        <w:pStyle w:val="Bibliography"/>
      </w:pPr>
      <w:r>
        <w:t xml:space="preserve">48.</w:t>
      </w:r>
      <w:r>
        <w:t xml:space="preserve"> </w:t>
      </w:r>
      <w:r>
        <w:t xml:space="preserve">	</w:t>
      </w:r>
      <w:r>
        <w:t xml:space="preserve">Lucchini RG, Guazzetti S, Renzetti S, Conversano M, Cagna G, Fedrighi C, et al.</w:t>
      </w:r>
      <w:r>
        <w:t xml:space="preserve"> </w:t>
      </w:r>
      <w:hyperlink r:id="rId157">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58"/>
    <w:bookmarkStart w:id="160" w:name="ref-earl2016LowlevelEnvironmentalLead"/>
    <w:p>
      <w:pPr>
        <w:pStyle w:val="Bibliography"/>
      </w:pPr>
      <w:r>
        <w:t xml:space="preserve">49.</w:t>
      </w:r>
      <w:r>
        <w:t xml:space="preserve"> </w:t>
      </w:r>
      <w:r>
        <w:t xml:space="preserve">	</w:t>
      </w:r>
      <w:r>
        <w:t xml:space="preserve">Earl R, Burns N, Nettelbeck T, Baghurst P.</w:t>
      </w:r>
      <w:r>
        <w:t xml:space="preserve"> </w:t>
      </w:r>
      <w:hyperlink r:id="rId159">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60"/>
    <w:bookmarkStart w:id="162" w:name="ref-smith2018StepAwayStepwise"/>
    <w:p>
      <w:pPr>
        <w:pStyle w:val="Bibliography"/>
      </w:pPr>
      <w:r>
        <w:t xml:space="preserve">50.</w:t>
      </w:r>
      <w:r>
        <w:t xml:space="preserve"> </w:t>
      </w:r>
      <w:r>
        <w:t xml:space="preserve">	</w:t>
      </w:r>
      <w:r>
        <w:t xml:space="preserve">Smith G.</w:t>
      </w:r>
      <w:r>
        <w:t xml:space="preserve"> </w:t>
      </w:r>
      <w:hyperlink r:id="rId161">
        <w:r>
          <w:rPr>
            <w:rStyle w:val="Hyperlink"/>
          </w:rPr>
          <w:t xml:space="preserve">Step away from stepwise</w:t>
        </w:r>
      </w:hyperlink>
      <w:r>
        <w:t xml:space="preserve">. J Big Data. 2018 Dec;5(1):32.</w:t>
      </w:r>
      <w:r>
        <w:t xml:space="preserve"> </w:t>
      </w:r>
    </w:p>
    <w:bookmarkEnd w:id="162"/>
    <w:bookmarkStart w:id="164" w:name="ref-goodman2023SexDifferencePre"/>
    <w:p>
      <w:pPr>
        <w:pStyle w:val="Bibliography"/>
      </w:pPr>
      <w:r>
        <w:t xml:space="preserve">51.</w:t>
      </w:r>
      <w:r>
        <w:t xml:space="preserve"> </w:t>
      </w:r>
      <w:r>
        <w:t xml:space="preserve">	</w:t>
      </w:r>
      <w:r>
        <w:t xml:space="preserve">Goodman CV, Green R, DaCosta A, Flora D, Lanphear B, Till C.</w:t>
      </w:r>
      <w:r>
        <w:t xml:space="preserve"> </w:t>
      </w:r>
      <w:hyperlink r:id="rId163">
        <w:r>
          <w:rPr>
            <w:rStyle w:val="Hyperlink"/>
          </w:rPr>
          <w:t xml:space="preserve">Sex difference of pre- and post-natal exposure to six developmental neurotoxicants on intellectual abilities: A systematic review and meta-analysis of human studies</w:t>
        </w:r>
      </w:hyperlink>
      <w:r>
        <w:t xml:space="preserve">. Environ Health. 2023 Nov;22(1):80.</w:t>
      </w:r>
      <w:r>
        <w:t xml:space="preserve"> </w:t>
      </w:r>
    </w:p>
    <w:bookmarkEnd w:id="164"/>
    <w:bookmarkStart w:id="166" w:name="ref-pocock1994EnvironmentalLeadChildrens"/>
    <w:p>
      <w:pPr>
        <w:pStyle w:val="Bibliography"/>
      </w:pPr>
      <w:r>
        <w:t xml:space="preserve">52.</w:t>
      </w:r>
      <w:r>
        <w:t xml:space="preserve"> </w:t>
      </w:r>
      <w:r>
        <w:t xml:space="preserve">	</w:t>
      </w:r>
      <w:r>
        <w:t xml:space="preserve">Pocock SJ, Smith M, Baghurst P.</w:t>
      </w:r>
      <w:r>
        <w:t xml:space="preserve"> </w:t>
      </w:r>
      <w:hyperlink r:id="rId165">
        <w:r>
          <w:rPr>
            <w:rStyle w:val="Hyperlink"/>
          </w:rPr>
          <w:t xml:space="preserve">Environmental lead and children’s intelligence: A systematic review of the epidemiological evidence</w:t>
        </w:r>
      </w:hyperlink>
      <w:r>
        <w:t xml:space="preserve">. BMJ. 1994 Nov;309(6963):1189–97.</w:t>
      </w:r>
      <w:r>
        <w:t xml:space="preserve"> </w:t>
      </w:r>
    </w:p>
    <w:bookmarkEnd w:id="166"/>
    <w:bookmarkStart w:id="168" w:name="ref-heidari2022EffectLeadExposurea"/>
    <w:p>
      <w:pPr>
        <w:pStyle w:val="Bibliography"/>
      </w:pPr>
      <w:r>
        <w:t xml:space="preserve">53.</w:t>
      </w:r>
      <w:r>
        <w:t xml:space="preserve"> </w:t>
      </w:r>
      <w:r>
        <w:t xml:space="preserve">	</w:t>
      </w:r>
      <w:r>
        <w:t xml:space="preserve">Heidari S, Mostafaei S, Razazian N, Rajati M, Saeedi A, Rajati F.</w:t>
      </w:r>
      <w:r>
        <w:t xml:space="preserve"> </w:t>
      </w:r>
      <w:hyperlink r:id="rId167">
        <w:r>
          <w:rPr>
            <w:rStyle w:val="Hyperlink"/>
          </w:rPr>
          <w:t xml:space="preserve">The effect of lead exposure on</w:t>
        </w:r>
        <w:r>
          <w:rPr>
            <w:rStyle w:val="Hyperlink"/>
          </w:rPr>
          <w:t xml:space="preserve"> </w:t>
        </w:r>
        <w:r>
          <w:rPr>
            <w:rStyle w:val="Hyperlink"/>
          </w:rPr>
          <w:t xml:space="preserve">IQ</w:t>
        </w:r>
        <w:r>
          <w:rPr>
            <w:rStyle w:val="Hyperlink"/>
          </w:rPr>
          <w:t xml:space="preserve"> </w:t>
        </w:r>
        <w:r>
          <w:rPr>
            <w:rStyle w:val="Hyperlink"/>
          </w:rPr>
          <w:t xml:space="preserve">test scores in children under 12 years: A systematic review and meta-analysis of case-control studies</w:t>
        </w:r>
      </w:hyperlink>
      <w:r>
        <w:t xml:space="preserve">. Syst Rev. 2022 May;11(1):106.</w:t>
      </w:r>
      <w:r>
        <w:t xml:space="preserve"> </w:t>
      </w:r>
    </w:p>
    <w:bookmarkEnd w:id="168"/>
    <w:bookmarkStart w:id="170" w:name="X99fa6bd9cd2521340285769f289a6c9d4bfe17b"/>
    <w:p>
      <w:pPr>
        <w:pStyle w:val="Bibliography"/>
      </w:pPr>
      <w:r>
        <w:t xml:space="preserve">54.</w:t>
      </w:r>
      <w:r>
        <w:t xml:space="preserve"> </w:t>
      </w:r>
      <w:r>
        <w:t xml:space="preserve">	</w:t>
      </w:r>
      <w:r>
        <w:t xml:space="preserve">Thompson B.</w:t>
      </w:r>
      <w:r>
        <w:t xml:space="preserve"> </w:t>
      </w:r>
      <w:hyperlink r:id="rId169">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70"/>
    <w:bookmarkStart w:id="172" w:name="Xec30ec7c912152a14c0f622040312567154bf15"/>
    <w:p>
      <w:pPr>
        <w:pStyle w:val="Bibliography"/>
      </w:pPr>
      <w:r>
        <w:t xml:space="preserve">55.</w:t>
      </w:r>
      <w:r>
        <w:t xml:space="preserve"> </w:t>
      </w:r>
      <w:r>
        <w:t xml:space="preserve">	</w:t>
      </w:r>
      <w:r>
        <w:t xml:space="preserve">Harrell FE.</w:t>
      </w:r>
      <w:r>
        <w:t xml:space="preserve"> </w:t>
      </w:r>
      <w:hyperlink r:id="rId171">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72"/>
    <w:bookmarkStart w:id="174" w:name="ref-gelman2013BayesianDataAnalysis"/>
    <w:p>
      <w:pPr>
        <w:pStyle w:val="Bibliography"/>
      </w:pPr>
      <w:r>
        <w:t xml:space="preserve">56.</w:t>
      </w:r>
      <w:r>
        <w:t xml:space="preserve"> </w:t>
      </w:r>
      <w:r>
        <w:t xml:space="preserve">	</w:t>
      </w:r>
      <w:r>
        <w:t xml:space="preserve">Gelman A, Carlin JB, Stern HS, Dunson DB, Vehtari A, Rubin DB.</w:t>
      </w:r>
      <w:r>
        <w:t xml:space="preserve"> </w:t>
      </w:r>
      <w:hyperlink r:id="rId173">
        <w:r>
          <w:rPr>
            <w:rStyle w:val="Hyperlink"/>
          </w:rPr>
          <w:t xml:space="preserve">Bayesian</w:t>
        </w:r>
        <w:r>
          <w:rPr>
            <w:rStyle w:val="Hyperlink"/>
          </w:rPr>
          <w:t xml:space="preserve"> </w:t>
        </w:r>
        <w:r>
          <w:rPr>
            <w:rStyle w:val="Hyperlink"/>
          </w:rPr>
          <w:t xml:space="preserve">Data Analysis</w:t>
        </w:r>
      </w:hyperlink>
      <w:r>
        <w:t xml:space="preserve">. 0th ed.</w:t>
      </w:r>
      <w:r>
        <w:t xml:space="preserve"> </w:t>
      </w:r>
      <w:r>
        <w:t xml:space="preserve">Chapman and Hall/CRC</w:t>
      </w:r>
      <w:r>
        <w:t xml:space="preserve">; 2013.</w:t>
      </w:r>
      <w:r>
        <w:t xml:space="preserve"> </w:t>
      </w:r>
    </w:p>
    <w:bookmarkEnd w:id="174"/>
    <w:bookmarkStart w:id="176" w:name="ref-gelman2020BayesianWorkflow"/>
    <w:p>
      <w:pPr>
        <w:pStyle w:val="Bibliography"/>
      </w:pPr>
      <w:r>
        <w:t xml:space="preserve">57.</w:t>
      </w:r>
      <w:r>
        <w:t xml:space="preserve"> </w:t>
      </w:r>
      <w:r>
        <w:t xml:space="preserve">	</w:t>
      </w:r>
      <w:r>
        <w:t xml:space="preserve">Gelman A, Vehtari A, Simpson D, Margossian CC, Carpenter B, Yao Y, et al.</w:t>
      </w:r>
      <w:r>
        <w:t xml:space="preserve"> </w:t>
      </w:r>
      <w:hyperlink r:id="rId175">
        <w:r>
          <w:rPr>
            <w:rStyle w:val="Hyperlink"/>
          </w:rPr>
          <w:t xml:space="preserve">Bayesian</w:t>
        </w:r>
        <w:r>
          <w:rPr>
            <w:rStyle w:val="Hyperlink"/>
          </w:rPr>
          <w:t xml:space="preserve"> </w:t>
        </w:r>
        <w:r>
          <w:rPr>
            <w:rStyle w:val="Hyperlink"/>
          </w:rPr>
          <w:t xml:space="preserve">Workflow</w:t>
        </w:r>
      </w:hyperlink>
      <w:r>
        <w:t xml:space="preserve">. arXiv; 2020.</w:t>
      </w:r>
      <w:r>
        <w:t xml:space="preserve"> </w:t>
      </w:r>
    </w:p>
    <w:bookmarkEnd w:id="176"/>
    <w:bookmarkStart w:id="178" w:name="ref-kazi2026PvaluesBayesFactor"/>
    <w:p>
      <w:pPr>
        <w:pStyle w:val="Bibliography"/>
      </w:pPr>
      <w:r>
        <w:t xml:space="preserve">58.</w:t>
      </w:r>
      <w:r>
        <w:t xml:space="preserve"> </w:t>
      </w:r>
      <w:r>
        <w:t xml:space="preserve">	</w:t>
      </w:r>
      <w:r>
        <w:t xml:space="preserve">Kazi M.</w:t>
      </w:r>
      <w:r>
        <w:t xml:space="preserve"> </w:t>
      </w:r>
      <w:hyperlink r:id="rId177">
        <w:r>
          <w:rPr>
            <w:rStyle w:val="Hyperlink"/>
          </w:rPr>
          <w:t xml:space="preserve">From p-values to</w:t>
        </w:r>
        <w:r>
          <w:rPr>
            <w:rStyle w:val="Hyperlink"/>
          </w:rPr>
          <w:t xml:space="preserve"> </w:t>
        </w:r>
        <w:r>
          <w:rPr>
            <w:rStyle w:val="Hyperlink"/>
          </w:rPr>
          <w:t xml:space="preserve">Bayes Factor</w:t>
        </w:r>
        <w:r>
          <w:rPr>
            <w:rStyle w:val="Hyperlink"/>
          </w:rPr>
          <w:t xml:space="preserve">:</w:t>
        </w:r>
        <w:r>
          <w:rPr>
            <w:rStyle w:val="Hyperlink"/>
          </w:rPr>
          <w:t xml:space="preserve"> </w:t>
        </w:r>
        <w:r>
          <w:rPr>
            <w:rStyle w:val="Hyperlink"/>
          </w:rPr>
          <w:t xml:space="preserve">A Meta-Analytic Comparison</w:t>
        </w:r>
        <w:r>
          <w:rPr>
            <w:rStyle w:val="Hyperlink"/>
          </w:rPr>
          <w:t xml:space="preserve"> </w:t>
        </w:r>
        <w:r>
          <w:rPr>
            <w:rStyle w:val="Hyperlink"/>
          </w:rPr>
          <w:t xml:space="preserve">in</w:t>
        </w:r>
        <w:r>
          <w:rPr>
            <w:rStyle w:val="Hyperlink"/>
          </w:rPr>
          <w:t xml:space="preserve"> </w:t>
        </w:r>
        <w:r>
          <w:rPr>
            <w:rStyle w:val="Hyperlink"/>
          </w:rPr>
          <w:t xml:space="preserve">Colorectal Research</w:t>
        </w:r>
      </w:hyperlink>
      <w:r>
        <w:t xml:space="preserve">. Indian J Surg Oncol. 2026 Jan;17(1):241–8.</w:t>
      </w:r>
      <w:r>
        <w:t xml:space="preserve"> </w:t>
      </w:r>
    </w:p>
    <w:bookmarkEnd w:id="178"/>
    <w:bookmarkStart w:id="180" w:name="X946754e67e3c74fad7a8806aa9d2819ed4ec186"/>
    <w:p>
      <w:pPr>
        <w:pStyle w:val="Bibliography"/>
      </w:pPr>
      <w:r>
        <w:t xml:space="preserve">59.</w:t>
      </w:r>
      <w:r>
        <w:t xml:space="preserve"> </w:t>
      </w:r>
      <w:r>
        <w:t xml:space="preserve">	</w:t>
      </w:r>
      <w:r>
        <w:t xml:space="preserve">Yao M, Deng K, Wang Y, Mei F, Zou K, Li L, et al.</w:t>
      </w:r>
      <w:r>
        <w:t xml:space="preserve"> </w:t>
      </w:r>
      <w:hyperlink r:id="rId179">
        <w:r>
          <w:rPr>
            <w:rStyle w:val="Hyperlink"/>
          </w:rPr>
          <w:t xml:space="preserve">Random-effects meta-analysis models for pooling rare events data: A comparison between frequentist and bayesian methods</w:t>
        </w:r>
      </w:hyperlink>
      <w:r>
        <w:t xml:space="preserve">. BMC Med Res Methodol. 2025 Oct;25(1):228.</w:t>
      </w:r>
      <w:r>
        <w:t xml:space="preserve"> </w:t>
      </w:r>
    </w:p>
    <w:bookmarkEnd w:id="180"/>
    <w:bookmarkStart w:id="182" w:name="ref-ciyer2025BayesianMetaanalysis21st"/>
    <w:p>
      <w:pPr>
        <w:pStyle w:val="Bibliography"/>
      </w:pPr>
      <w:r>
        <w:t xml:space="preserve">60.</w:t>
      </w:r>
      <w:r>
        <w:t xml:space="preserve"> </w:t>
      </w:r>
      <w:r>
        <w:t xml:space="preserve">	</w:t>
      </w:r>
      <w:r>
        <w:t xml:space="preserve">C Iyer S, Yap QV, Soong J, Cove M.</w:t>
      </w:r>
      <w:r>
        <w:t xml:space="preserve"> </w:t>
      </w:r>
      <w:hyperlink r:id="rId181">
        <w:r>
          <w:rPr>
            <w:rStyle w:val="Hyperlink"/>
          </w:rPr>
          <w:t xml:space="preserve">Bayesian meta-analysis in the 21st century:</w:t>
        </w:r>
        <w:r>
          <w:rPr>
            <w:rStyle w:val="Hyperlink"/>
          </w:rPr>
          <w:t xml:space="preserve"> </w:t>
        </w:r>
        <w:r>
          <w:rPr>
            <w:rStyle w:val="Hyperlink"/>
          </w:rPr>
          <w:t xml:space="preserve">Fad</w:t>
        </w:r>
        <w:r>
          <w:rPr>
            <w:rStyle w:val="Hyperlink"/>
          </w:rPr>
          <w:t xml:space="preserve"> </w:t>
        </w:r>
        <w:r>
          <w:rPr>
            <w:rStyle w:val="Hyperlink"/>
          </w:rPr>
          <w:t xml:space="preserve">or future of evidence synthesis?</w:t>
        </w:r>
      </w:hyperlink>
      <w:r>
        <w:t xml:space="preserve"> Ann Acad Med Singap. 2025 Jul;54(7):437.</w:t>
      </w:r>
      <w:r>
        <w:t xml:space="preserve"> </w:t>
      </w:r>
    </w:p>
    <w:bookmarkEnd w:id="182"/>
    <w:bookmarkStart w:id="184" w:name="ref-hong2013ComparingBayesianFrequentist"/>
    <w:p>
      <w:pPr>
        <w:pStyle w:val="Bibliography"/>
      </w:pPr>
      <w:r>
        <w:t xml:space="preserve">61.</w:t>
      </w:r>
      <w:r>
        <w:t xml:space="preserve"> </w:t>
      </w:r>
      <w:r>
        <w:t xml:space="preserve">	</w:t>
      </w:r>
      <w:r>
        <w:t xml:space="preserve">Hong H, Carlin BP, Shamliyan TA, Wyman JF, Ramakrishnan R, Sainfort F, et al.</w:t>
      </w:r>
      <w:r>
        <w:t xml:space="preserve"> </w:t>
      </w:r>
      <w:hyperlink r:id="rId183">
        <w:r>
          <w:rPr>
            <w:rStyle w:val="Hyperlink"/>
          </w:rPr>
          <w:t xml:space="preserve">Comparing</w:t>
        </w:r>
        <w:r>
          <w:rPr>
            <w:rStyle w:val="Hyperlink"/>
          </w:rPr>
          <w:t xml:space="preserve"> </w:t>
        </w:r>
        <w:r>
          <w:rPr>
            <w:rStyle w:val="Hyperlink"/>
          </w:rPr>
          <w:t xml:space="preserve">Bayesian</w:t>
        </w:r>
        <w:r>
          <w:rPr>
            <w:rStyle w:val="Hyperlink"/>
          </w:rPr>
          <w:t xml:space="preserve"> </w:t>
        </w:r>
        <w:r>
          <w:rPr>
            <w:rStyle w:val="Hyperlink"/>
          </w:rPr>
          <w:t xml:space="preserve">and</w:t>
        </w:r>
        <w:r>
          <w:rPr>
            <w:rStyle w:val="Hyperlink"/>
          </w:rPr>
          <w:t xml:space="preserve"> </w:t>
        </w:r>
        <w:r>
          <w:rPr>
            <w:rStyle w:val="Hyperlink"/>
          </w:rPr>
          <w:t xml:space="preserve">Frequentist Approaches</w:t>
        </w:r>
        <w:r>
          <w:rPr>
            <w:rStyle w:val="Hyperlink"/>
          </w:rPr>
          <w:t xml:space="preserve"> </w:t>
        </w:r>
        <w:r>
          <w:rPr>
            <w:rStyle w:val="Hyperlink"/>
          </w:rPr>
          <w:t xml:space="preserve">for</w:t>
        </w:r>
        <w:r>
          <w:rPr>
            <w:rStyle w:val="Hyperlink"/>
          </w:rPr>
          <w:t xml:space="preserve"> </w:t>
        </w:r>
        <w:r>
          <w:rPr>
            <w:rStyle w:val="Hyperlink"/>
          </w:rPr>
          <w:t xml:space="preserve">Multiple Outcome Mixed Treatment Comparisons</w:t>
        </w:r>
      </w:hyperlink>
      <w:r>
        <w:t xml:space="preserve">. Med Decis Making. 2013 Jul;33(5):702–14.</w:t>
      </w:r>
      <w:r>
        <w:t xml:space="preserve"> </w:t>
      </w:r>
    </w:p>
    <w:bookmarkEnd w:id="184"/>
    <w:bookmarkStart w:id="186" w:name="ref-sadeghirad2023TheoryPracticeBayesian"/>
    <w:p>
      <w:pPr>
        <w:pStyle w:val="Bibliography"/>
      </w:pPr>
      <w:r>
        <w:t xml:space="preserve">62.</w:t>
      </w:r>
      <w:r>
        <w:t xml:space="preserve"> </w:t>
      </w:r>
      <w:r>
        <w:t xml:space="preserve">	</w:t>
      </w:r>
      <w:r>
        <w:t xml:space="preserve">Sadeghirad B, Foroutan F, Zoratti MJ, Busse JW, Brignardello-Petersen R, Guyatt G, et al.</w:t>
      </w:r>
      <w:r>
        <w:t xml:space="preserve"> </w:t>
      </w:r>
      <w:hyperlink r:id="rId185">
        <w:r>
          <w:rPr>
            <w:rStyle w:val="Hyperlink"/>
          </w:rPr>
          <w:t xml:space="preserve">Theory and practice of</w:t>
        </w:r>
        <w:r>
          <w:rPr>
            <w:rStyle w:val="Hyperlink"/>
          </w:rPr>
          <w:t xml:space="preserve"> </w:t>
        </w:r>
        <w:r>
          <w:rPr>
            <w:rStyle w:val="Hyperlink"/>
          </w:rPr>
          <w:t xml:space="preserve">Bayesian</w:t>
        </w:r>
        <w:r>
          <w:rPr>
            <w:rStyle w:val="Hyperlink"/>
          </w:rPr>
          <w:t xml:space="preserve"> </w:t>
        </w:r>
        <w:r>
          <w:rPr>
            <w:rStyle w:val="Hyperlink"/>
          </w:rPr>
          <w:t xml:space="preserve">and frequentist frameworks for network meta-analysis</w:t>
        </w:r>
      </w:hyperlink>
      <w:r>
        <w:t xml:space="preserve">. BMJ EBM. 2023 Jun;28(3):204–9.</w:t>
      </w:r>
      <w:r>
        <w:t xml:space="preserve"> </w:t>
      </w:r>
    </w:p>
    <w:bookmarkEnd w:id="186"/>
    <w:bookmarkStart w:id="188" w:name="X55ae1a8b757df519e0a47e2002b3acc0b2e73ec"/>
    <w:p>
      <w:pPr>
        <w:pStyle w:val="Bibliography"/>
      </w:pPr>
      <w:r>
        <w:t xml:space="preserve">63.</w:t>
      </w:r>
      <w:r>
        <w:t xml:space="preserve"> </w:t>
      </w:r>
      <w:r>
        <w:t xml:space="preserve">	</w:t>
      </w:r>
      <w:r>
        <w:t xml:space="preserve">Seide SE, Jensen K, Kieser M.</w:t>
      </w:r>
      <w:r>
        <w:t xml:space="preserve"> </w:t>
      </w:r>
      <w:hyperlink r:id="rId187">
        <w:r>
          <w:rPr>
            <w:rStyle w:val="Hyperlink"/>
          </w:rPr>
          <w:t xml:space="preserve">A comparison of</w:t>
        </w:r>
        <w:r>
          <w:rPr>
            <w:rStyle w:val="Hyperlink"/>
          </w:rPr>
          <w:t xml:space="preserve"> </w:t>
        </w:r>
        <w:r>
          <w:rPr>
            <w:rStyle w:val="Hyperlink"/>
          </w:rPr>
          <w:t xml:space="preserve">Bayesian</w:t>
        </w:r>
        <w:r>
          <w:rPr>
            <w:rStyle w:val="Hyperlink"/>
          </w:rPr>
          <w:t xml:space="preserve"> </w:t>
        </w:r>
        <w:r>
          <w:rPr>
            <w:rStyle w:val="Hyperlink"/>
          </w:rPr>
          <w:t xml:space="preserve">and frequentist methods in random-effects network meta-analysis of binary data</w:t>
        </w:r>
      </w:hyperlink>
      <w:r>
        <w:t xml:space="preserve">. Research Synthesis Methods. 2020 May;11(3):363–78.</w:t>
      </w:r>
      <w:r>
        <w:t xml:space="preserve"> </w:t>
      </w:r>
    </w:p>
    <w:bookmarkEnd w:id="188"/>
    <w:bookmarkEnd w:id="189"/>
    <w:bookmarkEnd w:id="190"/>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2"/>
  </w:num>
  <w:num w:numId="1013">
    <w:abstractNumId w:val="992"/>
  </w:num>
  <w:num w:numId="1014">
    <w:abstractNumId w:val="991"/>
  </w:num>
  <w:num w:numId="1015">
    <w:abstractNumId w:val="991"/>
  </w:num>
  <w:num w:numId="1016">
    <w:abstractNumId w:val="991"/>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hyperlink" Id="rId93" Target="https://doi.org/10.1001/jama.1990.03440050067035" TargetMode="External" /><Relationship Type="http://schemas.openxmlformats.org/officeDocument/2006/relationships/hyperlink" Id="rId187" Target="https://doi.org/10.1002/jrsm.1397" TargetMode="External" /><Relationship Type="http://schemas.openxmlformats.org/officeDocument/2006/relationships/hyperlink" Id="rId103" Target="https://doi.org/10.1006/enrs.1994.1020" TargetMode="External" /><Relationship Type="http://schemas.openxmlformats.org/officeDocument/2006/relationships/hyperlink" Id="rId171" Target="https://doi.org/10.1007/978-3-319-19425-7" TargetMode="External" /><Relationship Type="http://schemas.openxmlformats.org/officeDocument/2006/relationships/hyperlink" Id="rId87" Target="https://doi.org/10.1007/s11121-023-01601-6" TargetMode="External" /><Relationship Type="http://schemas.openxmlformats.org/officeDocument/2006/relationships/hyperlink" Id="rId73" Target="https://doi.org/10.1007/s12403-023-00535-2" TargetMode="External" /><Relationship Type="http://schemas.openxmlformats.org/officeDocument/2006/relationships/hyperlink" Id="rId177" Target="https://doi.org/10.1007/s13193-025-02314-8" TargetMode="External" /><Relationship Type="http://schemas.openxmlformats.org/officeDocument/2006/relationships/hyperlink" Id="rId75" Target="https://doi.org/10.1016/S0140-6736(24)00933-4" TargetMode="External" /><Relationship Type="http://schemas.openxmlformats.org/officeDocument/2006/relationships/hyperlink" Id="rId83" Target="https://doi.org/10.1016/S2468-2667(18)30025-2" TargetMode="External" /><Relationship Type="http://schemas.openxmlformats.org/officeDocument/2006/relationships/hyperlink" Id="rId99" Target="https://doi.org/10.1016/S2542-5196(23)00166-3" TargetMode="External" /><Relationship Type="http://schemas.openxmlformats.org/officeDocument/2006/relationships/hyperlink" Id="rId69" Target="https://doi.org/10.1016/j.chemosphere.2023.138207" TargetMode="External" /><Relationship Type="http://schemas.openxmlformats.org/officeDocument/2006/relationships/hyperlink" Id="rId79"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50" Target="https://doi.org/10.1016/j.envint.2021.106798" TargetMode="External" /><Relationship Type="http://schemas.openxmlformats.org/officeDocument/2006/relationships/hyperlink" Id="rId89" Target="https://doi.org/10.1016/j.envint.2025.109786" TargetMode="External" /><Relationship Type="http://schemas.openxmlformats.org/officeDocument/2006/relationships/hyperlink" Id="rId85" Target="https://doi.org/10.1016/j.envres.2005.10.004" TargetMode="External" /><Relationship Type="http://schemas.openxmlformats.org/officeDocument/2006/relationships/hyperlink" Id="rId155" Target="https://doi.org/10.1016/j.envres.2012.08.003" TargetMode="External" /><Relationship Type="http://schemas.openxmlformats.org/officeDocument/2006/relationships/hyperlink" Id="rId107" Target="https://doi.org/10.1016/j.envres.2019.02.023" TargetMode="External" /><Relationship Type="http://schemas.openxmlformats.org/officeDocument/2006/relationships/hyperlink" Id="rId109" Target="https://doi.org/10.1016/j.envres.2024.120013" TargetMode="External" /><Relationship Type="http://schemas.openxmlformats.org/officeDocument/2006/relationships/hyperlink" Id="rId153"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28" Target="https://doi.org/10.1038/s41370-022-00450-9" TargetMode="External" /><Relationship Type="http://schemas.openxmlformats.org/officeDocument/2006/relationships/hyperlink" Id="rId123" Target="https://doi.org/10.1038/s41562-021-01177-7" TargetMode="External" /><Relationship Type="http://schemas.openxmlformats.org/officeDocument/2006/relationships/hyperlink" Id="rId67" Target="https://doi.org/10.1038/s41598-025-17943-w" TargetMode="External" /><Relationship Type="http://schemas.openxmlformats.org/officeDocument/2006/relationships/hyperlink" Id="rId77" Target="https://doi.org/10.1053/j.ajkd.2018.02.358" TargetMode="External" /><Relationship Type="http://schemas.openxmlformats.org/officeDocument/2006/relationships/hyperlink" Id="rId91" Target="https://doi.org/10.1056/NEJM199210293271805" TargetMode="External" /><Relationship Type="http://schemas.openxmlformats.org/officeDocument/2006/relationships/hyperlink" Id="rId105" Target="https://doi.org/10.1056/NEJMoa022848" TargetMode="External" /><Relationship Type="http://schemas.openxmlformats.org/officeDocument/2006/relationships/hyperlink" Id="rId111" Target="https://doi.org/10.1073/pnas.2118631119" TargetMode="External" /><Relationship Type="http://schemas.openxmlformats.org/officeDocument/2006/relationships/hyperlink" Id="rId159" Target="https://doi.org/10.1111/ajpy.12096" TargetMode="External" /><Relationship Type="http://schemas.openxmlformats.org/officeDocument/2006/relationships/hyperlink" Id="rId165" Target="https://doi.org/10.1136/bmj.309.6963.1189" TargetMode="External" /><Relationship Type="http://schemas.openxmlformats.org/officeDocument/2006/relationships/hyperlink" Id="rId121" Target="https://doi.org/10.1136/bmj.n71" TargetMode="External" /><Relationship Type="http://schemas.openxmlformats.org/officeDocument/2006/relationships/hyperlink" Id="rId185" Target="https://doi.org/10.1136/bmjebm-2022-111928" TargetMode="External" /><Relationship Type="http://schemas.openxmlformats.org/officeDocument/2006/relationships/hyperlink" Id="rId81" Target="https://doi.org/10.1161/JAHA.124.037633" TargetMode="External" /><Relationship Type="http://schemas.openxmlformats.org/officeDocument/2006/relationships/hyperlink" Id="rId169" Target="https://doi.org/10.1177/0013164495055004001" TargetMode="External" /><Relationship Type="http://schemas.openxmlformats.org/officeDocument/2006/relationships/hyperlink" Id="rId183"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57" Target="https://doi.org/10.1186/s12940-019-0505-3" TargetMode="External" /><Relationship Type="http://schemas.openxmlformats.org/officeDocument/2006/relationships/hyperlink" Id="rId163" Target="https://doi.org/10.1186/s12940-023-01029-z" TargetMode="External" /><Relationship Type="http://schemas.openxmlformats.org/officeDocument/2006/relationships/hyperlink" Id="rId167"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117" Target="https://doi.org/10.1201/9781003375821" TargetMode="External" /><Relationship Type="http://schemas.openxmlformats.org/officeDocument/2006/relationships/hyperlink" Id="rId173" Target="https://doi.org/10.1201/b16018" TargetMode="External" /><Relationship Type="http://schemas.openxmlformats.org/officeDocument/2006/relationships/hyperlink" Id="rId115" Target="https://doi.org/10.1289/EHP5685" TargetMode="External" /><Relationship Type="http://schemas.openxmlformats.org/officeDocument/2006/relationships/hyperlink" Id="rId132" Target="https://doi.org/10.1289/ehp.8552" TargetMode="External" /><Relationship Type="http://schemas.openxmlformats.org/officeDocument/2006/relationships/hyperlink" Id="rId95" Target="https://doi.org/10.1542/peds.90.6.855" TargetMode="External" /><Relationship Type="http://schemas.openxmlformats.org/officeDocument/2006/relationships/hyperlink" Id="rId140" Target="https://doi.org/10.18637/jss.v036.i03" TargetMode="External" /><Relationship Type="http://schemas.openxmlformats.org/officeDocument/2006/relationships/hyperlink" Id="rId135" Target="https://doi.org/10.18637/jss.v080.i01" TargetMode="External" /><Relationship Type="http://schemas.openxmlformats.org/officeDocument/2006/relationships/hyperlink" Id="rId101" Target="https://doi.org/10.2903/j.efsa.2010.1570" TargetMode="External" /><Relationship Type="http://schemas.openxmlformats.org/officeDocument/2006/relationships/hyperlink" Id="rId71" Target="https://doi.org/10.2903/j.efsa.2012.2831" TargetMode="External" /><Relationship Type="http://schemas.openxmlformats.org/officeDocument/2006/relationships/hyperlink" Id="rId126" Target="https://doi.org/10.2903/sp.efsa.2024.EN-8925" TargetMode="External" /><Relationship Type="http://schemas.openxmlformats.org/officeDocument/2006/relationships/hyperlink" Id="rId113" Target="https://doi.org/10.3109/10408444.2013.832726" TargetMode="External" /><Relationship Type="http://schemas.openxmlformats.org/officeDocument/2006/relationships/hyperlink" Id="rId119" Target="https://doi.org/10.3758/s13423-013-0572-3" TargetMode="External" /><Relationship Type="http://schemas.openxmlformats.org/officeDocument/2006/relationships/hyperlink" Id="rId181" Target="https://doi.org/10.47102/annals-acadmedsg.2025104" TargetMode="External" /><Relationship Type="http://schemas.openxmlformats.org/officeDocument/2006/relationships/hyperlink" Id="rId137" Target="https://doi.org/10.48550/ARXIV.1111.4246" TargetMode="External" /><Relationship Type="http://schemas.openxmlformats.org/officeDocument/2006/relationships/hyperlink" Id="rId175" Target="https://doi.org/10.48550/ARXIV.2011.01808" TargetMode="External" /><Relationship Type="http://schemas.openxmlformats.org/officeDocument/2006/relationships/hyperlink" Id="rId142" Target="https://doi.org/doi:10.1289/EHP6803" TargetMode="External" /><Relationship Type="http://schemas.openxmlformats.org/officeDocument/2006/relationships/hyperlink" Id="rId148" Target="https://doi.org/doi:10.1289/ehp.1307420" TargetMode="External" /><Relationship Type="http://schemas.openxmlformats.org/officeDocument/2006/relationships/hyperlink" Id="rId130" Target="https://doi.org/doi:10.1289/ehp.7625" TargetMode="External" /><Relationship Type="http://schemas.openxmlformats.org/officeDocument/2006/relationships/hyperlink" Id="rId9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1/jama.1990.03440050067035" TargetMode="External" /><Relationship Type="http://schemas.openxmlformats.org/officeDocument/2006/relationships/hyperlink" Id="rId187" Target="https://doi.org/10.1002/jrsm.1397" TargetMode="External" /><Relationship Type="http://schemas.openxmlformats.org/officeDocument/2006/relationships/hyperlink" Id="rId103" Target="https://doi.org/10.1006/enrs.1994.1020" TargetMode="External" /><Relationship Type="http://schemas.openxmlformats.org/officeDocument/2006/relationships/hyperlink" Id="rId171" Target="https://doi.org/10.1007/978-3-319-19425-7" TargetMode="External" /><Relationship Type="http://schemas.openxmlformats.org/officeDocument/2006/relationships/hyperlink" Id="rId87" Target="https://doi.org/10.1007/s11121-023-01601-6" TargetMode="External" /><Relationship Type="http://schemas.openxmlformats.org/officeDocument/2006/relationships/hyperlink" Id="rId73" Target="https://doi.org/10.1007/s12403-023-00535-2" TargetMode="External" /><Relationship Type="http://schemas.openxmlformats.org/officeDocument/2006/relationships/hyperlink" Id="rId177" Target="https://doi.org/10.1007/s13193-025-02314-8" TargetMode="External" /><Relationship Type="http://schemas.openxmlformats.org/officeDocument/2006/relationships/hyperlink" Id="rId75" Target="https://doi.org/10.1016/S0140-6736(24)00933-4" TargetMode="External" /><Relationship Type="http://schemas.openxmlformats.org/officeDocument/2006/relationships/hyperlink" Id="rId83" Target="https://doi.org/10.1016/S2468-2667(18)30025-2" TargetMode="External" /><Relationship Type="http://schemas.openxmlformats.org/officeDocument/2006/relationships/hyperlink" Id="rId99" Target="https://doi.org/10.1016/S2542-5196(23)00166-3" TargetMode="External" /><Relationship Type="http://schemas.openxmlformats.org/officeDocument/2006/relationships/hyperlink" Id="rId69" Target="https://doi.org/10.1016/j.chemosphere.2023.138207" TargetMode="External" /><Relationship Type="http://schemas.openxmlformats.org/officeDocument/2006/relationships/hyperlink" Id="rId79"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50" Target="https://doi.org/10.1016/j.envint.2021.106798" TargetMode="External" /><Relationship Type="http://schemas.openxmlformats.org/officeDocument/2006/relationships/hyperlink" Id="rId89" Target="https://doi.org/10.1016/j.envint.2025.109786" TargetMode="External" /><Relationship Type="http://schemas.openxmlformats.org/officeDocument/2006/relationships/hyperlink" Id="rId85" Target="https://doi.org/10.1016/j.envres.2005.10.004" TargetMode="External" /><Relationship Type="http://schemas.openxmlformats.org/officeDocument/2006/relationships/hyperlink" Id="rId155" Target="https://doi.org/10.1016/j.envres.2012.08.003" TargetMode="External" /><Relationship Type="http://schemas.openxmlformats.org/officeDocument/2006/relationships/hyperlink" Id="rId107" Target="https://doi.org/10.1016/j.envres.2019.02.023" TargetMode="External" /><Relationship Type="http://schemas.openxmlformats.org/officeDocument/2006/relationships/hyperlink" Id="rId109" Target="https://doi.org/10.1016/j.envres.2024.120013" TargetMode="External" /><Relationship Type="http://schemas.openxmlformats.org/officeDocument/2006/relationships/hyperlink" Id="rId153"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28" Target="https://doi.org/10.1038/s41370-022-00450-9" TargetMode="External" /><Relationship Type="http://schemas.openxmlformats.org/officeDocument/2006/relationships/hyperlink" Id="rId123" Target="https://doi.org/10.1038/s41562-021-01177-7" TargetMode="External" /><Relationship Type="http://schemas.openxmlformats.org/officeDocument/2006/relationships/hyperlink" Id="rId67" Target="https://doi.org/10.1038/s41598-025-17943-w" TargetMode="External" /><Relationship Type="http://schemas.openxmlformats.org/officeDocument/2006/relationships/hyperlink" Id="rId77" Target="https://doi.org/10.1053/j.ajkd.2018.02.358" TargetMode="External" /><Relationship Type="http://schemas.openxmlformats.org/officeDocument/2006/relationships/hyperlink" Id="rId91" Target="https://doi.org/10.1056/NEJM199210293271805" TargetMode="External" /><Relationship Type="http://schemas.openxmlformats.org/officeDocument/2006/relationships/hyperlink" Id="rId105" Target="https://doi.org/10.1056/NEJMoa022848" TargetMode="External" /><Relationship Type="http://schemas.openxmlformats.org/officeDocument/2006/relationships/hyperlink" Id="rId111" Target="https://doi.org/10.1073/pnas.2118631119" TargetMode="External" /><Relationship Type="http://schemas.openxmlformats.org/officeDocument/2006/relationships/hyperlink" Id="rId159" Target="https://doi.org/10.1111/ajpy.12096" TargetMode="External" /><Relationship Type="http://schemas.openxmlformats.org/officeDocument/2006/relationships/hyperlink" Id="rId165" Target="https://doi.org/10.1136/bmj.309.6963.1189" TargetMode="External" /><Relationship Type="http://schemas.openxmlformats.org/officeDocument/2006/relationships/hyperlink" Id="rId121" Target="https://doi.org/10.1136/bmj.n71" TargetMode="External" /><Relationship Type="http://schemas.openxmlformats.org/officeDocument/2006/relationships/hyperlink" Id="rId185" Target="https://doi.org/10.1136/bmjebm-2022-111928" TargetMode="External" /><Relationship Type="http://schemas.openxmlformats.org/officeDocument/2006/relationships/hyperlink" Id="rId81" Target="https://doi.org/10.1161/JAHA.124.037633" TargetMode="External" /><Relationship Type="http://schemas.openxmlformats.org/officeDocument/2006/relationships/hyperlink" Id="rId169" Target="https://doi.org/10.1177/0013164495055004001" TargetMode="External" /><Relationship Type="http://schemas.openxmlformats.org/officeDocument/2006/relationships/hyperlink" Id="rId183"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57" Target="https://doi.org/10.1186/s12940-019-0505-3" TargetMode="External" /><Relationship Type="http://schemas.openxmlformats.org/officeDocument/2006/relationships/hyperlink" Id="rId163" Target="https://doi.org/10.1186/s12940-023-01029-z" TargetMode="External" /><Relationship Type="http://schemas.openxmlformats.org/officeDocument/2006/relationships/hyperlink" Id="rId167"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117" Target="https://doi.org/10.1201/9781003375821" TargetMode="External" /><Relationship Type="http://schemas.openxmlformats.org/officeDocument/2006/relationships/hyperlink" Id="rId173" Target="https://doi.org/10.1201/b16018" TargetMode="External" /><Relationship Type="http://schemas.openxmlformats.org/officeDocument/2006/relationships/hyperlink" Id="rId115" Target="https://doi.org/10.1289/EHP5685" TargetMode="External" /><Relationship Type="http://schemas.openxmlformats.org/officeDocument/2006/relationships/hyperlink" Id="rId132" Target="https://doi.org/10.1289/ehp.8552" TargetMode="External" /><Relationship Type="http://schemas.openxmlformats.org/officeDocument/2006/relationships/hyperlink" Id="rId95" Target="https://doi.org/10.1542/peds.90.6.855" TargetMode="External" /><Relationship Type="http://schemas.openxmlformats.org/officeDocument/2006/relationships/hyperlink" Id="rId140" Target="https://doi.org/10.18637/jss.v036.i03" TargetMode="External" /><Relationship Type="http://schemas.openxmlformats.org/officeDocument/2006/relationships/hyperlink" Id="rId135" Target="https://doi.org/10.18637/jss.v080.i01" TargetMode="External" /><Relationship Type="http://schemas.openxmlformats.org/officeDocument/2006/relationships/hyperlink" Id="rId101" Target="https://doi.org/10.2903/j.efsa.2010.1570" TargetMode="External" /><Relationship Type="http://schemas.openxmlformats.org/officeDocument/2006/relationships/hyperlink" Id="rId71" Target="https://doi.org/10.2903/j.efsa.2012.2831" TargetMode="External" /><Relationship Type="http://schemas.openxmlformats.org/officeDocument/2006/relationships/hyperlink" Id="rId126" Target="https://doi.org/10.2903/sp.efsa.2024.EN-8925" TargetMode="External" /><Relationship Type="http://schemas.openxmlformats.org/officeDocument/2006/relationships/hyperlink" Id="rId113" Target="https://doi.org/10.3109/10408444.2013.832726" TargetMode="External" /><Relationship Type="http://schemas.openxmlformats.org/officeDocument/2006/relationships/hyperlink" Id="rId119" Target="https://doi.org/10.3758/s13423-013-0572-3" TargetMode="External" /><Relationship Type="http://schemas.openxmlformats.org/officeDocument/2006/relationships/hyperlink" Id="rId181" Target="https://doi.org/10.47102/annals-acadmedsg.2025104" TargetMode="External" /><Relationship Type="http://schemas.openxmlformats.org/officeDocument/2006/relationships/hyperlink" Id="rId137" Target="https://doi.org/10.48550/ARXIV.1111.4246" TargetMode="External" /><Relationship Type="http://schemas.openxmlformats.org/officeDocument/2006/relationships/hyperlink" Id="rId175" Target="https://doi.org/10.48550/ARXIV.2011.01808" TargetMode="External" /><Relationship Type="http://schemas.openxmlformats.org/officeDocument/2006/relationships/hyperlink" Id="rId142" Target="https://doi.org/doi:10.1289/EHP6803" TargetMode="External" /><Relationship Type="http://schemas.openxmlformats.org/officeDocument/2006/relationships/hyperlink" Id="rId148" Target="https://doi.org/doi:10.1289/ehp.1307420" TargetMode="External" /><Relationship Type="http://schemas.openxmlformats.org/officeDocument/2006/relationships/hyperlink" Id="rId130" Target="https://doi.org/doi:10.1289/ehp.7625" TargetMode="External" /><Relationship Type="http://schemas.openxmlformats.org/officeDocument/2006/relationships/hyperlink" Id="rId9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Sell1,✉, Margaux Sanchez2, Philippe Palmont2, and Dietrich Plass1</dc:creator>
  <cp:keywords/>
  <dcterms:created xsi:type="dcterms:W3CDTF">2026-03-02T09:17:34Z</dcterms:created>
  <dcterms:modified xsi:type="dcterms:W3CDTF">2026-03-02T09:17:34Z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2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