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Lead Exposure and IQ Loss in Children: a Bayesian and Frequentist Meta Analysis of Recent Epidemiological Studies</w:t>
      </w:r>
    </w:p>
    <w:p>
      <w:pPr>
        <w:pStyle w:val="Author"/>
      </w:pPr>
      <w:r>
        <w:t xml:space="preserve">Paulina Sell</w:t>
      </w:r>
    </w:p>
    <w:p>
      <w:pPr>
        <w:pStyle w:val="Author"/>
      </w:pPr>
      <w:r>
        <w:t xml:space="preserve">Margaux Sanchez</w:t>
      </w:r>
    </w:p>
    <w:p>
      <w:pPr>
        <w:pStyle w:val="Author"/>
      </w:pPr>
      <w:r>
        <w:t xml:space="preserve">Philippe Palmont</w:t>
      </w:r>
    </w:p>
    <w:p>
      <w:pPr>
        <w:pStyle w:val="Author"/>
      </w:pPr>
      <w:r>
        <w:t xml:space="preserve">Dietrich Plass</w:t>
      </w:r>
    </w:p>
    <w:bookmarkStart w:id="23" w:name="notes"/>
    <w:p>
      <w:pPr>
        <w:pStyle w:val="Heading1"/>
      </w:pPr>
      <w:r>
        <w:t xml:space="preserve">Notes</w:t>
      </w:r>
    </w:p>
    <w:p>
      <w:pPr>
        <w:pStyle w:val="Compact"/>
        <w:numPr>
          <w:ilvl w:val="0"/>
          <w:numId w:val="1001"/>
        </w:numPr>
      </w:pPr>
      <w:r>
        <w:t xml:space="preserve">Journal:</w:t>
      </w:r>
      <w:r>
        <w:t xml:space="preserve"> </w:t>
      </w:r>
      <w:hyperlink r:id="rId20">
        <w:r>
          <w:rPr>
            <w:rStyle w:val="Hyperlink"/>
          </w:rPr>
          <w:t xml:space="preserve">Population Health Metrics, BMC</w:t>
        </w:r>
      </w:hyperlink>
    </w:p>
    <w:p>
      <w:pPr>
        <w:pStyle w:val="Compact"/>
        <w:numPr>
          <w:ilvl w:val="0"/>
          <w:numId w:val="1001"/>
        </w:numPr>
      </w:pPr>
      <w:r>
        <w:t xml:space="preserve">Using</w:t>
      </w:r>
      <w:r>
        <w:t xml:space="preserve"> </w:t>
      </w:r>
      <w:hyperlink r:id="rId21">
        <w:r>
          <w:rPr>
            <w:rStyle w:val="Hyperlink"/>
          </w:rPr>
          <w:t xml:space="preserve">PRISMA 2020 checklist</w:t>
        </w:r>
      </w:hyperlink>
      <w:r>
        <w:t xml:space="preserve"> </w:t>
      </w:r>
      <w:r>
        <w:t xml:space="preserve">for structure</w:t>
      </w:r>
    </w:p>
    <w:p>
      <w:pPr>
        <w:pStyle w:val="Compact"/>
        <w:numPr>
          <w:ilvl w:val="0"/>
          <w:numId w:val="1001"/>
        </w:numPr>
      </w:pPr>
      <w:r>
        <w:t xml:space="preserve">Using</w:t>
      </w:r>
      <w:r>
        <w:t xml:space="preserve"> </w:t>
      </w:r>
      <w:hyperlink r:id="rId22">
        <w:r>
          <w:rPr>
            <w:rStyle w:val="Hyperlink"/>
          </w:rPr>
          <w:t xml:space="preserve">raRoB tool</w:t>
        </w:r>
      </w:hyperlink>
      <w:r>
        <w:t xml:space="preserve"> </w:t>
      </w:r>
      <w:r>
        <w:t xml:space="preserve">for Risk of Bias Assessment</w:t>
      </w:r>
    </w:p>
    <w:bookmarkEnd w:id="23"/>
    <w:bookmarkStart w:id="24" w:name="abstract"/>
    <w:p>
      <w:pPr>
        <w:pStyle w:val="Heading1"/>
      </w:pPr>
      <w:r>
        <w:t xml:space="preserve">Abstract</w:t>
      </w:r>
    </w:p>
    <w:p>
      <w:r>
        <w:br w:type="page"/>
      </w:r>
    </w:p>
    <w:bookmarkEnd w:id="24"/>
    <w:bookmarkStart w:id="26" w:name="background"/>
    <w:p>
      <w:pPr>
        <w:pStyle w:val="Heading1"/>
      </w:pPr>
      <w:r>
        <w:t xml:space="preserve">1. Background</w:t>
      </w:r>
    </w:p>
    <w:p>
      <w:pPr>
        <w:pStyle w:val="Compact"/>
        <w:numPr>
          <w:ilvl w:val="0"/>
          <w:numId w:val="1002"/>
        </w:numPr>
      </w:pPr>
      <w:r>
        <w:t xml:space="preserve">Intro: Lead, health effects, burden of disease</w:t>
      </w:r>
    </w:p>
    <w:p>
      <w:pPr>
        <w:pStyle w:val="Compact"/>
        <w:numPr>
          <w:ilvl w:val="0"/>
          <w:numId w:val="1003"/>
        </w:numPr>
      </w:pPr>
      <w:r>
        <w:t xml:space="preserve">Currently used ERFs</w:t>
      </w:r>
    </w:p>
    <w:p>
      <w:pPr>
        <w:pStyle w:val="Compact"/>
        <w:numPr>
          <w:ilvl w:val="0"/>
          <w:numId w:val="1004"/>
        </w:numPr>
      </w:pPr>
      <w:r>
        <w:t xml:space="preserve">Rationale for methodological comparison (BMA - FMA)</w:t>
      </w:r>
    </w:p>
    <w:p>
      <w:pPr>
        <w:pStyle w:val="Compact"/>
        <w:numPr>
          <w:ilvl w:val="0"/>
          <w:numId w:val="1005"/>
        </w:numPr>
      </w:pPr>
      <w:r>
        <w:t xml:space="preserve">Aim of this study</w:t>
      </w:r>
      <w:r>
        <w:br/>
      </w:r>
    </w:p>
    <w:p>
      <w:pPr>
        <w:pStyle w:val="FirstParagraph"/>
      </w:pPr>
      <w:r>
        <w:t xml:space="preserve">Lead (Pb) is a pervasive environmental pollutant originating from anthropogenic and natural sources.</w:t>
      </w:r>
      <w:r>
        <w:t xml:space="preserve"> </w:t>
      </w:r>
      <w:r>
        <w:t xml:space="preserve">Although concentrations have declined in past decades following the phase-out of leaded gasoline, lead remains present in the environment and human blood</w:t>
      </w:r>
      <w:r>
        <w:t xml:space="preserve"> </w:t>
      </w:r>
      <w:r>
        <w:t xml:space="preserve">(1,2)</w:t>
      </w:r>
      <w:r>
        <w:t xml:space="preserve">.</w:t>
      </w:r>
      <w:r>
        <w:t xml:space="preserve"> </w:t>
      </w:r>
      <w:r>
        <w:t xml:space="preserve">In Europe, primary exposure pathways include dietary products, drinking water, and indoor dust</w:t>
      </w:r>
      <w:r>
        <w:t xml:space="preserve"> </w:t>
      </w:r>
      <w:r>
        <w:t xml:space="preserve">(3,4)</w:t>
      </w:r>
      <w:r>
        <w:t xml:space="preserve">.</w:t>
      </w:r>
      <w:r>
        <w:t xml:space="preserve"> </w:t>
      </w:r>
      <w:r>
        <w:t xml:space="preserve">The Global Burden of Disease Study 2023 estimated that 3.4 million (95% Confidence Interval (CI): 2.7; 4.0 million) Disability-Adjusted Life Years (DALYs) were attributable to lead exposure in 2023 in the European Union (EU)</w:t>
      </w:r>
      <w:r>
        <w:t xml:space="preserve"> </w:t>
      </w:r>
      <w:r>
        <w:t xml:space="preserve">(5)</w:t>
      </w:r>
      <w:r>
        <w:t xml:space="preserve">, underscoring the continued public health significance even of low-level exposure.</w:t>
      </w:r>
    </w:p>
    <w:p>
      <w:pPr>
        <w:pStyle w:val="BodyText"/>
      </w:pPr>
      <w:r>
        <w:t xml:space="preserve">Lead exposure is associated with multiple adverse health outcomes across the lifespan, including</w:t>
      </w:r>
      <w:r>
        <w:t xml:space="preserve"> </w:t>
      </w:r>
      <w:r>
        <w:t xml:space="preserve">decreased kidney function</w:t>
      </w:r>
      <w:r>
        <w:t xml:space="preserve"> </w:t>
      </w:r>
      <w:r>
        <w:t xml:space="preserve">(6)</w:t>
      </w:r>
      <w:r>
        <w:t xml:space="preserve">,</w:t>
      </w:r>
      <w:r>
        <w:t xml:space="preserve"> </w:t>
      </w:r>
      <w:r>
        <w:t xml:space="preserve">liver disease</w:t>
      </w:r>
      <w:r>
        <w:t xml:space="preserve"> </w:t>
      </w:r>
      <w:r>
        <w:t xml:space="preserve">(7)</w:t>
      </w:r>
      <w:r>
        <w:t xml:space="preserve">,</w:t>
      </w:r>
      <w:r>
        <w:t xml:space="preserve"> </w:t>
      </w:r>
      <w:r>
        <w:t xml:space="preserve">coronary artery atherosclerosis</w:t>
      </w:r>
      <w:r>
        <w:t xml:space="preserve"> </w:t>
      </w:r>
      <w:r>
        <w:t xml:space="preserve">(8)</w:t>
      </w:r>
      <w:r>
        <w:t xml:space="preserve">,</w:t>
      </w:r>
      <w:r>
        <w:t xml:space="preserve"> </w:t>
      </w:r>
      <w:r>
        <w:t xml:space="preserve">cardiovascular mortality</w:t>
      </w:r>
      <w:r>
        <w:t xml:space="preserve"> </w:t>
      </w:r>
      <w:r>
        <w:t xml:space="preserve">(9)</w:t>
      </w:r>
      <w:r>
        <w:t xml:space="preserve">,</w:t>
      </w:r>
      <w:r>
        <w:t xml:space="preserve"> </w:t>
      </w:r>
      <w:r>
        <w:t xml:space="preserve">infertility in women</w:t>
      </w:r>
      <w:r>
        <w:t xml:space="preserve"> </w:t>
      </w:r>
      <w:r>
        <w:t xml:space="preserve">(10)</w:t>
      </w:r>
      <w:r>
        <w:t xml:space="preserve">,</w:t>
      </w:r>
      <w:r>
        <w:t xml:space="preserve"> </w:t>
      </w:r>
      <w:r>
        <w:t xml:space="preserve">attention-deficit/hyperactivity disorder in children</w:t>
      </w:r>
      <w:r>
        <w:t xml:space="preserve"> </w:t>
      </w:r>
      <w:r>
        <w:t xml:space="preserve">(11)</w:t>
      </w:r>
      <w:r>
        <w:t xml:space="preserve">, and</w:t>
      </w:r>
      <w:r>
        <w:t xml:space="preserve"> </w:t>
      </w:r>
      <w:r>
        <w:t xml:space="preserve">antisocial behavior</w:t>
      </w:r>
      <w:r>
        <w:t xml:space="preserve"> </w:t>
      </w:r>
      <w:r>
        <w:t xml:space="preserve">(12)</w:t>
      </w:r>
      <w:r>
        <w:t xml:space="preserve">.</w:t>
      </w:r>
      <w:r>
        <w:t xml:space="preserve"> </w:t>
      </w:r>
      <w:r>
        <w:t xml:space="preserve">Among these endpoints, impaired cognitive development in children — manifested as reduced IQ scores —</w:t>
      </w:r>
      <w:r>
        <w:t xml:space="preserve"> </w:t>
      </w:r>
      <w:r>
        <w:t xml:space="preserve">(13)</w:t>
      </w:r>
      <w:r>
        <w:t xml:space="preserve"> </w:t>
      </w:r>
      <w:r>
        <w:t xml:space="preserve">represents a particularly critical endpoint for public health policy.</w:t>
      </w:r>
      <w:r>
        <w:t xml:space="preserve"> </w:t>
      </w:r>
      <w:r>
        <w:t xml:space="preserve">Children are especially vulnerable to lead’s neurotoxicity due to their developing nervous systems and relatively high exposure per body mass.</w:t>
      </w:r>
      <w:r>
        <w:t xml:space="preserve"> </w:t>
      </w:r>
      <w:r>
        <w:t xml:space="preserve">Because lead-associated IQ decrements are irreversible and persist throughout life, they lead to substantial and enduring societal costs</w:t>
      </w:r>
      <w:r>
        <w:t xml:space="preserve"> </w:t>
      </w:r>
      <w:r>
        <w:t xml:space="preserve">(14)</w:t>
      </w:r>
      <w:r>
        <w:t xml:space="preserve">, making continued efforts to accurately characterize the exposure-response relationship important for evidence-based policy.</w:t>
      </w:r>
    </w:p>
    <w:p>
      <w:pPr>
        <w:pStyle w:val="BodyText"/>
      </w:pPr>
      <w:r>
        <w:t xml:space="preserve">Contemporary blood lead levels (BLL) in the EU have declined markedly and now predominantly fall below 5 µg/dL (</w:t>
      </w:r>
      <w:hyperlink r:id="rId25">
        <w:r>
          <w:rPr>
            <w:rStyle w:val="Hyperlink"/>
          </w:rPr>
          <w:t xml:space="preserve">HBM4EU Dashboard</w:t>
        </w:r>
      </w:hyperlink>
      <w:r>
        <w:t xml:space="preserve">), well below the concentrations examined in many earlier studies (&lt;10 µg/dL).</w:t>
      </w:r>
      <w:r>
        <w:t xml:space="preserve"> </w:t>
      </w:r>
      <w:r>
        <w:t xml:space="preserve">Importantly, there is no evidence for a threshold concentration below which the effects of lead on the IQ can be assumed to be negligible</w:t>
      </w:r>
      <w:r>
        <w:t xml:space="preserve"> </w:t>
      </w:r>
      <w:r>
        <w:t xml:space="preserve">(15)</w:t>
      </w:r>
      <w:r>
        <w:t xml:space="preserve"> </w:t>
      </w:r>
      <w:r>
        <w:t xml:space="preserve">There is evidence for a supralinear exposure-response relationship with steeper IQ decrements per unit increase in BLL at low concentrations compared to higher concentration ranges</w:t>
      </w:r>
      <w:r>
        <w:t xml:space="preserve"> </w:t>
      </w:r>
      <w:r>
        <w:t xml:space="preserve">(16,17)</w:t>
      </w:r>
      <w:r>
        <w:t xml:space="preserve">.</w:t>
      </w:r>
      <w:r>
        <w:t xml:space="preserve"> </w:t>
      </w:r>
      <w:r>
        <w:t xml:space="preserve">These findings highlight the need for an updated quantitative synthesis that reflects both recent epidemiological evidence and the lower exposure range now predominant in European populations, incorporating contemporary data to inform risk assessment at currently relevant exposure levels.</w:t>
      </w:r>
    </w:p>
    <w:p>
      <w:pPr>
        <w:pStyle w:val="BodyText"/>
      </w:pPr>
      <w:r>
        <w:t xml:space="preserve">Existing burden of disease assessments at national and global scales</w:t>
      </w:r>
      <w:r>
        <w:t xml:space="preserve"> </w:t>
      </w:r>
      <w:r>
        <w:t xml:space="preserve">(5,14,18–20)</w:t>
      </w:r>
      <w:r>
        <w:t xml:space="preserve"> </w:t>
      </w:r>
      <w:r>
        <w:t xml:space="preserve">rely predominantly on two foundational studies: a pooled analysis of seven cohort-studies by Lanphear et al. (2005) or its subsequent re-analysis by Crump et al. (2013)</w:t>
      </w:r>
      <w:r>
        <w:t xml:space="preserve"> </w:t>
      </w:r>
      <w:r>
        <w:t xml:space="preserve">(13,17)</w:t>
      </w:r>
      <w:r>
        <w:t xml:space="preserve">.</w:t>
      </w:r>
      <w:r>
        <w:t xml:space="preserve"> </w:t>
      </w:r>
      <w:r>
        <w:t xml:space="preserve">While these landmark studies have substantially shaped research and policy on childhood lead exposure, methodological issues and errors in the Lanphear et al. 2005 article have been raised</w:t>
      </w:r>
      <w:r>
        <w:t xml:space="preserve"> </w:t>
      </w:r>
      <w:r>
        <w:t xml:space="preserve">(13,21)</w:t>
      </w:r>
      <w:r>
        <w:t xml:space="preserve"> </w:t>
      </w:r>
      <w:r>
        <w:t xml:space="preserve">and the stepwise backward-elimination regression approach used by Crump et al. (2013), which is central to their findings, has received substantial criticism</w:t>
      </w:r>
      <w:r>
        <w:t xml:space="preserve"> </w:t>
      </w:r>
      <w:r>
        <w:t xml:space="preserve">(22–24)</w:t>
      </w:r>
      <w:r>
        <w:t xml:space="preserve">.</w:t>
      </w:r>
      <w:r>
        <w:t xml:space="preserve"> </w:t>
      </w:r>
      <w:r>
        <w:t xml:space="preserve">These limitations, combined with the availability of more recent epidemiological data, underscore the need not only for updated evidence synthesis but also for (methodologically) robust approaches that can provide reliable exposure-response estimates for burden of disease and risk assessments.</w:t>
      </w:r>
    </w:p>
    <w:p>
      <w:pPr>
        <w:pStyle w:val="BodyText"/>
      </w:pPr>
      <w:r>
        <w:t xml:space="preserve">Methodological advances in meta-analysis offer an opportunity to enhance the utility of synthesized estimates for burden of disease and risk assessment applications.</w:t>
      </w:r>
      <w:r>
        <w:t xml:space="preserve"> </w:t>
      </w:r>
      <w:r>
        <w:t xml:space="preserve">While frequentist meta-analysis has been a conventional approach in environmental epidemiology, Bayesian meta-analysis provides a coherent framework for uncertainty quantification through posterior distributions that inherently incorporate both within-study and between-study variability</w:t>
      </w:r>
      <w:r>
        <w:t xml:space="preserve"> </w:t>
      </w:r>
      <w:r>
        <w:t xml:space="preserve">(25)</w:t>
      </w:r>
      <w:r>
        <w:t xml:space="preserve">.</w:t>
      </w:r>
      <w:r>
        <w:t xml:space="preserve"> </w:t>
      </w:r>
      <w:r>
        <w:t xml:space="preserve">Unlike frequentist confidence intervals, which are often misinterpreted in probabilistic terms, Bayesian credible intervals directly represent the probability distribution of the parameter of interest, facilitating transparent communication of uncertainty.</w:t>
      </w:r>
      <w:r>
        <w:t xml:space="preserve"> </w:t>
      </w:r>
      <w:r>
        <w:t xml:space="preserve">Furthermore, Bayesian posterior distributions can be directly propagated into probabilistic burden of disease studies and risk assessments, providing seamless integration with the probabilistic frameworks increasingly adopted in public health decision-making.</w:t>
      </w:r>
      <w:r>
        <w:t xml:space="preserve"> </w:t>
      </w:r>
      <w:r>
        <w:t xml:space="preserve">By comparing frequentist and Bayesian approaches, we will explore how inferential framework and uncertainty quantification influence exposure-response estimates and their application.</w:t>
      </w:r>
    </w:p>
    <w:p>
      <w:pPr>
        <w:pStyle w:val="BodyText"/>
      </w:pPr>
      <w:r>
        <w:t xml:space="preserve">The aim of this study is twofold: first, to synthesize and quantitatively pool available epidemiological findings on the association between blood lead levels and IQ scores in children; and second, to conduct both a frequentist and Bayesian meta-analyses, comparing how these analytical frameworks influence exposure-response estimates, uncertainty characterization, and applicability to burden of disease and risk assessment.</w:t>
      </w:r>
    </w:p>
    <w:bookmarkEnd w:id="26"/>
    <w:bookmarkStart w:id="27" w:name="methods"/>
    <w:p>
      <w:pPr>
        <w:pStyle w:val="Heading1"/>
      </w:pPr>
      <w:r>
        <w:t xml:space="preserve">2. Methods</w:t>
      </w:r>
    </w:p>
    <w:p>
      <w:pPr>
        <w:pStyle w:val="Compact"/>
        <w:numPr>
          <w:ilvl w:val="0"/>
          <w:numId w:val="1006"/>
        </w:numPr>
      </w:pPr>
      <w:r>
        <w:t xml:space="preserve">Overview: systematic review and meta analysis, comparing a frequentist to a Bayesian approach</w:t>
      </w:r>
    </w:p>
    <w:p>
      <w:pPr>
        <w:pStyle w:val="Compact"/>
        <w:numPr>
          <w:ilvl w:val="0"/>
          <w:numId w:val="1007"/>
        </w:numPr>
      </w:pPr>
      <w:r>
        <w:t xml:space="preserve">Inclusion &amp; exclusion criteria, databases, search strategy, screening process</w:t>
      </w:r>
    </w:p>
    <w:p>
      <w:pPr>
        <w:pStyle w:val="Compact"/>
        <w:numPr>
          <w:ilvl w:val="0"/>
          <w:numId w:val="1008"/>
        </w:numPr>
      </w:pPr>
      <w:r>
        <w:t xml:space="preserve">Risk of bias analysis method</w:t>
      </w:r>
    </w:p>
    <w:p>
      <w:pPr>
        <w:pStyle w:val="Compact"/>
        <w:numPr>
          <w:ilvl w:val="0"/>
          <w:numId w:val="1009"/>
        </w:numPr>
      </w:pPr>
      <w:r>
        <w:t xml:space="preserve">Description &amp; rationale of harmonization of reported effect measures</w:t>
      </w:r>
    </w:p>
    <w:p>
      <w:pPr>
        <w:pStyle w:val="Compact"/>
        <w:numPr>
          <w:ilvl w:val="0"/>
          <w:numId w:val="1010"/>
        </w:numPr>
      </w:pPr>
      <w:r>
        <w:t xml:space="preserve">Description of meta analysis methodology (frequentist &amp; Bayesian), models and software used, heterogeneity identification</w:t>
      </w:r>
    </w:p>
    <w:p>
      <w:pPr>
        <w:pStyle w:val="Compact"/>
        <w:numPr>
          <w:ilvl w:val="0"/>
          <w:numId w:val="1011"/>
        </w:numPr>
      </w:pPr>
      <w:r>
        <w:t xml:space="preserve">Sensitivity analysis</w:t>
      </w:r>
      <w:r>
        <w:br/>
      </w:r>
    </w:p>
    <w:p>
      <w:pPr>
        <w:pStyle w:val="FirstParagraph"/>
      </w:pPr>
      <w:r>
        <w:t xml:space="preserve">In order to quantitatively synthesize the available epidemiological literature on the association of children’s blood lead levels and their IQ, we conducted a systematic review and meta analysis.</w:t>
      </w:r>
      <w:r>
        <w:t xml:space="preserve"> </w:t>
      </w:r>
      <w:r>
        <w:t xml:space="preserve">We compare a frequentist meta analysis approach to a Bayesian approach that has specific advantages and has gained popularity in recent years but is still not widely used in the field of epidemiology.</w:t>
      </w:r>
      <w:r>
        <w:br/>
      </w:r>
      <w:r>
        <w:t xml:space="preserve">(Section on literature review)</w:t>
      </w:r>
      <w:r>
        <w:br/>
      </w:r>
      <w:r>
        <w:t xml:space="preserve">We conducted a Risk of Bias assessment using a rapid Risk of Bias (raROB) tool with a specific focus on human observational epidemiological studies</w:t>
      </w:r>
      <w:r>
        <w:t xml:space="preserve"> </w:t>
      </w:r>
      <w:r>
        <w:t xml:space="preserve">(26)</w:t>
      </w:r>
      <w:r>
        <w:t xml:space="preserve">.</w:t>
      </w:r>
      <w:r>
        <w:t xml:space="preserve"> </w:t>
      </w:r>
      <w:r>
        <w:t xml:space="preserve">Each included publications risk of bias was appraised by answering 15 items in the domains selection, exposure, outcome, confounding, follow-up, analysis, and selective reporting.</w:t>
      </w:r>
      <w:r>
        <w:t xml:space="preserve"> </w:t>
      </w:r>
      <w:r>
        <w:t xml:space="preserve">The overall risk of bias for each individual study was then categorized as either low, moderate or high.</w:t>
      </w:r>
      <w:r>
        <w:t xml:space="preserve"> </w:t>
      </w:r>
      <w:r>
        <w:t xml:space="preserve">Each publication was first assessed by one researcher and then consensus with a large language model (LLM) was sought.</w:t>
      </w:r>
      <w:r>
        <w:t xml:space="preserve"> </w:t>
      </w:r>
      <w:r>
        <w:t xml:space="preserve">This was done by uploading the publications and the list of all raRoB items.</w:t>
      </w:r>
      <w:r>
        <w:t xml:space="preserve"> </w:t>
      </w:r>
      <w:r>
        <w:t xml:space="preserve">If there were any deviations in the judgement of the researcher and the LLM, the corresponding item was revisited by the researcher and they made the final decision on the respective item.</w:t>
      </w:r>
    </w:p>
    <w:bookmarkEnd w:id="27"/>
    <w:bookmarkStart w:id="28" w:name="results"/>
    <w:p>
      <w:pPr>
        <w:pStyle w:val="Heading1"/>
      </w:pPr>
      <w:r>
        <w:t xml:space="preserve">3. Results</w:t>
      </w:r>
    </w:p>
    <w:p>
      <w:pPr>
        <w:pStyle w:val="Compact"/>
        <w:numPr>
          <w:ilvl w:val="0"/>
          <w:numId w:val="1012"/>
        </w:numPr>
      </w:pPr>
      <w:r>
        <w:t xml:space="preserve">Cite studies that might appear to meet inclusion criteria, but were excluded &amp; explain why</w:t>
      </w:r>
    </w:p>
    <w:p>
      <w:pPr>
        <w:pStyle w:val="Compact"/>
        <w:numPr>
          <w:ilvl w:val="0"/>
          <w:numId w:val="1013"/>
        </w:numPr>
      </w:pPr>
      <w:r>
        <w:t xml:space="preserve">Study characteristics (table), including original and harmonized effect measures</w:t>
      </w:r>
    </w:p>
    <w:p>
      <w:pPr>
        <w:pStyle w:val="Compact"/>
        <w:numPr>
          <w:ilvl w:val="0"/>
          <w:numId w:val="1014"/>
        </w:numPr>
      </w:pPr>
      <w:r>
        <w:t xml:space="preserve">Flow diagram, description of (full text) screening results</w:t>
      </w:r>
    </w:p>
    <w:p>
      <w:pPr>
        <w:pStyle w:val="Compact"/>
        <w:numPr>
          <w:ilvl w:val="0"/>
          <w:numId w:val="1015"/>
        </w:numPr>
      </w:pPr>
      <w:r>
        <w:t xml:space="preserve">RoB results for each included study</w:t>
      </w:r>
    </w:p>
    <w:p>
      <w:pPr>
        <w:pStyle w:val="Compact"/>
        <w:numPr>
          <w:ilvl w:val="0"/>
          <w:numId w:val="1016"/>
        </w:numPr>
      </w:pPr>
      <w:r>
        <w:t xml:space="preserve">Forest plots</w:t>
      </w:r>
    </w:p>
    <w:p>
      <w:pPr>
        <w:pStyle w:val="Compact"/>
        <w:numPr>
          <w:ilvl w:val="0"/>
          <w:numId w:val="1017"/>
        </w:numPr>
      </w:pPr>
      <w:r>
        <w:t xml:space="preserve">Sensitivity analysis results</w:t>
      </w:r>
    </w:p>
    <w:bookmarkEnd w:id="28"/>
    <w:bookmarkStart w:id="29" w:name="discussion"/>
    <w:p>
      <w:pPr>
        <w:pStyle w:val="Heading1"/>
      </w:pPr>
      <w:r>
        <w:t xml:space="preserve">4. Discussion</w:t>
      </w:r>
    </w:p>
    <w:p>
      <w:pPr>
        <w:pStyle w:val="Compact"/>
        <w:numPr>
          <w:ilvl w:val="0"/>
          <w:numId w:val="1018"/>
        </w:numPr>
      </w:pPr>
      <w:r>
        <w:t xml:space="preserve">General interpretation of results in light of evidence in literature</w:t>
      </w:r>
    </w:p>
    <w:p>
      <w:pPr>
        <w:pStyle w:val="Compact"/>
        <w:numPr>
          <w:ilvl w:val="0"/>
          <w:numId w:val="1019"/>
        </w:numPr>
      </w:pPr>
      <w:r>
        <w:t xml:space="preserve">Discuss differences, similarities, strengths and weaknesses of freq vs. Bayesian approach</w:t>
      </w:r>
    </w:p>
    <w:p>
      <w:pPr>
        <w:pStyle w:val="Compact"/>
        <w:numPr>
          <w:ilvl w:val="0"/>
          <w:numId w:val="1020"/>
        </w:numPr>
      </w:pPr>
      <w:r>
        <w:t xml:space="preserve">Study limitations &amp; strengths</w:t>
      </w:r>
    </w:p>
    <w:bookmarkEnd w:id="29"/>
    <w:bookmarkStart w:id="30" w:name="conclusions"/>
    <w:p>
      <w:pPr>
        <w:pStyle w:val="Heading1"/>
      </w:pPr>
      <w:r>
        <w:t xml:space="preserve">5. Conclusions</w:t>
      </w:r>
    </w:p>
    <w:p>
      <w:pPr>
        <w:pStyle w:val="Compact"/>
        <w:numPr>
          <w:ilvl w:val="0"/>
          <w:numId w:val="1021"/>
        </w:numPr>
      </w:pPr>
      <w:r>
        <w:t xml:space="preserve">Conclusion, with reference to aim of study</w:t>
      </w:r>
    </w:p>
    <w:p>
      <w:pPr>
        <w:pStyle w:val="Compact"/>
        <w:numPr>
          <w:ilvl w:val="0"/>
          <w:numId w:val="1022"/>
        </w:numPr>
      </w:pPr>
      <w:r>
        <w:t xml:space="preserve">Implications of results: policy, (scientific?) practice, future research needs</w:t>
      </w:r>
    </w:p>
    <w:bookmarkEnd w:id="30"/>
    <w:bookmarkStart w:id="31" w:name="list-of-abbreviations"/>
    <w:p>
      <w:pPr>
        <w:pStyle w:val="Heading1"/>
      </w:pPr>
      <w:r>
        <w:t xml:space="preserve">List of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BLL</w:t>
            </w:r>
          </w:p>
        </w:tc>
        <w:tc>
          <w:tcPr/>
          <w:p>
            <w:pPr>
              <w:pStyle w:val="Compact"/>
              <w:jc w:val="left"/>
            </w:pPr>
            <w:r>
              <w:t xml:space="preserve">Blood lead levels</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EBD</w:t>
            </w:r>
          </w:p>
        </w:tc>
        <w:tc>
          <w:tcPr/>
          <w:p>
            <w:pPr>
              <w:pStyle w:val="Compact"/>
              <w:jc w:val="left"/>
            </w:pPr>
            <w:r>
              <w:t xml:space="preserve">Environmental Burden of Disease</w:t>
            </w:r>
          </w:p>
        </w:tc>
      </w:tr>
      <w:tr>
        <w:tc>
          <w:tcPr/>
          <w:p>
            <w:pPr>
              <w:pStyle w:val="Compact"/>
              <w:jc w:val="left"/>
            </w:pPr>
            <w:r>
              <w:t xml:space="preserve">EU</w:t>
            </w:r>
          </w:p>
        </w:tc>
        <w:tc>
          <w:tcPr/>
          <w:p>
            <w:pPr>
              <w:pStyle w:val="Compact"/>
              <w:jc w:val="left"/>
            </w:pPr>
            <w:r>
              <w:t xml:space="preserve">European Union</w:t>
            </w:r>
          </w:p>
        </w:tc>
      </w:tr>
      <w:tr>
        <w:tc>
          <w:tcPr/>
          <w:p>
            <w:pPr>
              <w:pStyle w:val="Compact"/>
              <w:jc w:val="left"/>
            </w:pPr>
            <w:r>
              <w:t xml:space="preserve">IQ</w:t>
            </w:r>
          </w:p>
        </w:tc>
        <w:tc>
          <w:tcPr/>
          <w:p>
            <w:pPr>
              <w:pStyle w:val="Compact"/>
              <w:jc w:val="left"/>
            </w:pPr>
            <w:r>
              <w:t xml:space="preserve">Intelligence quotient</w:t>
            </w:r>
          </w:p>
        </w:tc>
      </w:tr>
      <w:tr>
        <w:tc>
          <w:tcPr/>
          <w:p>
            <w:pPr>
              <w:pStyle w:val="Compact"/>
              <w:jc w:val="left"/>
            </w:pPr>
            <w:r>
              <w:t xml:space="preserve">YLL</w:t>
            </w:r>
          </w:p>
        </w:tc>
        <w:tc>
          <w:tcPr/>
          <w:p>
            <w:pPr>
              <w:pStyle w:val="Compact"/>
              <w:jc w:val="left"/>
            </w:pPr>
            <w:r>
              <w:t xml:space="preserve">Years of Life Lost</w:t>
            </w:r>
          </w:p>
        </w:tc>
      </w:tr>
      <w:tr>
        <w:tc>
          <w:tcPr/>
          <w:p>
            <w:pPr>
              <w:pStyle w:val="Compact"/>
              <w:jc w:val="left"/>
            </w:pPr>
            <w:r>
              <w:t xml:space="preserve">YLD</w:t>
            </w:r>
          </w:p>
        </w:tc>
        <w:tc>
          <w:tcPr/>
          <w:p>
            <w:pPr>
              <w:pStyle w:val="Compact"/>
              <w:jc w:val="left"/>
            </w:pPr>
            <w:r>
              <w:t xml:space="preserve">Years Lived with Disability</w:t>
            </w:r>
          </w:p>
        </w:tc>
      </w:tr>
      <w:tr>
        <w:tc>
          <w:tcPr/>
          <w:p>
            <w:pPr>
              <w:pStyle w:val="Compact"/>
              <w:jc w:val="left"/>
            </w:pPr>
            <w:r>
              <w:t xml:space="preserve">DALY</w:t>
            </w:r>
          </w:p>
        </w:tc>
        <w:tc>
          <w:tcPr/>
          <w:p>
            <w:pPr>
              <w:pStyle w:val="Compact"/>
              <w:jc w:val="left"/>
            </w:pPr>
            <w:r>
              <w:t xml:space="preserve">Disability-adjusted Life Year</w:t>
            </w:r>
          </w:p>
        </w:tc>
      </w:tr>
    </w:tbl>
    <w:bookmarkEnd w:id="31"/>
    <w:bookmarkStart w:id="32" w:name="funding"/>
    <w:p>
      <w:pPr>
        <w:pStyle w:val="Heading1"/>
      </w:pPr>
      <w:r>
        <w:t xml:space="preserve">Funding</w:t>
      </w:r>
    </w:p>
    <w:p>
      <w:pPr>
        <w:pStyle w:val="FirstParagraph"/>
      </w:pPr>
      <w:r>
        <w:t xml:space="preserve">This work was carried out in the framework of the European Partnership for the Assessment of Risks from Chemicals (PARC) and has received funding from the European Union’s Horizon Europe research and innovation programme under Grant Agreement No 101057014.</w:t>
      </w:r>
      <w:r>
        <w:t xml:space="preserve"> </w:t>
      </w:r>
      <w:r>
        <w:t xml:space="preserve">Views and opinions expressed are however those of the author(s) only and do not necessarily reflect those of the European Union or the Health and Digital Executive Agency.</w:t>
      </w:r>
      <w:r>
        <w:t xml:space="preserve"> </w:t>
      </w:r>
      <w:r>
        <w:t xml:space="preserve">Neither the European Union nor the granting authority can be held responsible for them.</w:t>
      </w:r>
    </w:p>
    <w:bookmarkEnd w:id="32"/>
    <w:bookmarkStart w:id="86" w:name="bibliography"/>
    <w:p>
      <w:pPr>
        <w:pStyle w:val="Heading1"/>
      </w:pPr>
      <w:r>
        <w:t xml:space="preserve">References</w:t>
      </w:r>
    </w:p>
    <w:bookmarkStart w:id="85" w:name="refs"/>
    <w:bookmarkStart w:id="34" w:name="Xe38019c88c6d2792bb296bad7dc0a4dd55f1319"/>
    <w:p>
      <w:pPr>
        <w:pStyle w:val="Bibliography"/>
      </w:pPr>
      <w:r>
        <w:t xml:space="preserve">1.</w:t>
      </w:r>
      <w:r>
        <w:t xml:space="preserve"> </w:t>
      </w:r>
      <w:r>
        <w:t xml:space="preserve">	</w:t>
      </w:r>
      <w:r>
        <w:t xml:space="preserve">Salamanca-Fernández E, Peinado FM, Esteban-López M, Puklova V, Poyatos RM, Govarts E, et al.</w:t>
      </w:r>
      <w:r>
        <w:t xml:space="preserve"> </w:t>
      </w:r>
      <w:hyperlink r:id="rId33">
        <w:r>
          <w:rPr>
            <w:rStyle w:val="Hyperlink"/>
          </w:rPr>
          <w:t xml:space="preserve">Sociodemographic determinants and temporal variability of blood lead levels (2003–2019) in a pooled analysis of nine studies in four</w:t>
        </w:r>
        <w:r>
          <w:rPr>
            <w:rStyle w:val="Hyperlink"/>
          </w:rPr>
          <w:t xml:space="preserve"> </w:t>
        </w:r>
        <w:r>
          <w:rPr>
            <w:rStyle w:val="Hyperlink"/>
          </w:rPr>
          <w:t xml:space="preserve">European</w:t>
        </w:r>
        <w:r>
          <w:rPr>
            <w:rStyle w:val="Hyperlink"/>
          </w:rPr>
          <w:t xml:space="preserve"> </w:t>
        </w:r>
        <w:r>
          <w:rPr>
            <w:rStyle w:val="Hyperlink"/>
          </w:rPr>
          <w:t xml:space="preserve">countries</w:t>
        </w:r>
      </w:hyperlink>
      <w:r>
        <w:t xml:space="preserve">. Sci Rep. 2025 Oct;15(1):34562.</w:t>
      </w:r>
      <w:r>
        <w:t xml:space="preserve"> </w:t>
      </w:r>
    </w:p>
    <w:bookmarkEnd w:id="34"/>
    <w:bookmarkStart w:id="36" w:name="ref-lacerda2023GlobalDecreaseBlood"/>
    <w:p>
      <w:pPr>
        <w:pStyle w:val="Bibliography"/>
      </w:pPr>
      <w:r>
        <w:t xml:space="preserve">2.</w:t>
      </w:r>
      <w:r>
        <w:t xml:space="preserve"> </w:t>
      </w:r>
      <w:r>
        <w:t xml:space="preserve">	</w:t>
      </w:r>
      <w:r>
        <w:t xml:space="preserve">Lacerda D, Pestana IA, Santos Vergilio CD, de Rezende CE.</w:t>
      </w:r>
      <w:r>
        <w:t xml:space="preserve"> </w:t>
      </w:r>
      <w:hyperlink r:id="rId35">
        <w:r>
          <w:rPr>
            <w:rStyle w:val="Hyperlink"/>
          </w:rPr>
          <w:t xml:space="preserve">Global decrease in blood lead concentrations due to the removal of leaded gasoline</w:t>
        </w:r>
      </w:hyperlink>
      <w:r>
        <w:t xml:space="preserve">. Chemosphere. 2023;324:138207.</w:t>
      </w:r>
      <w:r>
        <w:t xml:space="preserve"> </w:t>
      </w:r>
    </w:p>
    <w:bookmarkEnd w:id="36"/>
    <w:bookmarkStart w:id="38" w:name="X4707f3a4b72a0982487545f9dc3d674642af108"/>
    <w:p>
      <w:pPr>
        <w:pStyle w:val="Bibliography"/>
      </w:pPr>
      <w:r>
        <w:t xml:space="preserve">3.</w:t>
      </w:r>
      <w:r>
        <w:t xml:space="preserve"> </w:t>
      </w:r>
      <w:r>
        <w:t xml:space="preserve">	</w:t>
      </w:r>
      <w:r>
        <w:t xml:space="preserve">European Food Safety Authority.</w:t>
      </w:r>
      <w:r>
        <w:t xml:space="preserve"> </w:t>
      </w:r>
      <w:hyperlink r:id="rId37">
        <w:r>
          <w:rPr>
            <w:rStyle w:val="Hyperlink"/>
          </w:rPr>
          <w:t xml:space="preserve">Lead dietary exposure in the</w:t>
        </w:r>
        <w:r>
          <w:rPr>
            <w:rStyle w:val="Hyperlink"/>
          </w:rPr>
          <w:t xml:space="preserve"> </w:t>
        </w:r>
        <w:r>
          <w:rPr>
            <w:rStyle w:val="Hyperlink"/>
          </w:rPr>
          <w:t xml:space="preserve">European</w:t>
        </w:r>
        <w:r>
          <w:rPr>
            <w:rStyle w:val="Hyperlink"/>
          </w:rPr>
          <w:t xml:space="preserve"> </w:t>
        </w:r>
        <w:r>
          <w:rPr>
            <w:rStyle w:val="Hyperlink"/>
          </w:rPr>
          <w:t xml:space="preserve">population</w:t>
        </w:r>
      </w:hyperlink>
      <w:r>
        <w:t xml:space="preserve">. EFS2. 2012 Jul;10(7).</w:t>
      </w:r>
      <w:r>
        <w:t xml:space="preserve"> </w:t>
      </w:r>
    </w:p>
    <w:bookmarkEnd w:id="38"/>
    <w:bookmarkStart w:id="40" w:name="ref-sy2024AssessmentLongTermExposure"/>
    <w:p>
      <w:pPr>
        <w:pStyle w:val="Bibliography"/>
      </w:pPr>
      <w:r>
        <w:t xml:space="preserve">4.</w:t>
      </w:r>
      <w:r>
        <w:t xml:space="preserve"> </w:t>
      </w:r>
      <w:r>
        <w:t xml:space="preserve">	</w:t>
      </w:r>
      <w:r>
        <w:t xml:space="preserve">Sy M, Eleftheriadou D, Jung C, Lindtner O, Karakitsios S, Sarigiannis D, et al.</w:t>
      </w:r>
      <w:r>
        <w:t xml:space="preserve"> </w:t>
      </w:r>
      <w:hyperlink r:id="rId39">
        <w:r>
          <w:rPr>
            <w:rStyle w:val="Hyperlink"/>
          </w:rPr>
          <w:t xml:space="preserve">Assessment of the</w:t>
        </w:r>
        <w:r>
          <w:rPr>
            <w:rStyle w:val="Hyperlink"/>
          </w:rPr>
          <w:t xml:space="preserve"> </w:t>
        </w:r>
        <w:r>
          <w:rPr>
            <w:rStyle w:val="Hyperlink"/>
          </w:rPr>
          <w:t xml:space="preserve">Long-Term Exposure</w:t>
        </w:r>
        <w:r>
          <w:rPr>
            <w:rStyle w:val="Hyperlink"/>
          </w:rPr>
          <w:t xml:space="preserve"> </w:t>
        </w:r>
        <w:r>
          <w:rPr>
            <w:rStyle w:val="Hyperlink"/>
          </w:rPr>
          <w:t xml:space="preserve">to</w:t>
        </w:r>
        <w:r>
          <w:rPr>
            <w:rStyle w:val="Hyperlink"/>
          </w:rPr>
          <w:t xml:space="preserve"> </w:t>
        </w:r>
        <w:r>
          <w:rPr>
            <w:rStyle w:val="Hyperlink"/>
          </w:rPr>
          <w:t xml:space="preserve">Lead</w:t>
        </w:r>
        <w:r>
          <w:rPr>
            <w:rStyle w:val="Hyperlink"/>
          </w:rPr>
          <w:t xml:space="preserve"> </w:t>
        </w:r>
        <w:r>
          <w:rPr>
            <w:rStyle w:val="Hyperlink"/>
          </w:rPr>
          <w:t xml:space="preserve">in</w:t>
        </w:r>
        <w:r>
          <w:rPr>
            <w:rStyle w:val="Hyperlink"/>
          </w:rPr>
          <w:t xml:space="preserve"> </w:t>
        </w:r>
        <w:r>
          <w:rPr>
            <w:rStyle w:val="Hyperlink"/>
          </w:rPr>
          <w:t xml:space="preserve">Four European Countries Using PBPK Modeling</w:t>
        </w:r>
      </w:hyperlink>
      <w:r>
        <w:t xml:space="preserve">. Expo Health. 2024 Feb;16(1):21–39.</w:t>
      </w:r>
      <w:r>
        <w:t xml:space="preserve"> </w:t>
      </w:r>
    </w:p>
    <w:bookmarkEnd w:id="40"/>
    <w:bookmarkStart w:id="42" w:name="ref-brauer2024GlobalBurdenStrength"/>
    <w:p>
      <w:pPr>
        <w:pStyle w:val="Bibliography"/>
      </w:pPr>
      <w:r>
        <w:t xml:space="preserve">5.</w:t>
      </w:r>
      <w:r>
        <w:t xml:space="preserve"> </w:t>
      </w:r>
      <w:r>
        <w:t xml:space="preserve">	</w:t>
      </w:r>
      <w:r>
        <w:t xml:space="preserve">Brauer M, Roth GA, Aravkin AY, Zheng P, Abate KH, Abate YH, et al.</w:t>
      </w:r>
      <w:r>
        <w:t xml:space="preserve"> </w:t>
      </w:r>
      <w:hyperlink r:id="rId41">
        <w:r>
          <w:rPr>
            <w:rStyle w:val="Hyperlink"/>
          </w:rPr>
          <w:t xml:space="preserve">Global burden and strength of evidence for 88 risk factors in 204 countries and 811 subnational locations, 1990&amp;#x2013;2021: A systematic analysis for the</w:t>
        </w:r>
        <w:r>
          <w:rPr>
            <w:rStyle w:val="Hyperlink"/>
          </w:rPr>
          <w:t xml:space="preserve"> </w:t>
        </w:r>
        <w:r>
          <w:rPr>
            <w:rStyle w:val="Hyperlink"/>
          </w:rPr>
          <w:t xml:space="preserve">Global Burden</w:t>
        </w:r>
        <w:r>
          <w:rPr>
            <w:rStyle w:val="Hyperlink"/>
          </w:rPr>
          <w:t xml:space="preserve"> </w:t>
        </w:r>
        <w:r>
          <w:rPr>
            <w:rStyle w:val="Hyperlink"/>
          </w:rPr>
          <w:t xml:space="preserve">of</w:t>
        </w:r>
        <w:r>
          <w:rPr>
            <w:rStyle w:val="Hyperlink"/>
          </w:rPr>
          <w:t xml:space="preserve"> </w:t>
        </w:r>
        <w:r>
          <w:rPr>
            <w:rStyle w:val="Hyperlink"/>
          </w:rPr>
          <w:t xml:space="preserve">Disease Study</w:t>
        </w:r>
        <w:r>
          <w:rPr>
            <w:rStyle w:val="Hyperlink"/>
          </w:rPr>
          <w:t xml:space="preserve"> </w:t>
        </w:r>
        <w:r>
          <w:rPr>
            <w:rStyle w:val="Hyperlink"/>
          </w:rPr>
          <w:t xml:space="preserve">2021</w:t>
        </w:r>
      </w:hyperlink>
      <w:r>
        <w:t xml:space="preserve">. The Lancet. 2024;403(10440):2162–203.</w:t>
      </w:r>
      <w:r>
        <w:t xml:space="preserve"> </w:t>
      </w:r>
    </w:p>
    <w:bookmarkEnd w:id="42"/>
    <w:bookmarkStart w:id="44" w:name="ref-harari2018BloodLeadLevels"/>
    <w:p>
      <w:pPr>
        <w:pStyle w:val="Bibliography"/>
      </w:pPr>
      <w:r>
        <w:t xml:space="preserve">6.</w:t>
      </w:r>
      <w:r>
        <w:t xml:space="preserve"> </w:t>
      </w:r>
      <w:r>
        <w:t xml:space="preserve">	</w:t>
      </w:r>
      <w:r>
        <w:t xml:space="preserve">Harari F, Sallsten G, Christensson A, Petkovic M, Hedblad B, Forsgard N, et al.</w:t>
      </w:r>
      <w:r>
        <w:t xml:space="preserve"> </w:t>
      </w:r>
      <w:hyperlink r:id="rId43">
        <w:r>
          <w:rPr>
            <w:rStyle w:val="Hyperlink"/>
          </w:rPr>
          <w:t xml:space="preserve">Blood</w:t>
        </w:r>
        <w:r>
          <w:rPr>
            <w:rStyle w:val="Hyperlink"/>
          </w:rPr>
          <w:t xml:space="preserve"> </w:t>
        </w:r>
        <w:r>
          <w:rPr>
            <w:rStyle w:val="Hyperlink"/>
          </w:rPr>
          <w:t xml:space="preserve">Lead Levels</w:t>
        </w:r>
        <w:r>
          <w:rPr>
            <w:rStyle w:val="Hyperlink"/>
          </w:rPr>
          <w:t xml:space="preserve"> </w:t>
        </w:r>
        <w:r>
          <w:rPr>
            <w:rStyle w:val="Hyperlink"/>
          </w:rPr>
          <w:t xml:space="preserve">and</w:t>
        </w:r>
        <w:r>
          <w:rPr>
            <w:rStyle w:val="Hyperlink"/>
          </w:rPr>
          <w:t xml:space="preserve"> </w:t>
        </w:r>
        <w:r>
          <w:rPr>
            <w:rStyle w:val="Hyperlink"/>
          </w:rPr>
          <w:t xml:space="preserve">Decreased Kidney Function</w:t>
        </w:r>
        <w:r>
          <w:rPr>
            <w:rStyle w:val="Hyperlink"/>
          </w:rPr>
          <w:t xml:space="preserve"> </w:t>
        </w:r>
        <w:r>
          <w:rPr>
            <w:rStyle w:val="Hyperlink"/>
          </w:rPr>
          <w:t xml:space="preserve">in a</w:t>
        </w:r>
        <w:r>
          <w:rPr>
            <w:rStyle w:val="Hyperlink"/>
          </w:rPr>
          <w:t xml:space="preserve"> </w:t>
        </w:r>
        <w:r>
          <w:rPr>
            <w:rStyle w:val="Hyperlink"/>
          </w:rPr>
          <w:t xml:space="preserve">Population-Based Cohort</w:t>
        </w:r>
      </w:hyperlink>
      <w:r>
        <w:t xml:space="preserve">. American Journal of Kidney Diseases. 2018 Sep;72(3):381–9.</w:t>
      </w:r>
      <w:r>
        <w:t xml:space="preserve"> </w:t>
      </w:r>
    </w:p>
    <w:bookmarkEnd w:id="44"/>
    <w:bookmarkStart w:id="46" w:name="ref-wan2022ChronicLeadExposure"/>
    <w:p>
      <w:pPr>
        <w:pStyle w:val="Bibliography"/>
      </w:pPr>
      <w:r>
        <w:t xml:space="preserve">7.</w:t>
      </w:r>
      <w:r>
        <w:t xml:space="preserve"> </w:t>
      </w:r>
      <w:r>
        <w:t xml:space="preserve">	</w:t>
      </w:r>
      <w:r>
        <w:t xml:space="preserve">Wan H, Wang Y, Zhang H, Zhang K, Chen Y, Chen C, et al.</w:t>
      </w:r>
      <w:r>
        <w:t xml:space="preserve"> </w:t>
      </w:r>
      <w:hyperlink r:id="rId45">
        <w:r>
          <w:rPr>
            <w:rStyle w:val="Hyperlink"/>
          </w:rPr>
          <w:t xml:space="preserve">Chronic lead exposure induces fatty liver disease associated with the variations of gut microbiota</w:t>
        </w:r>
      </w:hyperlink>
      <w:r>
        <w:t xml:space="preserve">. Ecotoxicology and Environmental Safety. 2022 Mar;232:113257.</w:t>
      </w:r>
      <w:r>
        <w:t xml:space="preserve"> </w:t>
      </w:r>
    </w:p>
    <w:bookmarkEnd w:id="46"/>
    <w:bookmarkStart w:id="48" w:name="ref-rosengren2025ExposureLeadCoronary"/>
    <w:p>
      <w:pPr>
        <w:pStyle w:val="Bibliography"/>
      </w:pPr>
      <w:r>
        <w:t xml:space="preserve">8.</w:t>
      </w:r>
      <w:r>
        <w:t xml:space="preserve"> </w:t>
      </w:r>
      <w:r>
        <w:t xml:space="preserve">	</w:t>
      </w:r>
      <w:r>
        <w:t xml:space="preserve">Rosengren E, Barregard L, Sallsten G, Fagerberg B, Engström G, Fagman E, et al.</w:t>
      </w:r>
      <w:r>
        <w:t xml:space="preserve"> </w:t>
      </w:r>
      <w:hyperlink r:id="rId47">
        <w:r>
          <w:rPr>
            <w:rStyle w:val="Hyperlink"/>
          </w:rPr>
          <w:t xml:space="preserve">Exposure to</w:t>
        </w:r>
        <w:r>
          <w:rPr>
            <w:rStyle w:val="Hyperlink"/>
          </w:rPr>
          <w:t xml:space="preserve"> </w:t>
        </w:r>
        <w:r>
          <w:rPr>
            <w:rStyle w:val="Hyperlink"/>
          </w:rPr>
          <w:t xml:space="preserve">Lead</w:t>
        </w:r>
        <w:r>
          <w:rPr>
            <w:rStyle w:val="Hyperlink"/>
          </w:rPr>
          <w:t xml:space="preserve"> </w:t>
        </w:r>
        <w:r>
          <w:rPr>
            <w:rStyle w:val="Hyperlink"/>
          </w:rPr>
          <w:t xml:space="preserve">and</w:t>
        </w:r>
        <w:r>
          <w:rPr>
            <w:rStyle w:val="Hyperlink"/>
          </w:rPr>
          <w:t xml:space="preserve"> </w:t>
        </w:r>
        <w:r>
          <w:rPr>
            <w:rStyle w:val="Hyperlink"/>
          </w:rPr>
          <w:t xml:space="preserve">Coronary Artery Atherosclerosis</w:t>
        </w:r>
        <w:r>
          <w:rPr>
            <w:rStyle w:val="Hyperlink"/>
          </w:rPr>
          <w:t xml:space="preserve">:</w:t>
        </w:r>
        <w:r>
          <w:rPr>
            <w:rStyle w:val="Hyperlink"/>
          </w:rPr>
          <w:t xml:space="preserve"> </w:t>
        </w:r>
        <w:r>
          <w:rPr>
            <w:rStyle w:val="Hyperlink"/>
          </w:rPr>
          <w:t xml:space="preserve">A Swedish Cross</w:t>
        </w:r>
        <w:r>
          <w:rPr>
            <w:rStyle w:val="Hyperlink"/>
          </w:rPr>
          <w:t xml:space="preserve">-</w:t>
        </w:r>
        <w:r>
          <w:rPr>
            <w:rStyle w:val="Hyperlink"/>
          </w:rPr>
          <w:t xml:space="preserve">Sectional Population</w:t>
        </w:r>
        <w:r>
          <w:rPr>
            <w:rStyle w:val="Hyperlink"/>
          </w:rPr>
          <w:t xml:space="preserve">-</w:t>
        </w:r>
        <w:r>
          <w:rPr>
            <w:rStyle w:val="Hyperlink"/>
          </w:rPr>
          <w:t xml:space="preserve">Based Study</w:t>
        </w:r>
      </w:hyperlink>
      <w:r>
        <w:t xml:space="preserve">. JAHA. 2025 Mar;14(5):e037633.</w:t>
      </w:r>
      <w:r>
        <w:t xml:space="preserve"> </w:t>
      </w:r>
    </w:p>
    <w:bookmarkEnd w:id="48"/>
    <w:bookmarkStart w:id="50" w:name="ref-lanphear2018LowlevelLeadExposure"/>
    <w:p>
      <w:pPr>
        <w:pStyle w:val="Bibliography"/>
      </w:pPr>
      <w:r>
        <w:t xml:space="preserve">9.</w:t>
      </w:r>
      <w:r>
        <w:t xml:space="preserve"> </w:t>
      </w:r>
      <w:r>
        <w:t xml:space="preserve">	</w:t>
      </w:r>
      <w:r>
        <w:t xml:space="preserve">Lanphear BP, Rauch S, Auinger P, Allen RW, Hornung RW.</w:t>
      </w:r>
      <w:r>
        <w:t xml:space="preserve"> </w:t>
      </w:r>
      <w:hyperlink r:id="rId49">
        <w:r>
          <w:rPr>
            <w:rStyle w:val="Hyperlink"/>
          </w:rPr>
          <w:t xml:space="preserve">Low-level lead exposure and mortality in</w:t>
        </w:r>
        <w:r>
          <w:rPr>
            <w:rStyle w:val="Hyperlink"/>
          </w:rPr>
          <w:t xml:space="preserve"> </w:t>
        </w:r>
        <w:r>
          <w:rPr>
            <w:rStyle w:val="Hyperlink"/>
          </w:rPr>
          <w:t xml:space="preserve">US</w:t>
        </w:r>
        <w:r>
          <w:rPr>
            <w:rStyle w:val="Hyperlink"/>
          </w:rPr>
          <w:t xml:space="preserve"> </w:t>
        </w:r>
        <w:r>
          <w:rPr>
            <w:rStyle w:val="Hyperlink"/>
          </w:rPr>
          <w:t xml:space="preserve">adults: A population-based cohort study</w:t>
        </w:r>
      </w:hyperlink>
      <w:r>
        <w:t xml:space="preserve">. The Lancet Public Health. 2018 Apr;3(4):e177–84.</w:t>
      </w:r>
      <w:r>
        <w:t xml:space="preserve"> </w:t>
      </w:r>
    </w:p>
    <w:bookmarkEnd w:id="50"/>
    <w:bookmarkStart w:id="52" w:name="ref-chang2006LowBloodLead"/>
    <w:p>
      <w:pPr>
        <w:pStyle w:val="Bibliography"/>
      </w:pPr>
      <w:r>
        <w:t xml:space="preserve">10.</w:t>
      </w:r>
      <w:r>
        <w:t xml:space="preserve"> </w:t>
      </w:r>
      <w:r>
        <w:t xml:space="preserve">	</w:t>
      </w:r>
      <w:r>
        <w:t xml:space="preserve">Chang SH, Cheng BH, Lee SL, Chuang HY, Yang CY, Sung FC, et al.</w:t>
      </w:r>
      <w:r>
        <w:t xml:space="preserve"> </w:t>
      </w:r>
      <w:hyperlink r:id="rId51">
        <w:r>
          <w:rPr>
            <w:rStyle w:val="Hyperlink"/>
          </w:rPr>
          <w:t xml:space="preserve">Low blood lead concentration in association with infertility in women</w:t>
        </w:r>
      </w:hyperlink>
      <w:r>
        <w:t xml:space="preserve">. Environmental Research. 2006 Jul;101(3):380–6.</w:t>
      </w:r>
      <w:r>
        <w:t xml:space="preserve"> </w:t>
      </w:r>
    </w:p>
    <w:bookmarkEnd w:id="52"/>
    <w:bookmarkStart w:id="54" w:name="Xadfdab0209e4a364d9fdcffecfddb00700d2db9"/>
    <w:p>
      <w:pPr>
        <w:pStyle w:val="Bibliography"/>
      </w:pPr>
      <w:r>
        <w:t xml:space="preserve">11.</w:t>
      </w:r>
      <w:r>
        <w:t xml:space="preserve"> </w:t>
      </w:r>
      <w:r>
        <w:t xml:space="preserve">	</w:t>
      </w:r>
      <w:r>
        <w:t xml:space="preserve">Dimitrov LV, Kaminski JW, Holbrook JR, Bitsko RH, Yeh M, Courtney JG, et al.</w:t>
      </w:r>
      <w:r>
        <w:t xml:space="preserve"> </w:t>
      </w:r>
      <w:hyperlink r:id="rId53">
        <w:r>
          <w:rPr>
            <w:rStyle w:val="Hyperlink"/>
          </w:rPr>
          <w:t xml:space="preserve">A</w:t>
        </w:r>
        <w:r>
          <w:rPr>
            <w:rStyle w:val="Hyperlink"/>
          </w:rPr>
          <w:t xml:space="preserve"> </w:t>
        </w:r>
        <w:r>
          <w:rPr>
            <w:rStyle w:val="Hyperlink"/>
          </w:rPr>
          <w:t xml:space="preserve">Systematic Review</w:t>
        </w:r>
        <w:r>
          <w:rPr>
            <w:rStyle w:val="Hyperlink"/>
          </w:rPr>
          <w:t xml:space="preserve"> </w:t>
        </w:r>
        <w:r>
          <w:rPr>
            <w:rStyle w:val="Hyperlink"/>
          </w:rPr>
          <w:t xml:space="preserve">and</w:t>
        </w:r>
        <w:r>
          <w:rPr>
            <w:rStyle w:val="Hyperlink"/>
          </w:rPr>
          <w:t xml:space="preserve"> </w:t>
        </w:r>
        <w:r>
          <w:rPr>
            <w:rStyle w:val="Hyperlink"/>
          </w:rPr>
          <w:t xml:space="preserve">Meta-analysis</w:t>
        </w:r>
        <w:r>
          <w:rPr>
            <w:rStyle w:val="Hyperlink"/>
          </w:rPr>
          <w:t xml:space="preserve"> </w:t>
        </w:r>
        <w:r>
          <w:rPr>
            <w:rStyle w:val="Hyperlink"/>
          </w:rPr>
          <w:t xml:space="preserve">of</w:t>
        </w:r>
        <w:r>
          <w:rPr>
            <w:rStyle w:val="Hyperlink"/>
          </w:rPr>
          <w:t xml:space="preserve"> </w:t>
        </w:r>
        <w:r>
          <w:rPr>
            <w:rStyle w:val="Hyperlink"/>
          </w:rPr>
          <w:t xml:space="preserve">Chemical Exposures</w:t>
        </w:r>
        <w:r>
          <w:rPr>
            <w:rStyle w:val="Hyperlink"/>
          </w:rPr>
          <w:t xml:space="preserve"> </w:t>
        </w:r>
        <w:r>
          <w:rPr>
            <w:rStyle w:val="Hyperlink"/>
          </w:rPr>
          <w:t xml:space="preserve">and</w:t>
        </w:r>
        <w:r>
          <w:rPr>
            <w:rStyle w:val="Hyperlink"/>
          </w:rPr>
          <w:t xml:space="preserve"> </w:t>
        </w:r>
        <w:r>
          <w:rPr>
            <w:rStyle w:val="Hyperlink"/>
          </w:rPr>
          <w:t xml:space="preserve">Attention-Deficit</w:t>
        </w:r>
        <w:r>
          <w:rPr>
            <w:rStyle w:val="Hyperlink"/>
          </w:rPr>
          <w:t xml:space="preserve">/</w:t>
        </w:r>
        <w:r>
          <w:rPr>
            <w:rStyle w:val="Hyperlink"/>
          </w:rPr>
          <w:t xml:space="preserve">Hyperactivity Disorder</w:t>
        </w:r>
        <w:r>
          <w:rPr>
            <w:rStyle w:val="Hyperlink"/>
          </w:rPr>
          <w:t xml:space="preserve"> </w:t>
        </w:r>
        <w:r>
          <w:rPr>
            <w:rStyle w:val="Hyperlink"/>
          </w:rPr>
          <w:t xml:space="preserve">in</w:t>
        </w:r>
        <w:r>
          <w:rPr>
            <w:rStyle w:val="Hyperlink"/>
          </w:rPr>
          <w:t xml:space="preserve"> </w:t>
        </w:r>
        <w:r>
          <w:rPr>
            <w:rStyle w:val="Hyperlink"/>
          </w:rPr>
          <w:t xml:space="preserve">Children</w:t>
        </w:r>
      </w:hyperlink>
      <w:r>
        <w:t xml:space="preserve">. Prev Sci. 2024 May;25(S2):225–48.</w:t>
      </w:r>
      <w:r>
        <w:t xml:space="preserve"> </w:t>
      </w:r>
    </w:p>
    <w:bookmarkEnd w:id="54"/>
    <w:bookmarkStart w:id="56" w:name="ref-shaffer2025LeadExposureAntisocial"/>
    <w:p>
      <w:pPr>
        <w:pStyle w:val="Bibliography"/>
      </w:pPr>
      <w:r>
        <w:t xml:space="preserve">12.</w:t>
      </w:r>
      <w:r>
        <w:t xml:space="preserve"> </w:t>
      </w:r>
      <w:r>
        <w:t xml:space="preserve">	</w:t>
      </w:r>
      <w:r>
        <w:t xml:space="preserve">Shaffer RM, Carlson LM, Hester K, Kim H, Duffney P, Forsyth JE, et al.</w:t>
      </w:r>
      <w:r>
        <w:t xml:space="preserve"> </w:t>
      </w:r>
      <w:hyperlink r:id="rId55">
        <w:r>
          <w:rPr>
            <w:rStyle w:val="Hyperlink"/>
          </w:rPr>
          <w:t xml:space="preserve">Lead exposure and antisocial behavior:</w:t>
        </w:r>
        <w:r>
          <w:rPr>
            <w:rStyle w:val="Hyperlink"/>
          </w:rPr>
          <w:t xml:space="preserve"> </w:t>
        </w:r>
        <w:r>
          <w:rPr>
            <w:rStyle w:val="Hyperlink"/>
          </w:rPr>
          <w:t xml:space="preserve">A</w:t>
        </w:r>
        <w:r>
          <w:rPr>
            <w:rStyle w:val="Hyperlink"/>
          </w:rPr>
          <w:t xml:space="preserve"> </w:t>
        </w:r>
        <w:r>
          <w:rPr>
            <w:rStyle w:val="Hyperlink"/>
          </w:rPr>
          <w:t xml:space="preserve">systematic review of human and animal evidence</w:t>
        </w:r>
      </w:hyperlink>
      <w:r>
        <w:t xml:space="preserve">. Environment International. 2025;109786.</w:t>
      </w:r>
      <w:r>
        <w:t xml:space="preserve"> </w:t>
      </w:r>
    </w:p>
    <w:bookmarkEnd w:id="56"/>
    <w:bookmarkStart w:id="58" w:name="ref-crump2013StatisticalReevaluationData"/>
    <w:p>
      <w:pPr>
        <w:pStyle w:val="Bibliography"/>
      </w:pPr>
      <w:r>
        <w:t xml:space="preserve">13.</w:t>
      </w:r>
      <w:r>
        <w:t xml:space="preserve"> </w:t>
      </w:r>
      <w:r>
        <w:t xml:space="preserve">	</w:t>
      </w:r>
      <w:r>
        <w:t xml:space="preserve">Crump KS, Van Landingham C, Bowers TS, Cahoy D, Chandalia JK.</w:t>
      </w:r>
      <w:r>
        <w:t xml:space="preserve"> </w:t>
      </w:r>
      <w:hyperlink r:id="rId57">
        <w:r>
          <w:rPr>
            <w:rStyle w:val="Hyperlink"/>
          </w:rPr>
          <w:t xml:space="preserve">A statistical reevaluation of the data used in the</w:t>
        </w:r>
        <w:r>
          <w:rPr>
            <w:rStyle w:val="Hyperlink"/>
          </w:rPr>
          <w:t xml:space="preserve"> </w:t>
        </w:r>
        <w:r>
          <w:rPr>
            <w:rStyle w:val="Hyperlink"/>
          </w:rPr>
          <w:t xml:space="preserve">Lanphear</w:t>
        </w:r>
        <w:r>
          <w:rPr>
            <w:rStyle w:val="Hyperlink"/>
          </w:rPr>
          <w:t xml:space="preserve"> </w:t>
        </w:r>
        <w:r>
          <w:rPr>
            <w:rStyle w:val="Hyperlink"/>
          </w:rPr>
          <w:t xml:space="preserve">et al. ( 2005 ) pooled-analysis that related low levels of blood lead to intellectual deficits in children</w:t>
        </w:r>
      </w:hyperlink>
      <w:r>
        <w:t xml:space="preserve">. Crit Rev Toxicol. 2013;43(9):785–99.</w:t>
      </w:r>
      <w:r>
        <w:t xml:space="preserve"> </w:t>
      </w:r>
    </w:p>
    <w:bookmarkEnd w:id="58"/>
    <w:bookmarkStart w:id="60" w:name="ref-larsen2023GlobalHealthBurden"/>
    <w:p>
      <w:pPr>
        <w:pStyle w:val="Bibliography"/>
      </w:pPr>
      <w:r>
        <w:t xml:space="preserve">14.</w:t>
      </w:r>
      <w:r>
        <w:t xml:space="preserve"> </w:t>
      </w:r>
      <w:r>
        <w:t xml:space="preserve">	</w:t>
      </w:r>
      <w:r>
        <w:t xml:space="preserve">Larsen B, Sánchez-Triana E.</w:t>
      </w:r>
      <w:r>
        <w:t xml:space="preserve"> </w:t>
      </w:r>
      <w:hyperlink r:id="rId59">
        <w:r>
          <w:rPr>
            <w:rStyle w:val="Hyperlink"/>
          </w:rPr>
          <w:t xml:space="preserve">Global health burden and cost of lead exposure in children and adults: A health impact and economic modelling analysis</w:t>
        </w:r>
      </w:hyperlink>
      <w:r>
        <w:t xml:space="preserve">. The Lancet Planetary Health. 2023;7(10):e831–40.</w:t>
      </w:r>
      <w:r>
        <w:t xml:space="preserve"> </w:t>
      </w:r>
    </w:p>
    <w:bookmarkEnd w:id="60"/>
    <w:bookmarkStart w:id="62" w:name="X5615fc1cb9c455a90da75660348bda09fd0f967"/>
    <w:p>
      <w:pPr>
        <w:pStyle w:val="Bibliography"/>
      </w:pPr>
      <w:r>
        <w:t xml:space="preserve">15.</w:t>
      </w:r>
      <w:r>
        <w:t xml:space="preserve"> </w:t>
      </w:r>
      <w:r>
        <w:t xml:space="preserve">	</w:t>
      </w:r>
      <w:r>
        <w:t xml:space="preserve">EFSA Panel on Contaminants in the Food Chain (CONTAM).</w:t>
      </w:r>
      <w:r>
        <w:t xml:space="preserve"> </w:t>
      </w:r>
      <w:hyperlink r:id="rId61">
        <w:r>
          <w:rPr>
            <w:rStyle w:val="Hyperlink"/>
          </w:rPr>
          <w:t xml:space="preserve">Scientific</w:t>
        </w:r>
        <w:r>
          <w:rPr>
            <w:rStyle w:val="Hyperlink"/>
          </w:rPr>
          <w:t xml:space="preserve"> </w:t>
        </w:r>
        <w:r>
          <w:rPr>
            <w:rStyle w:val="Hyperlink"/>
          </w:rPr>
          <w:t xml:space="preserve">Opinion</w:t>
        </w:r>
        <w:r>
          <w:rPr>
            <w:rStyle w:val="Hyperlink"/>
          </w:rPr>
          <w:t xml:space="preserve"> </w:t>
        </w:r>
        <w:r>
          <w:rPr>
            <w:rStyle w:val="Hyperlink"/>
          </w:rPr>
          <w:t xml:space="preserve">on</w:t>
        </w:r>
        <w:r>
          <w:rPr>
            <w:rStyle w:val="Hyperlink"/>
          </w:rPr>
          <w:t xml:space="preserve"> </w:t>
        </w:r>
        <w:r>
          <w:rPr>
            <w:rStyle w:val="Hyperlink"/>
          </w:rPr>
          <w:t xml:space="preserve">Lead</w:t>
        </w:r>
        <w:r>
          <w:rPr>
            <w:rStyle w:val="Hyperlink"/>
          </w:rPr>
          <w:t xml:space="preserve"> </w:t>
        </w:r>
        <w:r>
          <w:rPr>
            <w:rStyle w:val="Hyperlink"/>
          </w:rPr>
          <w:t xml:space="preserve">in</w:t>
        </w:r>
        <w:r>
          <w:rPr>
            <w:rStyle w:val="Hyperlink"/>
          </w:rPr>
          <w:t xml:space="preserve"> </w:t>
        </w:r>
        <w:r>
          <w:rPr>
            <w:rStyle w:val="Hyperlink"/>
          </w:rPr>
          <w:t xml:space="preserve">Food</w:t>
        </w:r>
      </w:hyperlink>
      <w:r>
        <w:t xml:space="preserve">. EFSA Journal. 2010;8(4):1570.</w:t>
      </w:r>
      <w:r>
        <w:t xml:space="preserve"> </w:t>
      </w:r>
    </w:p>
    <w:bookmarkEnd w:id="62"/>
    <w:bookmarkStart w:id="64" w:name="Xa2086c2c3f6a9ac4b676f66b1cdbbd5efdb3b23"/>
    <w:p>
      <w:pPr>
        <w:pStyle w:val="Bibliography"/>
      </w:pPr>
      <w:r>
        <w:t xml:space="preserve">16.</w:t>
      </w:r>
      <w:r>
        <w:t xml:space="preserve"> </w:t>
      </w:r>
      <w:r>
        <w:t xml:space="preserve">	</w:t>
      </w:r>
      <w:r>
        <w:t xml:space="preserve">Canfield RL, Henderson CR, Cory-Slechta DA, Cox C, Jusko TA, Lanphear BP.</w:t>
      </w:r>
      <w:r>
        <w:t xml:space="preserve"> </w:t>
      </w:r>
      <w:hyperlink r:id="rId63">
        <w:r>
          <w:rPr>
            <w:rStyle w:val="Hyperlink"/>
          </w:rPr>
          <w:t xml:space="preserve">Intellectual</w:t>
        </w:r>
        <w:r>
          <w:rPr>
            <w:rStyle w:val="Hyperlink"/>
          </w:rPr>
          <w:t xml:space="preserve"> </w:t>
        </w:r>
        <w:r>
          <w:rPr>
            <w:rStyle w:val="Hyperlink"/>
          </w:rPr>
          <w:t xml:space="preserve">Impairment</w:t>
        </w:r>
        <w:r>
          <w:rPr>
            <w:rStyle w:val="Hyperlink"/>
          </w:rPr>
          <w:t xml:space="preserve"> </w:t>
        </w:r>
        <w:r>
          <w:rPr>
            <w:rStyle w:val="Hyperlink"/>
          </w:rPr>
          <w:t xml:space="preserve">in</w:t>
        </w:r>
        <w:r>
          <w:rPr>
            <w:rStyle w:val="Hyperlink"/>
          </w:rPr>
          <w:t xml:space="preserve"> </w:t>
        </w:r>
        <w:r>
          <w:rPr>
            <w:rStyle w:val="Hyperlink"/>
          </w:rPr>
          <w:t xml:space="preserve">Children</w:t>
        </w:r>
        <w:r>
          <w:rPr>
            <w:rStyle w:val="Hyperlink"/>
          </w:rPr>
          <w:t xml:space="preserve"> </w:t>
        </w:r>
        <w:r>
          <w:rPr>
            <w:rStyle w:val="Hyperlink"/>
          </w:rPr>
          <w:t xml:space="preserve">with</w:t>
        </w:r>
        <w:r>
          <w:rPr>
            <w:rStyle w:val="Hyperlink"/>
          </w:rPr>
          <w:t xml:space="preserve"> </w:t>
        </w:r>
        <w:r>
          <w:rPr>
            <w:rStyle w:val="Hyperlink"/>
          </w:rPr>
          <w:t xml:space="preserve">Blood Lead Concentrations</w:t>
        </w:r>
        <w:r>
          <w:rPr>
            <w:rStyle w:val="Hyperlink"/>
          </w:rPr>
          <w:t xml:space="preserve"> </w:t>
        </w:r>
        <w:r>
          <w:rPr>
            <w:rStyle w:val="Hyperlink"/>
          </w:rPr>
          <w:t xml:space="preserve">below 10</w:t>
        </w:r>
        <w:r>
          <w:rPr>
            <w:rStyle w:val="Hyperlink"/>
          </w:rPr>
          <w:t xml:space="preserve"> </w:t>
        </w:r>
        <m:oMath>
          <m:r>
            <m:t>μ</m:t>
          </m:r>
        </m:oMath>
        <w:r>
          <w:rPr>
            <w:rStyle w:val="Hyperlink"/>
          </w:rPr>
          <w:t xml:space="preserve">g per</w:t>
        </w:r>
        <w:r>
          <w:rPr>
            <w:rStyle w:val="Hyperlink"/>
          </w:rPr>
          <w:t xml:space="preserve"> </w:t>
        </w:r>
        <w:r>
          <w:rPr>
            <w:rStyle w:val="Hyperlink"/>
          </w:rPr>
          <w:t xml:space="preserve">Deciliter</w:t>
        </w:r>
      </w:hyperlink>
      <w:r>
        <w:t xml:space="preserve">. N Engl J Med. 2003 Apr;348(16):1517–26.</w:t>
      </w:r>
      <w:r>
        <w:t xml:space="preserve"> </w:t>
      </w:r>
    </w:p>
    <w:bookmarkEnd w:id="64"/>
    <w:bookmarkStart w:id="66" w:name="X9a8bad0b78f43066cb333fdedcdcad5d7017900"/>
    <w:p>
      <w:pPr>
        <w:pStyle w:val="Bibliography"/>
      </w:pPr>
      <w:r>
        <w:t xml:space="preserve">17.</w:t>
      </w:r>
      <w:r>
        <w:t xml:space="preserve"> </w:t>
      </w:r>
      <w:r>
        <w:t xml:space="preserve">	</w:t>
      </w:r>
      <w:r>
        <w:t xml:space="preserve">Lanphear BP, Hornung R, Khoury J, Yolton K, Baghurst P, Bellinger DC, et al.</w:t>
      </w:r>
      <w:r>
        <w:t xml:space="preserve"> </w:t>
      </w:r>
      <w:hyperlink r:id="rId65">
        <w:r>
          <w:rPr>
            <w:rStyle w:val="Hyperlink"/>
          </w:rPr>
          <w:t xml:space="preserve">Low-</w:t>
        </w:r>
        <w:r>
          <w:rPr>
            <w:rStyle w:val="Hyperlink"/>
          </w:rPr>
          <w:t xml:space="preserve">Level Environmental Lead Exposure</w:t>
        </w:r>
        <w:r>
          <w:rPr>
            <w:rStyle w:val="Hyperlink"/>
          </w:rPr>
          <w:t xml:space="preserve"> </w:t>
        </w:r>
        <w:r>
          <w:rPr>
            <w:rStyle w:val="Hyperlink"/>
          </w:rPr>
          <w:t xml:space="preserve">and</w:t>
        </w:r>
        <w:r>
          <w:rPr>
            <w:rStyle w:val="Hyperlink"/>
          </w:rPr>
          <w:t xml:space="preserve"> </w:t>
        </w:r>
        <w:r>
          <w:rPr>
            <w:rStyle w:val="Hyperlink"/>
          </w:rPr>
          <w:t xml:space="preserve">Children</w:t>
        </w:r>
        <w:r>
          <w:rPr>
            <w:rStyle w:val="Hyperlink"/>
          </w:rPr>
          <w:t xml:space="preserve">’s</w:t>
        </w:r>
        <w:r>
          <w:rPr>
            <w:rStyle w:val="Hyperlink"/>
          </w:rPr>
          <w:t xml:space="preserve"> </w:t>
        </w:r>
        <w:r>
          <w:rPr>
            <w:rStyle w:val="Hyperlink"/>
          </w:rPr>
          <w:t xml:space="preserve">Intellectual Function</w:t>
        </w:r>
        <w:r>
          <w:rPr>
            <w:rStyle w:val="Hyperlink"/>
          </w:rPr>
          <w:t xml:space="preserve">:</w:t>
        </w:r>
        <w:r>
          <w:rPr>
            <w:rStyle w:val="Hyperlink"/>
          </w:rPr>
          <w:t xml:space="preserve"> </w:t>
        </w:r>
        <w:r>
          <w:rPr>
            <w:rStyle w:val="Hyperlink"/>
          </w:rPr>
          <w:t xml:space="preserve">An International Pooled Analysis</w:t>
        </w:r>
      </w:hyperlink>
      <w:r>
        <w:t xml:space="preserve">. Environmental Health Perspectives. 2005;113(7):894–9.</w:t>
      </w:r>
      <w:r>
        <w:t xml:space="preserve"> </w:t>
      </w:r>
    </w:p>
    <w:bookmarkEnd w:id="66"/>
    <w:bookmarkStart w:id="68" w:name="X93c1fc7f8e1220d02cbab90c02ac44248f2b23e"/>
    <w:p>
      <w:pPr>
        <w:pStyle w:val="Bibliography"/>
      </w:pPr>
      <w:r>
        <w:t xml:space="preserve">18.</w:t>
      </w:r>
      <w:r>
        <w:t xml:space="preserve"> </w:t>
      </w:r>
      <w:r>
        <w:t xml:space="preserve">	</w:t>
      </w:r>
      <w:r>
        <w:t xml:space="preserve">Carrington C, Devleesschauwer B, Gibb HJ, Bolger PM.</w:t>
      </w:r>
      <w:r>
        <w:t xml:space="preserve"> </w:t>
      </w:r>
      <w:hyperlink r:id="rId67">
        <w:r>
          <w:rPr>
            <w:rStyle w:val="Hyperlink"/>
          </w:rPr>
          <w:t xml:space="preserve">Global burden of intellectual disability resulting from dietary exposure to lead, 2015</w:t>
        </w:r>
      </w:hyperlink>
      <w:r>
        <w:t xml:space="preserve">. Environmental Research. 2019;172:420–9.</w:t>
      </w:r>
      <w:r>
        <w:t xml:space="preserve"> </w:t>
      </w:r>
    </w:p>
    <w:bookmarkEnd w:id="68"/>
    <w:bookmarkStart w:id="70" w:name="ref-figueroa2024LossCognitiveFunction"/>
    <w:p>
      <w:pPr>
        <w:pStyle w:val="Bibliography"/>
      </w:pPr>
      <w:r>
        <w:t xml:space="preserve">19.</w:t>
      </w:r>
      <w:r>
        <w:t xml:space="preserve"> </w:t>
      </w:r>
      <w:r>
        <w:t xml:space="preserve">	</w:t>
      </w:r>
      <w:r>
        <w:t xml:space="preserve">Figueroa JL, Rodríguez-Atristain A, Bautista-Arredondo LF, Treviño CL, Martínez MR, Valdivia BT, et al.</w:t>
      </w:r>
      <w:r>
        <w:t xml:space="preserve"> </w:t>
      </w:r>
      <w:hyperlink r:id="rId69">
        <w:r>
          <w:rPr>
            <w:rStyle w:val="Hyperlink"/>
          </w:rPr>
          <w:t xml:space="preserve">Loss of cognitive function in</w:t>
        </w:r>
        <w:r>
          <w:rPr>
            <w:rStyle w:val="Hyperlink"/>
          </w:rPr>
          <w:t xml:space="preserve"> </w:t>
        </w:r>
        <w:r>
          <w:rPr>
            <w:rStyle w:val="Hyperlink"/>
          </w:rPr>
          <w:t xml:space="preserve">Mexican</w:t>
        </w:r>
        <w:r>
          <w:rPr>
            <w:rStyle w:val="Hyperlink"/>
          </w:rPr>
          <w:t xml:space="preserve"> </w:t>
        </w:r>
        <w:r>
          <w:rPr>
            <w:rStyle w:val="Hyperlink"/>
          </w:rPr>
          <w:t xml:space="preserve">children due to lead exposure and the associated economic costs</w:t>
        </w:r>
      </w:hyperlink>
      <w:r>
        <w:t xml:space="preserve">. Environmental Research. 2024 Dec;263:120013.</w:t>
      </w:r>
      <w:r>
        <w:t xml:space="preserve"> </w:t>
      </w:r>
    </w:p>
    <w:bookmarkEnd w:id="70"/>
    <w:bookmarkStart w:id="72" w:name="ref-mcfarland2022HalfUSPopulation"/>
    <w:p>
      <w:pPr>
        <w:pStyle w:val="Bibliography"/>
      </w:pPr>
      <w:r>
        <w:t xml:space="preserve">20.</w:t>
      </w:r>
      <w:r>
        <w:t xml:space="preserve"> </w:t>
      </w:r>
      <w:r>
        <w:t xml:space="preserve">	</w:t>
      </w:r>
      <w:r>
        <w:t xml:space="preserve">McFarland MJ, Hauer ME, Reuben A.</w:t>
      </w:r>
      <w:r>
        <w:t xml:space="preserve"> </w:t>
      </w:r>
      <w:hyperlink r:id="rId71">
        <w:r>
          <w:rPr>
            <w:rStyle w:val="Hyperlink"/>
          </w:rPr>
          <w:t xml:space="preserve">Half of</w:t>
        </w:r>
        <w:r>
          <w:rPr>
            <w:rStyle w:val="Hyperlink"/>
          </w:rPr>
          <w:t xml:space="preserve"> </w:t>
        </w:r>
        <w:r>
          <w:rPr>
            <w:rStyle w:val="Hyperlink"/>
          </w:rPr>
          <w:t xml:space="preserve">US</w:t>
        </w:r>
        <w:r>
          <w:rPr>
            <w:rStyle w:val="Hyperlink"/>
          </w:rPr>
          <w:t xml:space="preserve"> </w:t>
        </w:r>
        <w:r>
          <w:rPr>
            <w:rStyle w:val="Hyperlink"/>
          </w:rPr>
          <w:t xml:space="preserve">population exposed to adverse lead levels in early childhood</w:t>
        </w:r>
      </w:hyperlink>
      <w:r>
        <w:t xml:space="preserve">. Proc Natl Acad Sci USA. 2022 Mar;119(11):e2118631119.</w:t>
      </w:r>
      <w:r>
        <w:t xml:space="preserve"> </w:t>
      </w:r>
    </w:p>
    <w:bookmarkEnd w:id="72"/>
    <w:bookmarkStart w:id="74" w:name="X33f03e29791f20cdbbbbf0729c723b16e55ed16"/>
    <w:p>
      <w:pPr>
        <w:pStyle w:val="Bibliography"/>
      </w:pPr>
      <w:r>
        <w:t xml:space="preserve">21.</w:t>
      </w:r>
      <w:r>
        <w:t xml:space="preserve"> </w:t>
      </w:r>
      <w:r>
        <w:t xml:space="preserve">	</w:t>
      </w:r>
      <w:r>
        <w:t xml:space="preserve">Lanphear BP, Hornung R, Khoury J, Yolton K, Baghurst P, Bellinger DC, et al.</w:t>
      </w:r>
      <w:r>
        <w:t xml:space="preserve"> </w:t>
      </w:r>
      <w:hyperlink r:id="rId73">
        <w:r>
          <w:rPr>
            <w:rStyle w:val="Hyperlink"/>
          </w:rPr>
          <w:t xml:space="preserve">Erratum:</w:t>
        </w:r>
        <w:r>
          <w:rPr>
            <w:rStyle w:val="Hyperlink"/>
          </w:rPr>
          <w:t xml:space="preserve"> </w:t>
        </w:r>
        <w:r>
          <w:rPr>
            <w:rStyle w:val="Hyperlink"/>
          </w:rPr>
          <w:t xml:space="preserve">“</w:t>
        </w:r>
        <w:r>
          <w:rPr>
            <w:rStyle w:val="Hyperlink"/>
          </w:rPr>
          <w:t xml:space="preserve">Low-Level Environmental Lead Exposure</w:t>
        </w:r>
        <w:r>
          <w:rPr>
            <w:rStyle w:val="Hyperlink"/>
          </w:rPr>
          <w:t xml:space="preserve"> </w:t>
        </w:r>
        <w:r>
          <w:rPr>
            <w:rStyle w:val="Hyperlink"/>
          </w:rPr>
          <w:t xml:space="preserve">and</w:t>
        </w:r>
        <w:r>
          <w:rPr>
            <w:rStyle w:val="Hyperlink"/>
          </w:rPr>
          <w:t xml:space="preserve"> </w:t>
        </w:r>
        <w:r>
          <w:rPr>
            <w:rStyle w:val="Hyperlink"/>
          </w:rPr>
          <w:t xml:space="preserve">Children</w:t>
        </w:r>
        <w:r>
          <w:rPr>
            <w:rStyle w:val="Hyperlink"/>
          </w:rPr>
          <w:t xml:space="preserve">’s</w:t>
        </w:r>
        <w:r>
          <w:rPr>
            <w:rStyle w:val="Hyperlink"/>
          </w:rPr>
          <w:t xml:space="preserve"> </w:t>
        </w:r>
        <w:r>
          <w:rPr>
            <w:rStyle w:val="Hyperlink"/>
          </w:rPr>
          <w:t xml:space="preserve">Intellectual Function</w:t>
        </w:r>
        <w:r>
          <w:rPr>
            <w:rStyle w:val="Hyperlink"/>
          </w:rPr>
          <w:t xml:space="preserve">:</w:t>
        </w:r>
        <w:r>
          <w:rPr>
            <w:rStyle w:val="Hyperlink"/>
          </w:rPr>
          <w:t xml:space="preserve"> </w:t>
        </w:r>
        <w:r>
          <w:rPr>
            <w:rStyle w:val="Hyperlink"/>
          </w:rPr>
          <w:t xml:space="preserve">An International Pooled Analysis</w:t>
        </w:r>
        <w:r>
          <w:rPr>
            <w:rStyle w:val="Hyperlink"/>
          </w:rPr>
          <w:t xml:space="preserve">”</w:t>
        </w:r>
      </w:hyperlink>
      <w:r>
        <w:t xml:space="preserve">. Environ Health Perspect. 2019 Sep;127(9):099001.</w:t>
      </w:r>
      <w:r>
        <w:t xml:space="preserve"> </w:t>
      </w:r>
    </w:p>
    <w:bookmarkEnd w:id="74"/>
    <w:bookmarkStart w:id="76" w:name="X99fa6bd9cd2521340285769f289a6c9d4bfe17b"/>
    <w:p>
      <w:pPr>
        <w:pStyle w:val="Bibliography"/>
      </w:pPr>
      <w:r>
        <w:t xml:space="preserve">22.</w:t>
      </w:r>
      <w:r>
        <w:t xml:space="preserve"> </w:t>
      </w:r>
      <w:r>
        <w:t xml:space="preserve">	</w:t>
      </w:r>
      <w:r>
        <w:t xml:space="preserve">Thompson B.</w:t>
      </w:r>
      <w:r>
        <w:t xml:space="preserve"> </w:t>
      </w:r>
      <w:hyperlink r:id="rId75">
        <w:r>
          <w:rPr>
            <w:rStyle w:val="Hyperlink"/>
          </w:rPr>
          <w:t xml:space="preserve">Stepwise</w:t>
        </w:r>
        <w:r>
          <w:rPr>
            <w:rStyle w:val="Hyperlink"/>
          </w:rPr>
          <w:t xml:space="preserve"> </w:t>
        </w:r>
        <w:r>
          <w:rPr>
            <w:rStyle w:val="Hyperlink"/>
          </w:rPr>
          <w:t xml:space="preserve">Regression</w:t>
        </w:r>
        <w:r>
          <w:rPr>
            <w:rStyle w:val="Hyperlink"/>
          </w:rPr>
          <w:t xml:space="preserve"> </w:t>
        </w:r>
        <w:r>
          <w:rPr>
            <w:rStyle w:val="Hyperlink"/>
          </w:rPr>
          <w:t xml:space="preserve">and</w:t>
        </w:r>
        <w:r>
          <w:rPr>
            <w:rStyle w:val="Hyperlink"/>
          </w:rPr>
          <w:t xml:space="preserve"> </w:t>
        </w:r>
        <w:r>
          <w:rPr>
            <w:rStyle w:val="Hyperlink"/>
          </w:rPr>
          <w:t xml:space="preserve">Stepwise Discriminant Analysis Need Not Apply</w:t>
        </w:r>
        <w:r>
          <w:rPr>
            <w:rStyle w:val="Hyperlink"/>
          </w:rPr>
          <w:t xml:space="preserve"> </w:t>
        </w:r>
        <w:r>
          <w:rPr>
            <w:rStyle w:val="Hyperlink"/>
          </w:rPr>
          <w:t xml:space="preserve">here:</w:t>
        </w:r>
        <w:r>
          <w:rPr>
            <w:rStyle w:val="Hyperlink"/>
          </w:rPr>
          <w:t xml:space="preserve"> </w:t>
        </w:r>
        <w:r>
          <w:rPr>
            <w:rStyle w:val="Hyperlink"/>
          </w:rPr>
          <w:t xml:space="preserve">A Guidelines Editorial</w:t>
        </w:r>
      </w:hyperlink>
      <w:r>
        <w:t xml:space="preserve">. Educational and Psychological Measurement. 1995 Aug;55(4):525–34.</w:t>
      </w:r>
      <w:r>
        <w:t xml:space="preserve"> </w:t>
      </w:r>
    </w:p>
    <w:bookmarkEnd w:id="76"/>
    <w:bookmarkStart w:id="78" w:name="Xec30ec7c912152a14c0f622040312567154bf15"/>
    <w:p>
      <w:pPr>
        <w:pStyle w:val="Bibliography"/>
      </w:pPr>
      <w:r>
        <w:t xml:space="preserve">23.</w:t>
      </w:r>
      <w:r>
        <w:t xml:space="preserve"> </w:t>
      </w:r>
      <w:r>
        <w:t xml:space="preserve">	</w:t>
      </w:r>
      <w:r>
        <w:t xml:space="preserve">Harrell FE.</w:t>
      </w:r>
      <w:r>
        <w:t xml:space="preserve"> </w:t>
      </w:r>
      <w:hyperlink r:id="rId77">
        <w:r>
          <w:rPr>
            <w:rStyle w:val="Hyperlink"/>
          </w:rPr>
          <w:t xml:space="preserve">Regression</w:t>
        </w:r>
        <w:r>
          <w:rPr>
            <w:rStyle w:val="Hyperlink"/>
          </w:rPr>
          <w:t xml:space="preserve"> </w:t>
        </w:r>
        <w:r>
          <w:rPr>
            <w:rStyle w:val="Hyperlink"/>
          </w:rPr>
          <w:t xml:space="preserve">Modeling Strategies</w:t>
        </w:r>
        <w:r>
          <w:rPr>
            <w:rStyle w:val="Hyperlink"/>
          </w:rPr>
          <w:t xml:space="preserve">:</w:t>
        </w:r>
        <w:r>
          <w:rPr>
            <w:rStyle w:val="Hyperlink"/>
          </w:rPr>
          <w:t xml:space="preserve"> </w:t>
        </w:r>
        <w:r>
          <w:rPr>
            <w:rStyle w:val="Hyperlink"/>
          </w:rPr>
          <w:t xml:space="preserve">With Applications</w:t>
        </w:r>
        <w:r>
          <w:rPr>
            <w:rStyle w:val="Hyperlink"/>
          </w:rPr>
          <w:t xml:space="preserve"> </w:t>
        </w:r>
        <w:r>
          <w:rPr>
            <w:rStyle w:val="Hyperlink"/>
          </w:rPr>
          <w:t xml:space="preserve">to</w:t>
        </w:r>
        <w:r>
          <w:rPr>
            <w:rStyle w:val="Hyperlink"/>
          </w:rPr>
          <w:t xml:space="preserve"> </w:t>
        </w:r>
        <w:r>
          <w:rPr>
            <w:rStyle w:val="Hyperlink"/>
          </w:rPr>
          <w:t xml:space="preserve">Linear Models</w:t>
        </w:r>
        <w:r>
          <w:rPr>
            <w:rStyle w:val="Hyperlink"/>
          </w:rPr>
          <w:t xml:space="preserve">,</w:t>
        </w:r>
        <w:r>
          <w:rPr>
            <w:rStyle w:val="Hyperlink"/>
          </w:rPr>
          <w:t xml:space="preserve"> </w:t>
        </w:r>
        <w:r>
          <w:rPr>
            <w:rStyle w:val="Hyperlink"/>
          </w:rPr>
          <w:t xml:space="preserve">Logistic</w:t>
        </w:r>
        <w:r>
          <w:rPr>
            <w:rStyle w:val="Hyperlink"/>
          </w:rPr>
          <w:t xml:space="preserve"> </w:t>
        </w:r>
        <w:r>
          <w:rPr>
            <w:rStyle w:val="Hyperlink"/>
          </w:rPr>
          <w:t xml:space="preserve">and</w:t>
        </w:r>
        <w:r>
          <w:rPr>
            <w:rStyle w:val="Hyperlink"/>
          </w:rPr>
          <w:t xml:space="preserve"> </w:t>
        </w:r>
        <w:r>
          <w:rPr>
            <w:rStyle w:val="Hyperlink"/>
          </w:rPr>
          <w:t xml:space="preserve">Ordinal Regression</w:t>
        </w:r>
        <w:r>
          <w:rPr>
            <w:rStyle w:val="Hyperlink"/>
          </w:rPr>
          <w:t xml:space="preserve">, and</w:t>
        </w:r>
        <w:r>
          <w:rPr>
            <w:rStyle w:val="Hyperlink"/>
          </w:rPr>
          <w:t xml:space="preserve"> </w:t>
        </w:r>
        <w:r>
          <w:rPr>
            <w:rStyle w:val="Hyperlink"/>
          </w:rPr>
          <w:t xml:space="preserve">Survival Analysis</w:t>
        </w:r>
      </w:hyperlink>
      <w:r>
        <w:t xml:space="preserve">. Cham: Springer International Publishing; 2015. (Springer</w:t>
      </w:r>
      <w:r>
        <w:t xml:space="preserve"> </w:t>
      </w:r>
      <w:r>
        <w:t xml:space="preserve">Series</w:t>
      </w:r>
      <w:r>
        <w:t xml:space="preserve"> </w:t>
      </w:r>
      <w:r>
        <w:t xml:space="preserve">in</w:t>
      </w:r>
      <w:r>
        <w:t xml:space="preserve"> </w:t>
      </w:r>
      <w:r>
        <w:t xml:space="preserve">Statistics</w:t>
      </w:r>
      <w:r>
        <w:t xml:space="preserve">).</w:t>
      </w:r>
      <w:r>
        <w:t xml:space="preserve"> </w:t>
      </w:r>
    </w:p>
    <w:bookmarkEnd w:id="78"/>
    <w:bookmarkStart w:id="80" w:name="ref-smith2018StepAwayStepwise"/>
    <w:p>
      <w:pPr>
        <w:pStyle w:val="Bibliography"/>
      </w:pPr>
      <w:r>
        <w:t xml:space="preserve">24.</w:t>
      </w:r>
      <w:r>
        <w:t xml:space="preserve"> </w:t>
      </w:r>
      <w:r>
        <w:t xml:space="preserve">	</w:t>
      </w:r>
      <w:r>
        <w:t xml:space="preserve">Smith G.</w:t>
      </w:r>
      <w:r>
        <w:t xml:space="preserve"> </w:t>
      </w:r>
      <w:hyperlink r:id="rId79">
        <w:r>
          <w:rPr>
            <w:rStyle w:val="Hyperlink"/>
          </w:rPr>
          <w:t xml:space="preserve">Step away from stepwise</w:t>
        </w:r>
      </w:hyperlink>
      <w:r>
        <w:t xml:space="preserve">. J Big Data. 2018 Dec;5(1):32.</w:t>
      </w:r>
      <w:r>
        <w:t xml:space="preserve"> </w:t>
      </w:r>
    </w:p>
    <w:bookmarkEnd w:id="80"/>
    <w:bookmarkStart w:id="82" w:name="X035620408d1fb22c7ed381e74f0468c30df4612"/>
    <w:p>
      <w:pPr>
        <w:pStyle w:val="Bibliography"/>
      </w:pPr>
      <w:r>
        <w:t xml:space="preserve">25.</w:t>
      </w:r>
      <w:r>
        <w:t xml:space="preserve"> </w:t>
      </w:r>
      <w:r>
        <w:t xml:space="preserve">	</w:t>
      </w:r>
      <w:r>
        <w:t xml:space="preserve">Grant R, Di Tanna GL.</w:t>
      </w:r>
      <w:r>
        <w:t xml:space="preserve"> </w:t>
      </w:r>
      <w:hyperlink r:id="rId81">
        <w:r>
          <w:rPr>
            <w:rStyle w:val="Hyperlink"/>
          </w:rPr>
          <w:t xml:space="preserve">Bayesian</w:t>
        </w:r>
        <w:r>
          <w:rPr>
            <w:rStyle w:val="Hyperlink"/>
          </w:rPr>
          <w:t xml:space="preserve"> </w:t>
        </w:r>
        <w:r>
          <w:rPr>
            <w:rStyle w:val="Hyperlink"/>
          </w:rPr>
          <w:t xml:space="preserve">Meta-Analysis</w:t>
        </w:r>
        <w:r>
          <w:rPr>
            <w:rStyle w:val="Hyperlink"/>
          </w:rPr>
          <w:t xml:space="preserve">:</w:t>
        </w:r>
        <w:r>
          <w:rPr>
            <w:rStyle w:val="Hyperlink"/>
          </w:rPr>
          <w:t xml:space="preserve"> </w:t>
        </w:r>
        <w:r>
          <w:rPr>
            <w:rStyle w:val="Hyperlink"/>
          </w:rPr>
          <w:t xml:space="preserve">A Practical Introduction</w:t>
        </w:r>
      </w:hyperlink>
      <w:r>
        <w:t xml:space="preserve">. 1st ed. Boca Raton:</w:t>
      </w:r>
      <w:r>
        <w:t xml:space="preserve"> </w:t>
      </w:r>
      <w:r>
        <w:t xml:space="preserve">Chapman and Hall/CRC</w:t>
      </w:r>
      <w:r>
        <w:t xml:space="preserve">; 2025.</w:t>
      </w:r>
      <w:r>
        <w:t xml:space="preserve"> </w:t>
      </w:r>
    </w:p>
    <w:bookmarkEnd w:id="82"/>
    <w:bookmarkStart w:id="84" w:name="ref-plate2024DevelopmentToolRapid"/>
    <w:p>
      <w:pPr>
        <w:pStyle w:val="Bibliography"/>
      </w:pPr>
      <w:r>
        <w:t xml:space="preserve">26.</w:t>
      </w:r>
      <w:r>
        <w:t xml:space="preserve"> </w:t>
      </w:r>
      <w:r>
        <w:t xml:space="preserve">	</w:t>
      </w:r>
      <w:r>
        <w:t xml:space="preserve">Plate K, Knüppel S, Hornbacher A, Greiner M, Müller-Graf C.</w:t>
      </w:r>
      <w:r>
        <w:t xml:space="preserve"> </w:t>
      </w:r>
      <w:hyperlink r:id="rId83">
        <w:r>
          <w:rPr>
            <w:rStyle w:val="Hyperlink"/>
          </w:rPr>
          <w:t xml:space="preserve">Development of a tool for rapid assessment of the evidence of human observational epidemiological studies with focus on risk of bias in the context of public health and risk assessment</w:t>
        </w:r>
      </w:hyperlink>
      <w:r>
        <w:t xml:space="preserve">. EFS3. 2024 Jul;21(7).</w:t>
      </w:r>
      <w:r>
        <w:t xml:space="preserve"> </w:t>
      </w:r>
    </w:p>
    <w:bookmarkEnd w:id="84"/>
    <w:bookmarkEnd w:id="85"/>
    <w:bookmarkEnd w:id="86"/>
    <w:sectPr>
      <w:footerReference r:id="rId9" w:type="default"/>
      <w:footnotePr>
        <w:numFmt w:val="decimal"/>
      </w:footnotePr>
      <w:type w:val="nextPage"/>
      <w:pgSz w:h="15840" w:w="12240"/>
      <w:pgMar w:bottom="2199" w:footer="144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default"/>
  </w:font>
  <w:font w:name="Aptos Display">
    <w:charset w:val="01"/>
    <w:family w:val="roman"/>
    <w:pitch w:val="default"/>
  </w:font>
  <w:font w:name="Consolas">
    <w:charset w:val="01"/>
    <w:family w:val="roman"/>
    <w:pitch w:val="default"/>
  </w:font>
  <w:font w:name="Liberation Sans">
    <w:altName w:val="Arial"/>
    <w:charset w:val="01"/>
    <w:family w:val="roman"/>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200"/>
      <w:jc w:val="right"/>
      <w:rPr/>
    </w:pPr>
    <w:r>
      <w:rPr/>
      <w:fldChar w:fldCharType="begin"/>
    </w:r>
    <w:r>
      <w:rPr/>
      <w:instrText xml:space="preserve"> PAGE </w:instrText>
    </w:r>
    <w:r>
      <w:rPr/>
      <w:fldChar w:fldCharType="separate"/>
    </w:r>
    <w:r>
      <w:rPr/>
      <w:t>1</w:t>
    </w:r>
    <w: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3"/>
  </w:num>
  <w:num w:numId="1003">
    <w:abstractNumId w:val="993"/>
  </w:num>
  <w:num w:numId="1004">
    <w:abstractNumId w:val="993"/>
  </w:num>
  <w:num w:numId="1005">
    <w:abstractNumId w:val="993"/>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BodyText"/>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 w:cstheme="majorBidi" w:eastAsia=""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EndnoteCharacters" w:type="character">
    <w:name w:val="Endnote Characters"/>
    <w:qFormat/>
    <w:rPr>
      <w:vertAlign w:val="superscript"/>
    </w:rPr>
  </w:style>
  <w:style w:styleId="EndnoteReference" w:type="character">
    <w:name w:val="Endnote Reference"/>
    <w:rPr>
      <w:vertAlign w:val="superscript"/>
    </w:rPr>
  </w:style>
  <w:style w:styleId="Heading" w:type="paragraph">
    <w:name w:val="Heading"/>
    <w:basedOn w:val="Normal"/>
    <w:next w:val="BodyText"/>
    <w:qFormat/>
    <w:pPr>
      <w:keepNext w:val="true"/>
      <w:spacing w:after="120" w:before="240"/>
    </w:pPr>
    <w:rPr>
      <w:rFonts w:ascii="Liberation Sans" w:cs="Arial Unicode MS" w:eastAsia="PingFang SC" w:hAnsi="Liberation Sans"/>
      <w:sz w:val="28"/>
      <w:szCs w:val="28"/>
    </w:rPr>
  </w:style>
  <w:style w:styleId="BodyText" w:type="paragraph">
    <w:name w:val="Body Text"/>
    <w:basedOn w:val="Normal"/>
    <w:link w:val="BodyTextChar"/>
    <w:qFormat/>
    <w:pPr>
      <w:spacing w:after="180" w:before="180" w:line="276" w:lineRule="auto"/>
      <w:jc w:val="both"/>
    </w:pPr>
    <w:rPr/>
  </w:style>
  <w:style w:styleId="List" w:type="paragraph">
    <w:name w:val="List"/>
    <w:basedOn w:val="BodyText"/>
    <w:pPr/>
    <w:rPr>
      <w:rFonts w:ascii="Times New Roman" w:cs="Arial Unicode MS" w:hAnsi="Times New Roman"/>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ascii="Times New Roman" w:cs="Arial Unicode MS" w:hAnsi="Times New Roman"/>
    </w:rPr>
  </w:style>
  <w:style w:customStyle="1" w:styleId="FirstParagraph" w:type="paragraph">
    <w:name w:val="First Paragraph"/>
    <w:basedOn w:val="BodyText"/>
    <w:next w:val="BodyText"/>
    <w:qFormat/>
    <w:pPr>
      <w:spacing w:line="276" w:lineRule="auto"/>
      <w:jc w:val="both"/>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a10fd9"/>
    <w:pPr>
      <w:spacing w:after="230" w:before="0" w:line="240" w:lineRule="auto"/>
      <w:contextualSpacing/>
      <w:jc w:val="center"/>
    </w:pPr>
    <w:rPr>
      <w:rFonts w:ascii="Aptos Display" w:asciiTheme="majorHAnsi" w:cs="" w:cstheme="majorBidi" w:eastAsia="" w:eastAsiaTheme="majorEastAsia" w:hAnsi="Aptos Display" w:hAnsiTheme="majorHAnsi"/>
      <w:spacing w:val="-10"/>
      <w:kern w:val="2"/>
      <w:sz w:val="52"/>
      <w:szCs w:val="56"/>
    </w:rPr>
  </w:style>
  <w:style w:styleId="Subtitle" w:type="paragraph">
    <w:name w:val="Subtitle"/>
    <w:basedOn w:val="Normal"/>
    <w:next w:val="BodyText"/>
    <w:link w:val="SubtitleChar"/>
    <w:uiPriority w:val="11"/>
    <w:qFormat/>
    <w:rsid w:val="00a10fd9"/>
    <w:pPr/>
    <w:rPr>
      <w:rFonts w:cs="" w:cstheme="majorBidi" w:eastAsia="" w:eastAsiaTheme="majorEastAsia"/>
      <w:color w:themeColor="text1" w:themeTint="a6" w:val="595959"/>
      <w:spacing w:val="15"/>
      <w:sz w:val="28"/>
      <w:szCs w:val="28"/>
    </w:rPr>
  </w:style>
  <w:style w:customStyle="1" w:styleId="Author" w:type="paragraph">
    <w:name w:val="Author"/>
    <w:next w:val="BodyText"/>
    <w:qFormat/>
    <w:pPr>
      <w:keepNext w:val="true"/>
      <w:keepLines/>
      <w:widowControl/>
      <w:suppressAutoHyphens w:val="true"/>
      <w:bidi w:val="0"/>
      <w:spacing w:after="115" w:before="115"/>
      <w:contextualSpacing/>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BodyText"/>
    <w:qFormat/>
    <w:pPr>
      <w:keepNext w:val="true"/>
      <w:keepLines/>
      <w:widowControl/>
      <w:suppressAutoHyphens w:val="true"/>
      <w:bidi w:val="0"/>
      <w:spacing w:after="115"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color w:val="345A8A"/>
      <w:sz w:val="20"/>
      <w:szCs w:val="20"/>
    </w:rPr>
  </w:style>
  <w:style w:customStyle="1" w:styleId="Abstract" w:type="paragraph">
    <w:name w:val="Abstract"/>
    <w:basedOn w:val="Normal"/>
    <w:next w:val="BodyText"/>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BodyTextIndent" w:type="paragraph">
    <w:name w:val="Body Text Indent"/>
    <w:basedOn w:val="BodyText"/>
    <w:pPr>
      <w:ind w:hanging="0" w:left="283"/>
    </w:pPr>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jc w:val="right"/>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77" Target="https://doi.org/10.1007/978-3-319-19425-7" TargetMode="External" /><Relationship Type="http://schemas.openxmlformats.org/officeDocument/2006/relationships/hyperlink" Id="rId53" Target="https://doi.org/10.1007/s11121-023-01601-6" TargetMode="External" /><Relationship Type="http://schemas.openxmlformats.org/officeDocument/2006/relationships/hyperlink" Id="rId39" Target="https://doi.org/10.1007/s12403-023-00535-2" TargetMode="External" /><Relationship Type="http://schemas.openxmlformats.org/officeDocument/2006/relationships/hyperlink" Id="rId41" Target="https://doi.org/10.1016/S0140-6736(24)00933-4" TargetMode="External" /><Relationship Type="http://schemas.openxmlformats.org/officeDocument/2006/relationships/hyperlink" Id="rId49" Target="https://doi.org/10.1016/S2468-2667(18)30025-2" TargetMode="External" /><Relationship Type="http://schemas.openxmlformats.org/officeDocument/2006/relationships/hyperlink" Id="rId59" Target="https://doi.org/10.1016/S2542-5196(23)00166-3" TargetMode="External" /><Relationship Type="http://schemas.openxmlformats.org/officeDocument/2006/relationships/hyperlink" Id="rId35" Target="https://doi.org/10.1016/j.chemosphere.2023.138207" TargetMode="External" /><Relationship Type="http://schemas.openxmlformats.org/officeDocument/2006/relationships/hyperlink" Id="rId45" Target="https://doi.org/10.1016/j.ecoenv.2022.113257" TargetMode="External" /><Relationship Type="http://schemas.openxmlformats.org/officeDocument/2006/relationships/hyperlink" Id="rId55" Target="https://doi.org/10.1016/j.envint.2025.109786" TargetMode="External" /><Relationship Type="http://schemas.openxmlformats.org/officeDocument/2006/relationships/hyperlink" Id="rId51" Target="https://doi.org/10.1016/j.envres.2005.10.004" TargetMode="External" /><Relationship Type="http://schemas.openxmlformats.org/officeDocument/2006/relationships/hyperlink" Id="rId67" Target="https://doi.org/10.1016/j.envres.2019.02.023" TargetMode="External" /><Relationship Type="http://schemas.openxmlformats.org/officeDocument/2006/relationships/hyperlink" Id="rId69" Target="https://doi.org/10.1016/j.envres.2024.120013" TargetMode="External" /><Relationship Type="http://schemas.openxmlformats.org/officeDocument/2006/relationships/hyperlink" Id="rId33" Target="https://doi.org/10.1038/s41598-025-17943-w" TargetMode="External" /><Relationship Type="http://schemas.openxmlformats.org/officeDocument/2006/relationships/hyperlink" Id="rId43" Target="https://doi.org/10.1053/j.ajkd.2018.02.358" TargetMode="External" /><Relationship Type="http://schemas.openxmlformats.org/officeDocument/2006/relationships/hyperlink" Id="rId63" Target="https://doi.org/10.1056/NEJMoa022848" TargetMode="External" /><Relationship Type="http://schemas.openxmlformats.org/officeDocument/2006/relationships/hyperlink" Id="rId71" Target="https://doi.org/10.1073/pnas.2118631119" TargetMode="External" /><Relationship Type="http://schemas.openxmlformats.org/officeDocument/2006/relationships/hyperlink" Id="rId47" Target="https://doi.org/10.1161/JAHA.124.037633" TargetMode="External" /><Relationship Type="http://schemas.openxmlformats.org/officeDocument/2006/relationships/hyperlink" Id="rId75" Target="https://doi.org/10.1177/0013164495055004001" TargetMode="External" /><Relationship Type="http://schemas.openxmlformats.org/officeDocument/2006/relationships/hyperlink" Id="rId79" Target="https://doi.org/10.1186/s40537-018-0143-6" TargetMode="External" /><Relationship Type="http://schemas.openxmlformats.org/officeDocument/2006/relationships/hyperlink" Id="rId81" Target="https://doi.org/10.1201/9781003375821" TargetMode="External" /><Relationship Type="http://schemas.openxmlformats.org/officeDocument/2006/relationships/hyperlink" Id="rId73" Target="https://doi.org/10.1289/EHP5685" TargetMode="External" /><Relationship Type="http://schemas.openxmlformats.org/officeDocument/2006/relationships/hyperlink" Id="rId61" Target="https://doi.org/10.2903/j.efsa.2010.1570" TargetMode="External" /><Relationship Type="http://schemas.openxmlformats.org/officeDocument/2006/relationships/hyperlink" Id="rId37" Target="https://doi.org/10.2903/j.efsa.2012.2831" TargetMode="External" /><Relationship Type="http://schemas.openxmlformats.org/officeDocument/2006/relationships/hyperlink" Id="rId83" Target="https://doi.org/10.2903/sp.efsa.2024.EN-8925" TargetMode="External" /><Relationship Type="http://schemas.openxmlformats.org/officeDocument/2006/relationships/hyperlink" Id="rId57" Target="https://doi.org/10.3109/10408444.2013.832726" TargetMode="External" /><Relationship Type="http://schemas.openxmlformats.org/officeDocument/2006/relationships/hyperlink" Id="rId65" Target="https://doi.org/doi:10.1289/ehp.7688" TargetMode="External" /><Relationship Type="http://schemas.openxmlformats.org/officeDocument/2006/relationships/hyperlink" Id="rId22" Target="https://efsa.onlinelibrary.wiley.com/doi/10.2903/sp.efsa.2024.EN-8925" TargetMode="External" /><Relationship Type="http://schemas.openxmlformats.org/officeDocument/2006/relationships/hyperlink" Id="rId25" Target="https://hbm.vito.be/eu-hbm-dashboard" TargetMode="External" /><Relationship Type="http://schemas.openxmlformats.org/officeDocument/2006/relationships/hyperlink" Id="rId20" Target="https://link.springer.com/journal/12963/submission-guidelines#aimsAndScope" TargetMode="External" /><Relationship Type="http://schemas.openxmlformats.org/officeDocument/2006/relationships/hyperlink" Id="rId21" Target="https://www.prisma-statement.org/prisma-2020"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1007/978-3-319-19425-7" TargetMode="External" /><Relationship Type="http://schemas.openxmlformats.org/officeDocument/2006/relationships/hyperlink" Id="rId53" Target="https://doi.org/10.1007/s11121-023-01601-6" TargetMode="External" /><Relationship Type="http://schemas.openxmlformats.org/officeDocument/2006/relationships/hyperlink" Id="rId39" Target="https://doi.org/10.1007/s12403-023-00535-2" TargetMode="External" /><Relationship Type="http://schemas.openxmlformats.org/officeDocument/2006/relationships/hyperlink" Id="rId41" Target="https://doi.org/10.1016/S0140-6736(24)00933-4" TargetMode="External" /><Relationship Type="http://schemas.openxmlformats.org/officeDocument/2006/relationships/hyperlink" Id="rId49" Target="https://doi.org/10.1016/S2468-2667(18)30025-2" TargetMode="External" /><Relationship Type="http://schemas.openxmlformats.org/officeDocument/2006/relationships/hyperlink" Id="rId59" Target="https://doi.org/10.1016/S2542-5196(23)00166-3" TargetMode="External" /><Relationship Type="http://schemas.openxmlformats.org/officeDocument/2006/relationships/hyperlink" Id="rId35" Target="https://doi.org/10.1016/j.chemosphere.2023.138207" TargetMode="External" /><Relationship Type="http://schemas.openxmlformats.org/officeDocument/2006/relationships/hyperlink" Id="rId45" Target="https://doi.org/10.1016/j.ecoenv.2022.113257" TargetMode="External" /><Relationship Type="http://schemas.openxmlformats.org/officeDocument/2006/relationships/hyperlink" Id="rId55" Target="https://doi.org/10.1016/j.envint.2025.109786" TargetMode="External" /><Relationship Type="http://schemas.openxmlformats.org/officeDocument/2006/relationships/hyperlink" Id="rId51" Target="https://doi.org/10.1016/j.envres.2005.10.004" TargetMode="External" /><Relationship Type="http://schemas.openxmlformats.org/officeDocument/2006/relationships/hyperlink" Id="rId67" Target="https://doi.org/10.1016/j.envres.2019.02.023" TargetMode="External" /><Relationship Type="http://schemas.openxmlformats.org/officeDocument/2006/relationships/hyperlink" Id="rId69" Target="https://doi.org/10.1016/j.envres.2024.120013" TargetMode="External" /><Relationship Type="http://schemas.openxmlformats.org/officeDocument/2006/relationships/hyperlink" Id="rId33" Target="https://doi.org/10.1038/s41598-025-17943-w" TargetMode="External" /><Relationship Type="http://schemas.openxmlformats.org/officeDocument/2006/relationships/hyperlink" Id="rId43" Target="https://doi.org/10.1053/j.ajkd.2018.02.358" TargetMode="External" /><Relationship Type="http://schemas.openxmlformats.org/officeDocument/2006/relationships/hyperlink" Id="rId63" Target="https://doi.org/10.1056/NEJMoa022848" TargetMode="External" /><Relationship Type="http://schemas.openxmlformats.org/officeDocument/2006/relationships/hyperlink" Id="rId71" Target="https://doi.org/10.1073/pnas.2118631119" TargetMode="External" /><Relationship Type="http://schemas.openxmlformats.org/officeDocument/2006/relationships/hyperlink" Id="rId47" Target="https://doi.org/10.1161/JAHA.124.037633" TargetMode="External" /><Relationship Type="http://schemas.openxmlformats.org/officeDocument/2006/relationships/hyperlink" Id="rId75" Target="https://doi.org/10.1177/0013164495055004001" TargetMode="External" /><Relationship Type="http://schemas.openxmlformats.org/officeDocument/2006/relationships/hyperlink" Id="rId79" Target="https://doi.org/10.1186/s40537-018-0143-6" TargetMode="External" /><Relationship Type="http://schemas.openxmlformats.org/officeDocument/2006/relationships/hyperlink" Id="rId81" Target="https://doi.org/10.1201/9781003375821" TargetMode="External" /><Relationship Type="http://schemas.openxmlformats.org/officeDocument/2006/relationships/hyperlink" Id="rId73" Target="https://doi.org/10.1289/EHP5685" TargetMode="External" /><Relationship Type="http://schemas.openxmlformats.org/officeDocument/2006/relationships/hyperlink" Id="rId61" Target="https://doi.org/10.2903/j.efsa.2010.1570" TargetMode="External" /><Relationship Type="http://schemas.openxmlformats.org/officeDocument/2006/relationships/hyperlink" Id="rId37" Target="https://doi.org/10.2903/j.efsa.2012.2831" TargetMode="External" /><Relationship Type="http://schemas.openxmlformats.org/officeDocument/2006/relationships/hyperlink" Id="rId83" Target="https://doi.org/10.2903/sp.efsa.2024.EN-8925" TargetMode="External" /><Relationship Type="http://schemas.openxmlformats.org/officeDocument/2006/relationships/hyperlink" Id="rId57" Target="https://doi.org/10.3109/10408444.2013.832726" TargetMode="External" /><Relationship Type="http://schemas.openxmlformats.org/officeDocument/2006/relationships/hyperlink" Id="rId65" Target="https://doi.org/doi:10.1289/ehp.7688" TargetMode="External" /><Relationship Type="http://schemas.openxmlformats.org/officeDocument/2006/relationships/hyperlink" Id="rId22" Target="https://efsa.onlinelibrary.wiley.com/doi/10.2903/sp.efsa.2024.EN-8925" TargetMode="External" /><Relationship Type="http://schemas.openxmlformats.org/officeDocument/2006/relationships/hyperlink" Id="rId25" Target="https://hbm.vito.be/eu-hbm-dashboard" TargetMode="External" /><Relationship Type="http://schemas.openxmlformats.org/officeDocument/2006/relationships/hyperlink" Id="rId20" Target="https://link.springer.com/journal/12963/submission-guidelines#aimsAndScope" TargetMode="External" /><Relationship Type="http://schemas.openxmlformats.org/officeDocument/2006/relationships/hyperlink" Id="rId21" Target="https://www.prisma-statement.org/prisma-2020"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TotalTime>
  <Application>LibreOffice/7.6.4.1$MacOSX_AARCH64 LibreOffice_project/e19e193f88cd6c0525a17fb7a176ed8e6a3e2aa1</Application>
  <AppVersion>15.0000</AppVersion>
  <Pages>1</Pages>
  <Words>54</Words>
  <Characters>282</Characters>
  <CharactersWithSpaces>371</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Lead Exposure and IQ Loss in Children: a Bayesian and Frequentist Meta Analysis of Recent Epidemiological Studies</dc:title>
  <dc:creator>Paulina Sell; Margaux Sanchez; Philippe Palmont; Dietrich Plass</dc:creator>
  <cp:keywords/>
  <dcterms:created xsi:type="dcterms:W3CDTF">2026-01-19T10:04:26Z</dcterms:created>
  <dcterms:modified xsi:type="dcterms:W3CDTF">2026-01-19T10:04:26Z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vancouver.csl</vt:lpwstr>
  </property>
  <property fmtid="{D5CDD505-2E9C-101B-9397-08002B2CF9AE}" pid="9" name="date-modified">
    <vt:lpwstr>2026-01-13</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out-width">
    <vt:lpwstr>40%</vt:lpwstr>
  </property>
  <property fmtid="{D5CDD505-2E9C-101B-9397-08002B2CF9AE}" pid="15" name="reference-section-title">
    <vt:lpwstr>References</vt:lpwstr>
  </property>
  <property fmtid="{D5CDD505-2E9C-101B-9397-08002B2CF9AE}" pid="16" name="toc-title">
    <vt:lpwstr>Table of contents</vt:lpwstr>
  </property>
</Properties>
</file>