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p>
    <w:p>
      <w:pPr>
        <w:pStyle w:val="Author"/>
      </w:pPr>
      <w:r>
        <w:t xml:space="preserve">Margaux Sanchez</w:t>
      </w:r>
    </w:p>
    <w:p>
      <w:pPr>
        <w:pStyle w:val="Author"/>
      </w:pPr>
      <w:r>
        <w:t xml:space="preserve">Philippe Palmont</w:t>
      </w:r>
    </w:p>
    <w:p>
      <w:pPr>
        <w:pStyle w:val="Author"/>
      </w:pPr>
      <w:r>
        <w:t xml:space="preserve">Dietrich Plass</w:t>
      </w:r>
    </w:p>
    <w:bookmarkStart w:id="23" w:name="notes"/>
    <w:p>
      <w:pPr>
        <w:pStyle w:val="Heading1"/>
      </w:pPr>
      <w:r>
        <w:t xml:space="preserve">Notes</w:t>
      </w:r>
    </w:p>
    <w:p>
      <w:pPr>
        <w:pStyle w:val="Compact"/>
        <w:numPr>
          <w:ilvl w:val="0"/>
          <w:numId w:val="1001"/>
        </w:numPr>
      </w:pPr>
      <w:r>
        <w:t xml:space="preserve">Journal:</w:t>
      </w:r>
      <w:r>
        <w:t xml:space="preserve"> </w:t>
      </w:r>
      <w:hyperlink r:id="rId20">
        <w:r>
          <w:rPr>
            <w:rStyle w:val="Hyperlink"/>
          </w:rPr>
          <w:t xml:space="preserve">Population Health Metrics, BMC</w:t>
        </w:r>
      </w:hyperlink>
    </w:p>
    <w:p>
      <w:pPr>
        <w:pStyle w:val="Compact"/>
        <w:numPr>
          <w:ilvl w:val="0"/>
          <w:numId w:val="1001"/>
        </w:numPr>
      </w:pPr>
      <w:r>
        <w:t xml:space="preserve">Using</w:t>
      </w:r>
      <w:r>
        <w:t xml:space="preserve"> </w:t>
      </w:r>
      <w:hyperlink r:id="rId21">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2">
        <w:r>
          <w:rPr>
            <w:rStyle w:val="Hyperlink"/>
          </w:rPr>
          <w:t xml:space="preserve">raRoB tool</w:t>
        </w:r>
      </w:hyperlink>
      <w:r>
        <w:t xml:space="preserve"> </w:t>
      </w:r>
      <w:r>
        <w:t xml:space="preserve">for Risk of Bias Assessment</w:t>
      </w:r>
    </w:p>
    <w:bookmarkEnd w:id="23"/>
    <w:bookmarkStart w:id="24" w:name="abstract"/>
    <w:p>
      <w:pPr>
        <w:pStyle w:val="Heading1"/>
      </w:pPr>
      <w:r>
        <w:t xml:space="preserve">Abstract</w:t>
      </w:r>
    </w:p>
    <w:p>
      <w:r>
        <w:br w:type="page"/>
      </w:r>
    </w:p>
    <w:bookmarkEnd w:id="24"/>
    <w:bookmarkStart w:id="26" w:name="background"/>
    <w:p>
      <w:pPr>
        <w:pStyle w:val="Heading1"/>
      </w:pPr>
      <w:r>
        <w:t xml:space="preserve">1. Background</w:t>
      </w:r>
    </w:p>
    <w:p>
      <w:pPr>
        <w:pStyle w:val="Compact"/>
        <w:numPr>
          <w:ilvl w:val="0"/>
          <w:numId w:val="1002"/>
        </w:numPr>
      </w:pPr>
      <w:r>
        <w:t xml:space="preserve">Intro: Lead, health effects, burden of disease</w:t>
      </w:r>
    </w:p>
    <w:p>
      <w:pPr>
        <w:pStyle w:val="Compact"/>
        <w:numPr>
          <w:ilvl w:val="0"/>
          <w:numId w:val="1003"/>
        </w:numPr>
      </w:pPr>
      <w:r>
        <w:t xml:space="preserve">Currently used ERFs</w:t>
      </w:r>
    </w:p>
    <w:p>
      <w:pPr>
        <w:pStyle w:val="Compact"/>
        <w:numPr>
          <w:ilvl w:val="0"/>
          <w:numId w:val="1004"/>
        </w:numPr>
      </w:pPr>
      <w:r>
        <w:t xml:space="preserve">Rationale for methodological comparison (BMA - FMA)</w:t>
      </w:r>
    </w:p>
    <w:p>
      <w:pPr>
        <w:pStyle w:val="Compact"/>
        <w:numPr>
          <w:ilvl w:val="0"/>
          <w:numId w:val="1005"/>
        </w:numPr>
      </w:pPr>
      <w:r>
        <w:t xml:space="preserve">Aim of this study</w:t>
      </w:r>
      <w:r>
        <w:br/>
      </w:r>
    </w:p>
    <w:p>
      <w:pPr>
        <w:pStyle w:val="FirstParagraph"/>
      </w:pPr>
      <w:r>
        <w:t xml:space="preserve">Lead (Pb) is a pervasive environmental pollutant originating from anthropogenic and natural sources.</w:t>
      </w:r>
      <w:r>
        <w:t xml:space="preserve"> </w:t>
      </w:r>
      <w:r>
        <w:t xml:space="preserve">Although concentrations have declined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pathways include dietary products, drinking water, and indoor dust</w:t>
      </w:r>
      <w:r>
        <w:t xml:space="preserve"> </w:t>
      </w:r>
      <w:r>
        <w:t xml:space="preserve">(3,4)</w:t>
      </w:r>
      <w:r>
        <w:t xml:space="preserve">.</w:t>
      </w:r>
      <w:r>
        <w:t xml:space="preserve"> </w:t>
      </w:r>
      <w:r>
        <w:t xml:space="preserve">The Global Burden of Disease Study 2023 estimated that 3.4 million (95% Confidence Interval (CI): 2.7; 4.0 million) Disability-Adjusted Life Years (DALYs) were attributable to lead exposure in 2023 in the European Union (EU)</w:t>
      </w:r>
      <w:r>
        <w:t xml:space="preserve"> </w:t>
      </w:r>
      <w:r>
        <w:t xml:space="preserve">(5)</w:t>
      </w:r>
      <w:r>
        <w:t xml:space="preserve">, underscoring the continued public health significance even of low-level exposure.</w:t>
      </w:r>
    </w:p>
    <w:p>
      <w:pPr>
        <w:pStyle w:val="BodyText"/>
      </w:pPr>
      <w:r>
        <w:t xml:space="preserve">Lead exposure is associated with multiple adverse health outcomes across the lifespan,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w:t>
      </w:r>
      <w:r>
        <w:t xml:space="preserve"> </w:t>
      </w:r>
      <w:r>
        <w:t xml:space="preserve">represents a particularly critical endpoint for public health policy.</w:t>
      </w:r>
      <w:r>
        <w:t xml:space="preserve"> </w:t>
      </w:r>
      <w:r>
        <w:t xml:space="preserve">Children are especially vulnerable to lead’s neurotoxicity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(14)</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5">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(15)</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(16,17)</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contemporary data to inform risk assessment at currently relevant exposure levels.</w:t>
      </w:r>
    </w:p>
    <w:p>
      <w:pPr>
        <w:pStyle w:val="BodyText"/>
      </w:pPr>
      <w:r>
        <w:t xml:space="preserve">Existing burden of disease assessments at national and global scales</w:t>
      </w:r>
      <w:r>
        <w:t xml:space="preserve"> </w:t>
      </w:r>
      <w:r>
        <w:t xml:space="preserve">(5,14,18–20)</w:t>
      </w:r>
      <w:r>
        <w:t xml:space="preserve"> </w:t>
      </w:r>
      <w:r>
        <w:t xml:space="preserve">rely predominantly on two foundational studies: a pooled analysis of seven cohort-studies by Lanphear et al. (2005) or its subsequent re-analysis by Crump et al. (2013)</w:t>
      </w:r>
      <w:r>
        <w:t xml:space="preserve"> </w:t>
      </w:r>
      <w:r>
        <w:t xml:space="preserve">(13,17)</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(13,21)</w:t>
      </w:r>
      <w:r>
        <w:t xml:space="preserve"> </w:t>
      </w:r>
      <w:r>
        <w:t xml:space="preserve">and the stepwise backward-elimination regression approach used by Crump et al. (2013), which is central to their findings, has received substantial criticism</w:t>
      </w:r>
      <w:r>
        <w:t xml:space="preserve"> </w:t>
      </w:r>
      <w:r>
        <w:t xml:space="preserve">(22–24)</w:t>
      </w:r>
      <w:r>
        <w:t xml:space="preserve">.</w:t>
      </w:r>
      <w:r>
        <w:t xml:space="preserve"> </w:t>
      </w:r>
      <w:r>
        <w:t xml:space="preserve">These limitations, combined with the availability of more recent epidemiological data, underscore the need not only for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(25)</w:t>
      </w:r>
      <w:r>
        <w:t xml:space="preserve">.</w:t>
      </w:r>
      <w:r>
        <w:t xml:space="preserve"> </w:t>
      </w:r>
      <w:r>
        <w:t xml:space="preserve">Unlike frequentist confidence intervals, which are often misinterpreted in probabilistic terms,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studies and risk assessments, providing seamless integration with the probabilistic frameworks increasingly adopted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6"/>
    <w:bookmarkStart w:id="30" w:name="methods"/>
    <w:p>
      <w:pPr>
        <w:pStyle w:val="Heading1"/>
      </w:pPr>
      <w:r>
        <w:t xml:space="preserve">2. Methods</w:t>
      </w:r>
    </w:p>
    <w:p>
      <w:pPr>
        <w:pStyle w:val="Compact"/>
        <w:numPr>
          <w:ilvl w:val="0"/>
          <w:numId w:val="1006"/>
        </w:numPr>
      </w:pPr>
      <w:r>
        <w:t xml:space="preserve">Overview: systematic review and meta-analysis, comparing a frequentist to a Bayesian approach</w:t>
      </w:r>
    </w:p>
    <w:p>
      <w:pPr>
        <w:pStyle w:val="Compact"/>
        <w:numPr>
          <w:ilvl w:val="0"/>
          <w:numId w:val="1007"/>
        </w:numPr>
      </w:pPr>
      <w:r>
        <w:t xml:space="preserve">Inclusion &amp; exclusion criteria, databases, search strategy, screening process</w:t>
      </w:r>
    </w:p>
    <w:p>
      <w:pPr>
        <w:pStyle w:val="Compact"/>
        <w:numPr>
          <w:ilvl w:val="0"/>
          <w:numId w:val="1008"/>
        </w:numPr>
      </w:pPr>
      <w:r>
        <w:t xml:space="preserve">Risk of bias analysis method</w:t>
      </w:r>
    </w:p>
    <w:p>
      <w:pPr>
        <w:pStyle w:val="Compact"/>
        <w:numPr>
          <w:ilvl w:val="0"/>
          <w:numId w:val="1009"/>
        </w:numPr>
      </w:pPr>
      <w:r>
        <w:t xml:space="preserve">Description &amp; rationale of harmonization of reported effect measures</w:t>
      </w:r>
    </w:p>
    <w:p>
      <w:pPr>
        <w:pStyle w:val="Compact"/>
        <w:numPr>
          <w:ilvl w:val="0"/>
          <w:numId w:val="1010"/>
        </w:numPr>
      </w:pPr>
      <w:r>
        <w:t xml:space="preserve">Description of meta-analysis methodology (frequentist &amp; Bayesian), models and software used, heterogeneity identification</w:t>
      </w:r>
    </w:p>
    <w:p>
      <w:pPr>
        <w:pStyle w:val="Compact"/>
        <w:numPr>
          <w:ilvl w:val="0"/>
          <w:numId w:val="1011"/>
        </w:numPr>
      </w:pPr>
      <w:r>
        <w:t xml:space="preserve">Sensitivity analysis</w:t>
      </w:r>
      <w:r>
        <w:br/>
      </w:r>
    </w:p>
    <w:p>
      <w:pPr>
        <w:pStyle w:val="FirstParagraph"/>
      </w:pPr>
      <w:r>
        <w:t xml:space="preserve">In order to quantitatively synthesize the available epidemiological literature on the association of children’s blood lead levels and their IQ, we first conducted a systematic review and then a meta-analysis of the results, comparing a Bayesian to a frequentist approach.</w:t>
      </w:r>
      <w:r>
        <w:br/>
      </w:r>
    </w:p>
    <w:bookmarkStart w:id="27" w:name="literature-review"/>
    <w:p>
      <w:pPr>
        <w:pStyle w:val="Heading2"/>
      </w:pPr>
      <w:r>
        <w:t xml:space="preserve">2.1 Literature Review</w:t>
      </w:r>
    </w:p>
    <w:p>
      <w:pPr>
        <w:pStyle w:val="FirstParagraph"/>
      </w:pPr>
      <w:r>
        <w:t xml:space="preserve">(Section on literature review)</w:t>
      </w:r>
      <w:r>
        <w:br/>
      </w:r>
    </w:p>
    <w:bookmarkEnd w:id="27"/>
    <w:bookmarkStart w:id="28" w:name="risk-of-bias-assessment"/>
    <w:p>
      <w:pPr>
        <w:pStyle w:val="Heading2"/>
      </w:pPr>
      <w:r>
        <w:t xml:space="preserve">2.2 Risk of Bias Assessment</w:t>
      </w:r>
    </w:p>
    <w:p>
      <w:pPr>
        <w:pStyle w:val="FirstParagraph"/>
      </w:pPr>
      <w:r>
        <w:t xml:space="preserve">To assess study quality, we conducted a Risk of Bias assessment using a rapid Risk of Bias (RoB) tool with a specific focus on human observational epidemiological studies</w:t>
      </w:r>
      <w:r>
        <w:t xml:space="preserve"> </w:t>
      </w:r>
      <w:r>
        <w:t xml:space="preserve">(26)</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of the RoB tool (for more information, see</w:t>
      </w:r>
      <w:r>
        <w:t xml:space="preserve"> </w:t>
      </w:r>
      <w:r>
        <w:t xml:space="preserve">(26)</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28"/>
    <w:bookmarkStart w:id="29" w:name="harmonization-of-effect-estimates"/>
    <w:p>
      <w:pPr>
        <w:pStyle w:val="Heading2"/>
      </w:pPr>
      <w:r>
        <w:t xml:space="preserve">2.3 Harmonization of Effect Estimates</w:t>
      </w:r>
    </w:p>
    <w:p>
      <w:pPr>
        <w:pStyle w:val="FirstParagraph"/>
      </w:pPr>
      <w:r>
        <w:t xml:space="preserve">Within the literature on the health effects of lead exposure on the IQ, different assumptions were made on the shape of the association.</w:t>
      </w:r>
      <w:r>
        <w:t xml:space="preserve"> </w:t>
      </w:r>
      <w:r>
        <w:t xml:space="preserve">Some assumed a linear relationship</w:t>
      </w:r>
      <w:r>
        <w:t xml:space="preserve"> </w:t>
      </w:r>
      <w:r>
        <w:t xml:space="preserve">(27,28)</w:t>
      </w:r>
      <w:r>
        <w:t xml:space="preserve">, but this shape has been suggested to be only valid in very low concentration ranges</w:t>
      </w:r>
      <w:r>
        <w:t xml:space="preserve"> </w:t>
      </w:r>
      <w:r>
        <w:t xml:space="preserve">(13)</w:t>
      </w:r>
      <w:r>
        <w:t xml:space="preserve">.</w:t>
      </w:r>
      <w:r>
        <w:t xml:space="preserve"> </w:t>
      </w:r>
      <w:r>
        <w:t xml:space="preserve">Studies that tested different shapes of the exposure-response function found that a log-linear relationship (where BLL are transformed to a logarithmic scale) is a valid assumption</w:t>
      </w:r>
      <w:r>
        <w:t xml:space="preserve"> </w:t>
      </w:r>
      <w:r>
        <w:t xml:space="preserve">(13,29)</w:t>
      </w:r>
      <w:r>
        <w:t xml:space="preserve">.</w:t>
      </w:r>
      <w:r>
        <w:t xml:space="preserve"> </w:t>
      </w:r>
      <w:r>
        <w:t xml:space="preserve">The general type of regression model used for a log-linear association is:</w:t>
      </w:r>
    </w:p>
    <w:p>
      <w:pPr>
        <w:pStyle w:val="BodyText"/>
      </w:pPr>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oMath>
      </m:oMathPara>
    </w:p>
    <w:p>
      <w:pPr>
        <w:pStyle w:val="FirstParagraph"/>
      </w:pPr>
      <w:r>
        <w:t xml:space="preserve">Where</w:t>
      </w:r>
      <w:r>
        <w:t xml:space="preserve"> </w:t>
      </w:r>
      <m:oMath>
        <m:r>
          <m:t>y</m:t>
        </m:r>
      </m:oMath>
      <w:r>
        <w:t xml:space="preserve"> </w:t>
      </w:r>
      <w:r>
        <w:t xml:space="preserve">is the IQ score,</w:t>
      </w:r>
      <w:r>
        <w:t xml:space="preserve"> </w:t>
      </w:r>
      <m:oMath>
        <m:r>
          <m:t>α</m:t>
        </m:r>
      </m:oMath>
      <w:r>
        <w:t xml:space="preserve"> </w:t>
      </w:r>
      <w:r>
        <w:t xml:space="preserve">is the</w:t>
      </w:r>
      <w:r>
        <w:t xml:space="preserve"> </w:t>
      </w:r>
      <m:oMath>
        <m:r>
          <m:t>y</m:t>
        </m:r>
      </m:oMath>
      <w:r>
        <w:t xml:space="preserve">-intercept,</w:t>
      </w:r>
      <w:r>
        <w:t xml:space="preserve"> </w:t>
      </w:r>
      <m:oMath>
        <m:r>
          <m:t>β</m:t>
        </m:r>
      </m:oMath>
      <w:r>
        <w:t xml:space="preserve"> </w:t>
      </w:r>
      <w:r>
        <w:t xml:space="preserve">is the slope, and</w:t>
      </w:r>
      <w:r>
        <w:t xml:space="preserve"> </w:t>
      </w:r>
      <m:oMath>
        <m:r>
          <m:t>l</m:t>
        </m:r>
        <m:r>
          <m:t>o</m:t>
        </m:r>
        <m:sSub>
          <m:e>
            <m:r>
              <m:t>g</m:t>
            </m:r>
          </m:e>
          <m:sub>
            <m:r>
              <m:t>b</m:t>
            </m:r>
          </m:sub>
        </m:sSub>
        <m:d>
          <m:dPr>
            <m:begChr m:val="("/>
            <m:sepChr m:val=""/>
            <m:endChr m:val=")"/>
            <m:grow/>
          </m:dPr>
          <m:e>
            <m:r>
              <m:t>X</m:t>
            </m:r>
          </m:e>
        </m:d>
      </m:oMath>
      <w:r>
        <w:t xml:space="preserve"> </w:t>
      </w:r>
      <w:r>
        <w:t xml:space="preserve">is the log-transformed</w:t>
      </w:r>
      <w:r>
        <w:t xml:space="preserve"> </w:t>
      </w:r>
      <m:oMath>
        <m:r>
          <m:t>B</m:t>
        </m:r>
        <m:r>
          <m:t>L</m:t>
        </m:r>
        <m:r>
          <m:t>L</m:t>
        </m:r>
        <m:d>
          <m:dPr>
            <m:begChr m:val="("/>
            <m:sepChr m:val=""/>
            <m:endChr m:val=")"/>
            <m:grow/>
          </m:dPr>
          <m:e>
            <m:r>
              <m:t>X</m:t>
            </m:r>
          </m:e>
        </m:d>
      </m:oMath>
      <w:r>
        <w:t xml:space="preserve">, with the basis</w:t>
      </w:r>
      <w:r>
        <w:t xml:space="preserve"> </w:t>
      </w:r>
      <m:oMath>
        <m:r>
          <m:t>b</m:t>
        </m:r>
      </m:oMath>
      <w:r>
        <w:t xml:space="preserve">.</w:t>
      </w:r>
    </w:p>
    <w:p>
      <w:pPr>
        <w:pStyle w:val="BodyText"/>
      </w:pPr>
      <w:r>
        <w:t xml:space="preserve">Since the logarithmic base used in the literature sometiemes varies between</w:t>
      </w:r>
      <w:r>
        <w:t xml:space="preserve"> </w:t>
      </w:r>
      <m:oMath>
        <m:r>
          <m:t>e</m:t>
        </m:r>
      </m:oMath>
      <w:r>
        <w:t xml:space="preserve"> </w:t>
      </w:r>
      <w:r>
        <w:t xml:space="preserve">(Euler’s number, approximately equal to 2.71828), 2 and 10, all identified effect measures will be harmonized to</w:t>
      </w:r>
      <w:r>
        <w:t xml:space="preserve"> </w:t>
      </w:r>
      <m:oMath>
        <m:r>
          <m:t>l</m:t>
        </m:r>
        <m:r>
          <m:t>o</m:t>
        </m:r>
        <m:sSub>
          <m:e>
            <m:r>
              <m:t>g</m:t>
            </m:r>
          </m:e>
          <m:sub>
            <m:r>
              <m:t>e</m:t>
            </m:r>
          </m:sub>
        </m:sSub>
        <m:d>
          <m:dPr>
            <m:begChr m:val="("/>
            <m:sepChr m:val=""/>
            <m:endChr m:val=")"/>
            <m:grow/>
          </m:dPr>
          <m:e>
            <m:r>
              <m:t>B</m:t>
            </m:r>
            <m:r>
              <m:t>L</m:t>
            </m:r>
            <m:r>
              <m:t>L</m:t>
            </m:r>
          </m:e>
        </m:d>
      </m:oMath>
      <w:r>
        <w:t xml:space="preserve">, also called natural logarithm (ln).</w:t>
      </w:r>
      <w:r>
        <w:t xml:space="preserve"> </w:t>
      </w:r>
      <w:r>
        <w:t xml:space="preserve">When BLL untransformed -&gt; excluded because not a good approximation</w:t>
      </w:r>
      <w:r>
        <w:t xml:space="preserve"> </w:t>
      </w:r>
      <w:r>
        <w:t xml:space="preserve">In order to harmonize all estimates and their 95% CI, the template proposed by Rodriguez Barranco et al. (2017)</w:t>
      </w:r>
      <w:r>
        <w:t xml:space="preserve"> </w:t>
      </w:r>
      <w:r>
        <w:t xml:space="preserve">(30)</w:t>
      </w:r>
      <w:r>
        <w:t xml:space="preserve"> </w:t>
      </w:r>
      <w:r>
        <w:t xml:space="preserve">was used (link to suppl).</w:t>
      </w:r>
    </w:p>
    <w:bookmarkEnd w:id="29"/>
    <w:bookmarkEnd w:id="30"/>
    <w:bookmarkStart w:id="31" w:name="results"/>
    <w:p>
      <w:pPr>
        <w:pStyle w:val="Heading1"/>
      </w:pPr>
      <w:r>
        <w:t xml:space="preserve">3. Results</w:t>
      </w:r>
    </w:p>
    <w:p>
      <w:pPr>
        <w:pStyle w:val="Compact"/>
        <w:numPr>
          <w:ilvl w:val="0"/>
          <w:numId w:val="1012"/>
        </w:numPr>
      </w:pPr>
      <w:r>
        <w:t xml:space="preserve">Cite studies that might appear to meet inclusion criteria, but were excluded &amp; explain why</w:t>
      </w:r>
    </w:p>
    <w:p>
      <w:pPr>
        <w:pStyle w:val="Compact"/>
        <w:numPr>
          <w:ilvl w:val="0"/>
          <w:numId w:val="1013"/>
        </w:numPr>
      </w:pPr>
      <w:r>
        <w:t xml:space="preserve">Study characteristics (table), including original and harmonized effect measures</w:t>
      </w:r>
    </w:p>
    <w:p>
      <w:pPr>
        <w:pStyle w:val="Compact"/>
        <w:numPr>
          <w:ilvl w:val="0"/>
          <w:numId w:val="1014"/>
        </w:numPr>
      </w:pPr>
      <w:r>
        <w:t xml:space="preserve">Flow diagram, description of (full text) screening results</w:t>
      </w:r>
    </w:p>
    <w:p>
      <w:pPr>
        <w:pStyle w:val="Compact"/>
        <w:numPr>
          <w:ilvl w:val="0"/>
          <w:numId w:val="1015"/>
        </w:numPr>
      </w:pPr>
      <w:r>
        <w:t xml:space="preserve">RoB results for each included study</w:t>
      </w:r>
    </w:p>
    <w:p>
      <w:pPr>
        <w:pStyle w:val="Compact"/>
        <w:numPr>
          <w:ilvl w:val="0"/>
          <w:numId w:val="1016"/>
        </w:numPr>
      </w:pPr>
      <w:r>
        <w:t xml:space="preserve">Forest plots</w:t>
      </w:r>
    </w:p>
    <w:p>
      <w:pPr>
        <w:pStyle w:val="Compact"/>
        <w:numPr>
          <w:ilvl w:val="0"/>
          <w:numId w:val="1017"/>
        </w:numPr>
      </w:pPr>
      <w:r>
        <w:t xml:space="preserve">Sensitivity analysis results</w:t>
      </w:r>
    </w:p>
    <w:bookmarkEnd w:id="31"/>
    <w:bookmarkStart w:id="32" w:name="discussion"/>
    <w:p>
      <w:pPr>
        <w:pStyle w:val="Heading1"/>
      </w:pPr>
      <w:r>
        <w:t xml:space="preserve">4. Discussion</w:t>
      </w:r>
    </w:p>
    <w:p>
      <w:pPr>
        <w:pStyle w:val="Compact"/>
        <w:numPr>
          <w:ilvl w:val="0"/>
          <w:numId w:val="1018"/>
        </w:numPr>
      </w:pPr>
      <w:r>
        <w:t xml:space="preserve">General interpretation of results in light of evidence in literature</w:t>
      </w:r>
    </w:p>
    <w:p>
      <w:pPr>
        <w:pStyle w:val="Compact"/>
        <w:numPr>
          <w:ilvl w:val="0"/>
          <w:numId w:val="1019"/>
        </w:numPr>
      </w:pPr>
      <w:r>
        <w:t xml:space="preserve">Discuss differences, similarities, strengths and weaknesses of freq vs. Bayesian approach</w:t>
      </w:r>
    </w:p>
    <w:p>
      <w:pPr>
        <w:pStyle w:val="Compact"/>
        <w:numPr>
          <w:ilvl w:val="0"/>
          <w:numId w:val="1020"/>
        </w:numPr>
      </w:pPr>
      <w:r>
        <w:t xml:space="preserve">Study limitations &amp; strengths</w:t>
      </w:r>
    </w:p>
    <w:bookmarkEnd w:id="32"/>
    <w:bookmarkStart w:id="33" w:name="conclusions"/>
    <w:p>
      <w:pPr>
        <w:pStyle w:val="Heading1"/>
      </w:pPr>
      <w:r>
        <w:t xml:space="preserve">5. Conclusions</w:t>
      </w:r>
    </w:p>
    <w:p>
      <w:pPr>
        <w:pStyle w:val="Compact"/>
        <w:numPr>
          <w:ilvl w:val="0"/>
          <w:numId w:val="1021"/>
        </w:numPr>
      </w:pPr>
      <w:r>
        <w:t xml:space="preserve">Conclusion, with reference to aim of study</w:t>
      </w:r>
    </w:p>
    <w:p>
      <w:pPr>
        <w:pStyle w:val="Compact"/>
        <w:numPr>
          <w:ilvl w:val="0"/>
          <w:numId w:val="1022"/>
        </w:numPr>
      </w:pPr>
      <w:r>
        <w:t xml:space="preserve">Implications of results: policy, (scientific?) practice, future research needs</w:t>
      </w:r>
    </w:p>
    <w:bookmarkEnd w:id="33"/>
    <w:bookmarkStart w:id="3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DALY</w:t>
            </w:r>
          </w:p>
        </w:tc>
        <w:tc>
          <w:tcPr/>
          <w:p>
            <w:pPr>
              <w:pStyle w:val="Compact"/>
              <w:jc w:val="left"/>
            </w:pPr>
            <w:r>
              <w:t xml:space="preserve">Disability-adjusted Life Year</w:t>
            </w:r>
          </w:p>
        </w:tc>
      </w:tr>
    </w:tbl>
    <w:bookmarkEnd w:id="34"/>
    <w:bookmarkStart w:id="35"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35"/>
    <w:bookmarkStart w:id="97" w:name="bibliography"/>
    <w:p>
      <w:pPr>
        <w:pStyle w:val="Heading1"/>
      </w:pPr>
      <w:r>
        <w:t xml:space="preserve">References</w:t>
      </w:r>
    </w:p>
    <w:bookmarkStart w:id="96" w:name="refs"/>
    <w:bookmarkStart w:id="37"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36">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37"/>
    <w:bookmarkStart w:id="39"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38">
        <w:r>
          <w:rPr>
            <w:rStyle w:val="Hyperlink"/>
          </w:rPr>
          <w:t xml:space="preserve">Global decrease in blood lead concentrations due to the removal of leaded gasoline</w:t>
        </w:r>
      </w:hyperlink>
      <w:r>
        <w:t xml:space="preserve">. Chemosphere. 2023;324:138207.</w:t>
      </w:r>
      <w:r>
        <w:t xml:space="preserve"> </w:t>
      </w:r>
    </w:p>
    <w:bookmarkEnd w:id="39"/>
    <w:bookmarkStart w:id="41" w:name="X4707f3a4b72a0982487545f9dc3d674642af108"/>
    <w:p>
      <w:pPr>
        <w:pStyle w:val="Bibliography"/>
      </w:pPr>
      <w:r>
        <w:t xml:space="preserve">3.</w:t>
      </w:r>
      <w:r>
        <w:t xml:space="preserve"> </w:t>
      </w:r>
      <w:r>
        <w:t xml:space="preserve">	</w:t>
      </w:r>
      <w:r>
        <w:t xml:space="preserve">European Food Safety Authority.</w:t>
      </w:r>
      <w:r>
        <w:t xml:space="preserve"> </w:t>
      </w:r>
      <w:hyperlink r:id="rId40">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41"/>
    <w:bookmarkStart w:id="43"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42">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43"/>
    <w:bookmarkStart w:id="45"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44">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45"/>
    <w:bookmarkStart w:id="47"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46">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47"/>
    <w:bookmarkStart w:id="49"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48">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49"/>
    <w:bookmarkStart w:id="51"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50">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51"/>
    <w:bookmarkStart w:id="53"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52">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53"/>
    <w:bookmarkStart w:id="55"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54">
        <w:r>
          <w:rPr>
            <w:rStyle w:val="Hyperlink"/>
          </w:rPr>
          <w:t xml:space="preserve">Low blood lead concentration in association with infertility in women</w:t>
        </w:r>
      </w:hyperlink>
      <w:r>
        <w:t xml:space="preserve">. Environmental Research. 2006 Jul;101(3):380–6.</w:t>
      </w:r>
      <w:r>
        <w:t xml:space="preserve"> </w:t>
      </w:r>
    </w:p>
    <w:bookmarkEnd w:id="55"/>
    <w:bookmarkStart w:id="57"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56">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57"/>
    <w:bookmarkStart w:id="59"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58">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59"/>
    <w:bookmarkStart w:id="61" w:name="ref-crump2013StatisticalReevaluationData"/>
    <w:p>
      <w:pPr>
        <w:pStyle w:val="Bibliography"/>
      </w:pPr>
      <w:r>
        <w:t xml:space="preserve">13.</w:t>
      </w:r>
      <w:r>
        <w:t xml:space="preserve"> </w:t>
      </w:r>
      <w:r>
        <w:t xml:space="preserve">	</w:t>
      </w:r>
      <w:r>
        <w:t xml:space="preserve">Crump KS, Van Landingham C, Bowers TS, Cahoy D, Chandalia JK.</w:t>
      </w:r>
      <w:r>
        <w:t xml:space="preserve"> </w:t>
      </w:r>
      <w:hyperlink r:id="rId60">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61"/>
    <w:bookmarkStart w:id="63" w:name="ref-larsen2023GlobalHealthBurden"/>
    <w:p>
      <w:pPr>
        <w:pStyle w:val="Bibliography"/>
      </w:pPr>
      <w:r>
        <w:t xml:space="preserve">14.</w:t>
      </w:r>
      <w:r>
        <w:t xml:space="preserve"> </w:t>
      </w:r>
      <w:r>
        <w:t xml:space="preserve">	</w:t>
      </w:r>
      <w:r>
        <w:t xml:space="preserve">Larsen B, Sánchez-Triana E.</w:t>
      </w:r>
      <w:r>
        <w:t xml:space="preserve"> </w:t>
      </w:r>
      <w:hyperlink r:id="rId62">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63"/>
    <w:bookmarkStart w:id="65" w:name="X5615fc1cb9c455a90da75660348bda09fd0f967"/>
    <w:p>
      <w:pPr>
        <w:pStyle w:val="Bibliography"/>
      </w:pPr>
      <w:r>
        <w:t xml:space="preserve">15.</w:t>
      </w:r>
      <w:r>
        <w:t xml:space="preserve"> </w:t>
      </w:r>
      <w:r>
        <w:t xml:space="preserve">	</w:t>
      </w:r>
      <w:r>
        <w:t xml:space="preserve">EFSA Panel on Contaminants in the Food Chain (CONTAM).</w:t>
      </w:r>
      <w:r>
        <w:t xml:space="preserve"> </w:t>
      </w:r>
      <w:hyperlink r:id="rId64">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65"/>
    <w:bookmarkStart w:id="67" w:name="Xa2086c2c3f6a9ac4b676f66b1cdbbd5efdb3b23"/>
    <w:p>
      <w:pPr>
        <w:pStyle w:val="Bibliography"/>
      </w:pPr>
      <w:r>
        <w:t xml:space="preserve">16.</w:t>
      </w:r>
      <w:r>
        <w:t xml:space="preserve"> </w:t>
      </w:r>
      <w:r>
        <w:t xml:space="preserve">	</w:t>
      </w:r>
      <w:r>
        <w:t xml:space="preserve">Canfield RL, Henderson CR, Cory-Slechta DA, Cox C, Jusko TA, Lanphear BP.</w:t>
      </w:r>
      <w:r>
        <w:t xml:space="preserve"> </w:t>
      </w:r>
      <w:hyperlink r:id="rId66">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67"/>
    <w:bookmarkStart w:id="69" w:name="X9a8bad0b78f43066cb333fdedcdcad5d7017900"/>
    <w:p>
      <w:pPr>
        <w:pStyle w:val="Bibliography"/>
      </w:pPr>
      <w:r>
        <w:t xml:space="preserve">17.</w:t>
      </w:r>
      <w:r>
        <w:t xml:space="preserve"> </w:t>
      </w:r>
      <w:r>
        <w:t xml:space="preserve">	</w:t>
      </w:r>
      <w:r>
        <w:t xml:space="preserve">Lanphear BP, Hornung R, Khoury J, Yolton K, Baghurst P, Bellinger DC, et al.</w:t>
      </w:r>
      <w:r>
        <w:t xml:space="preserve"> </w:t>
      </w:r>
      <w:hyperlink r:id="rId68">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69"/>
    <w:bookmarkStart w:id="71" w:name="X93c1fc7f8e1220d02cbab90c02ac44248f2b23e"/>
    <w:p>
      <w:pPr>
        <w:pStyle w:val="Bibliography"/>
      </w:pPr>
      <w:r>
        <w:t xml:space="preserve">18.</w:t>
      </w:r>
      <w:r>
        <w:t xml:space="preserve"> </w:t>
      </w:r>
      <w:r>
        <w:t xml:space="preserve">	</w:t>
      </w:r>
      <w:r>
        <w:t xml:space="preserve">Carrington C, Devleesschauwer B, Gibb HJ, Bolger PM.</w:t>
      </w:r>
      <w:r>
        <w:t xml:space="preserve"> </w:t>
      </w:r>
      <w:hyperlink r:id="rId70">
        <w:r>
          <w:rPr>
            <w:rStyle w:val="Hyperlink"/>
          </w:rPr>
          <w:t xml:space="preserve">Global burden of intellectual disability resulting from dietary exposure to lead, 2015</w:t>
        </w:r>
      </w:hyperlink>
      <w:r>
        <w:t xml:space="preserve">. Environmental Research. 2019;172:420–9.</w:t>
      </w:r>
      <w:r>
        <w:t xml:space="preserve"> </w:t>
      </w:r>
    </w:p>
    <w:bookmarkEnd w:id="71"/>
    <w:bookmarkStart w:id="73" w:name="ref-figueroa2024LossCognitiveFunction"/>
    <w:p>
      <w:pPr>
        <w:pStyle w:val="Bibliography"/>
      </w:pPr>
      <w:r>
        <w:t xml:space="preserve">19.</w:t>
      </w:r>
      <w:r>
        <w:t xml:space="preserve"> </w:t>
      </w:r>
      <w:r>
        <w:t xml:space="preserve">	</w:t>
      </w:r>
      <w:r>
        <w:t xml:space="preserve">Figueroa JL, Rodríguez-Atristain A, Bautista-Arredondo LF, Treviño CL, Martínez MR, Valdivia BT, et al.</w:t>
      </w:r>
      <w:r>
        <w:t xml:space="preserve"> </w:t>
      </w:r>
      <w:hyperlink r:id="rId72">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73"/>
    <w:bookmarkStart w:id="75" w:name="ref-mcfarland2022HalfUSPopulation"/>
    <w:p>
      <w:pPr>
        <w:pStyle w:val="Bibliography"/>
      </w:pPr>
      <w:r>
        <w:t xml:space="preserve">20.</w:t>
      </w:r>
      <w:r>
        <w:t xml:space="preserve"> </w:t>
      </w:r>
      <w:r>
        <w:t xml:space="preserve">	</w:t>
      </w:r>
      <w:r>
        <w:t xml:space="preserve">McFarland MJ, Hauer ME, Reuben A.</w:t>
      </w:r>
      <w:r>
        <w:t xml:space="preserve"> </w:t>
      </w:r>
      <w:hyperlink r:id="rId74">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75"/>
    <w:bookmarkStart w:id="77" w:name="X33f03e29791f20cdbbbbf0729c723b16e55ed16"/>
    <w:p>
      <w:pPr>
        <w:pStyle w:val="Bibliography"/>
      </w:pPr>
      <w:r>
        <w:t xml:space="preserve">21.</w:t>
      </w:r>
      <w:r>
        <w:t xml:space="preserve"> </w:t>
      </w:r>
      <w:r>
        <w:t xml:space="preserve">	</w:t>
      </w:r>
      <w:r>
        <w:t xml:space="preserve">Lanphear BP, Hornung R, Khoury J, Yolton K, Baghurst P, Bellinger DC, et al.</w:t>
      </w:r>
      <w:r>
        <w:t xml:space="preserve"> </w:t>
      </w:r>
      <w:hyperlink r:id="rId76">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77"/>
    <w:bookmarkStart w:id="79" w:name="X99fa6bd9cd2521340285769f289a6c9d4bfe17b"/>
    <w:p>
      <w:pPr>
        <w:pStyle w:val="Bibliography"/>
      </w:pPr>
      <w:r>
        <w:t xml:space="preserve">22.</w:t>
      </w:r>
      <w:r>
        <w:t xml:space="preserve"> </w:t>
      </w:r>
      <w:r>
        <w:t xml:space="preserve">	</w:t>
      </w:r>
      <w:r>
        <w:t xml:space="preserve">Thompson B.</w:t>
      </w:r>
      <w:r>
        <w:t xml:space="preserve"> </w:t>
      </w:r>
      <w:hyperlink r:id="rId78">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79"/>
    <w:bookmarkStart w:id="81" w:name="Xec30ec7c912152a14c0f622040312567154bf15"/>
    <w:p>
      <w:pPr>
        <w:pStyle w:val="Bibliography"/>
      </w:pPr>
      <w:r>
        <w:t xml:space="preserve">23.</w:t>
      </w:r>
      <w:r>
        <w:t xml:space="preserve"> </w:t>
      </w:r>
      <w:r>
        <w:t xml:space="preserve">	</w:t>
      </w:r>
      <w:r>
        <w:t xml:space="preserve">Harrell FE.</w:t>
      </w:r>
      <w:r>
        <w:t xml:space="preserve"> </w:t>
      </w:r>
      <w:hyperlink r:id="rId80">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81"/>
    <w:bookmarkStart w:id="83" w:name="ref-smith2018StepAwayStepwise"/>
    <w:p>
      <w:pPr>
        <w:pStyle w:val="Bibliography"/>
      </w:pPr>
      <w:r>
        <w:t xml:space="preserve">24.</w:t>
      </w:r>
      <w:r>
        <w:t xml:space="preserve"> </w:t>
      </w:r>
      <w:r>
        <w:t xml:space="preserve">	</w:t>
      </w:r>
      <w:r>
        <w:t xml:space="preserve">Smith G.</w:t>
      </w:r>
      <w:r>
        <w:t xml:space="preserve"> </w:t>
      </w:r>
      <w:hyperlink r:id="rId82">
        <w:r>
          <w:rPr>
            <w:rStyle w:val="Hyperlink"/>
          </w:rPr>
          <w:t xml:space="preserve">Step away from stepwise</w:t>
        </w:r>
      </w:hyperlink>
      <w:r>
        <w:t xml:space="preserve">. J Big Data. 2018 Dec;5(1):32.</w:t>
      </w:r>
      <w:r>
        <w:t xml:space="preserve"> </w:t>
      </w:r>
    </w:p>
    <w:bookmarkEnd w:id="83"/>
    <w:bookmarkStart w:id="85" w:name="X035620408d1fb22c7ed381e74f0468c30df4612"/>
    <w:p>
      <w:pPr>
        <w:pStyle w:val="Bibliography"/>
      </w:pPr>
      <w:r>
        <w:t xml:space="preserve">25.</w:t>
      </w:r>
      <w:r>
        <w:t xml:space="preserve"> </w:t>
      </w:r>
      <w:r>
        <w:t xml:space="preserve">	</w:t>
      </w:r>
      <w:r>
        <w:t xml:space="preserve">Grant R, Di Tanna GL.</w:t>
      </w:r>
      <w:r>
        <w:t xml:space="preserve"> </w:t>
      </w:r>
      <w:hyperlink r:id="rId84">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85"/>
    <w:bookmarkStart w:id="87" w:name="ref-plate2024DevelopmentToolRapid"/>
    <w:p>
      <w:pPr>
        <w:pStyle w:val="Bibliography"/>
      </w:pPr>
      <w:r>
        <w:t xml:space="preserve">26.</w:t>
      </w:r>
      <w:r>
        <w:t xml:space="preserve"> </w:t>
      </w:r>
      <w:r>
        <w:t xml:space="preserve">	</w:t>
      </w:r>
      <w:r>
        <w:t xml:space="preserve">Plate K, Knüppel S, Hornbacher A, Greiner M, Müller-Graf C.</w:t>
      </w:r>
      <w:r>
        <w:t xml:space="preserve"> </w:t>
      </w:r>
      <w:hyperlink r:id="rId86">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87"/>
    <w:bookmarkStart w:id="89" w:name="ref-halabicky2023LowLevelLead"/>
    <w:p>
      <w:pPr>
        <w:pStyle w:val="Bibliography"/>
      </w:pPr>
      <w:r>
        <w:t xml:space="preserve">27.</w:t>
      </w:r>
      <w:r>
        <w:t xml:space="preserve"> </w:t>
      </w:r>
      <w:r>
        <w:t xml:space="preserve">	</w:t>
      </w:r>
      <w:r>
        <w:t xml:space="preserve">Halabicky OM, Pinto-Martin JA, Compton P, Liu J.</w:t>
      </w:r>
      <w:r>
        <w:t xml:space="preserve"> </w:t>
      </w:r>
      <w:hyperlink r:id="rId88">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89"/>
    <w:bookmarkStart w:id="91" w:name="ref-chen2005IQBloodLead"/>
    <w:p>
      <w:pPr>
        <w:pStyle w:val="Bibliography"/>
      </w:pPr>
      <w:r>
        <w:t xml:space="preserve">28.</w:t>
      </w:r>
      <w:r>
        <w:t xml:space="preserve"> </w:t>
      </w:r>
      <w:r>
        <w:t xml:space="preserve">	</w:t>
      </w:r>
      <w:r>
        <w:t xml:space="preserve">Chen A, Dietrich KN, Ware JH, Radcliffe J, Rogan WJ.</w:t>
      </w:r>
      <w:r>
        <w:t xml:space="preserve"> </w:t>
      </w:r>
      <w:hyperlink r:id="rId90">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91"/>
    <w:bookmarkStart w:id="93" w:name="Xcf7993c3f58afaabaf73be6238c67f4f63053d9"/>
    <w:p>
      <w:pPr>
        <w:pStyle w:val="Bibliography"/>
      </w:pPr>
      <w:r>
        <w:t xml:space="preserve">29.</w:t>
      </w:r>
      <w:r>
        <w:t xml:space="preserve"> </w:t>
      </w:r>
      <w:r>
        <w:t xml:space="preserve">	</w:t>
      </w:r>
      <w:r>
        <w:t xml:space="preserve">Schnaas L, Rothenberg Stephen J, Flores MF, Martinez S, Hernandez C, Osorio E, et al.</w:t>
      </w:r>
      <w:r>
        <w:t xml:space="preserve"> </w:t>
      </w:r>
      <w:hyperlink r:id="rId92">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93"/>
    <w:bookmarkStart w:id="95" w:name="X8e5230fc5b64bf627de98b910f1e221b6fea14c"/>
    <w:p>
      <w:pPr>
        <w:pStyle w:val="Bibliography"/>
      </w:pPr>
      <w:r>
        <w:t xml:space="preserve">30.</w:t>
      </w:r>
      <w:r>
        <w:t xml:space="preserve"> </w:t>
      </w:r>
      <w:r>
        <w:t xml:space="preserve">	</w:t>
      </w:r>
      <w:r>
        <w:t xml:space="preserve">Rodríguez-Barranco M, Tobías A, Redondo D, Molina-Portillo E, Sánchez MJ.</w:t>
      </w:r>
      <w:r>
        <w:t xml:space="preserve"> </w:t>
      </w:r>
      <w:hyperlink r:id="rId94">
        <w:r>
          <w:rPr>
            <w:rStyle w:val="Hyperlink"/>
          </w:rPr>
          <w:t xml:space="preserve">Standardizing effect size from linear regression models with log-transformed variables for meta-analysis</w:t>
        </w:r>
      </w:hyperlink>
      <w:r>
        <w:t xml:space="preserve">. BMC Med Res Methodol. 2017 Dec;17(1):44.</w:t>
      </w:r>
      <w:r>
        <w:t xml:space="preserve"> </w:t>
      </w:r>
    </w:p>
    <w:bookmarkEnd w:id="95"/>
    <w:bookmarkEnd w:id="96"/>
    <w:bookmarkEnd w:id="97"/>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2"/>
  </w:num>
  <w:num w:numId="1008">
    <w:abstractNumId w:val="993"/>
  </w:num>
  <w:num w:numId="1009">
    <w:abstractNumId w:val="993"/>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80" Target="https://doi.org/10.1007/978-3-319-19425-7" TargetMode="External" /><Relationship Type="http://schemas.openxmlformats.org/officeDocument/2006/relationships/hyperlink" Id="rId56" Target="https://doi.org/10.1007/s11121-023-01601-6" TargetMode="External" /><Relationship Type="http://schemas.openxmlformats.org/officeDocument/2006/relationships/hyperlink" Id="rId42" Target="https://doi.org/10.1007/s12403-023-00535-2" TargetMode="External" /><Relationship Type="http://schemas.openxmlformats.org/officeDocument/2006/relationships/hyperlink" Id="rId44" Target="https://doi.org/10.1016/S0140-6736(24)00933-4" TargetMode="External" /><Relationship Type="http://schemas.openxmlformats.org/officeDocument/2006/relationships/hyperlink" Id="rId52" Target="https://doi.org/10.1016/S2468-2667(18)30025-2" TargetMode="External" /><Relationship Type="http://schemas.openxmlformats.org/officeDocument/2006/relationships/hyperlink" Id="rId62" Target="https://doi.org/10.1016/S2542-5196(23)00166-3" TargetMode="External" /><Relationship Type="http://schemas.openxmlformats.org/officeDocument/2006/relationships/hyperlink" Id="rId38" Target="https://doi.org/10.1016/j.chemosphere.2023.138207" TargetMode="External" /><Relationship Type="http://schemas.openxmlformats.org/officeDocument/2006/relationships/hyperlink" Id="rId48" Target="https://doi.org/10.1016/j.ecoenv.2022.113257" TargetMode="External" /><Relationship Type="http://schemas.openxmlformats.org/officeDocument/2006/relationships/hyperlink" Id="rId58" Target="https://doi.org/10.1016/j.envint.2025.109786" TargetMode="External" /><Relationship Type="http://schemas.openxmlformats.org/officeDocument/2006/relationships/hyperlink" Id="rId54" Target="https://doi.org/10.1016/j.envres.2005.10.004" TargetMode="External" /><Relationship Type="http://schemas.openxmlformats.org/officeDocument/2006/relationships/hyperlink" Id="rId70" Target="https://doi.org/10.1016/j.envres.2019.02.023" TargetMode="External" /><Relationship Type="http://schemas.openxmlformats.org/officeDocument/2006/relationships/hyperlink" Id="rId72" Target="https://doi.org/10.1016/j.envres.2024.120013" TargetMode="External" /><Relationship Type="http://schemas.openxmlformats.org/officeDocument/2006/relationships/hyperlink" Id="rId88" Target="https://doi.org/10.1038/s41370-022-00450-9" TargetMode="External" /><Relationship Type="http://schemas.openxmlformats.org/officeDocument/2006/relationships/hyperlink" Id="rId36" Target="https://doi.org/10.1038/s41598-025-17943-w" TargetMode="External" /><Relationship Type="http://schemas.openxmlformats.org/officeDocument/2006/relationships/hyperlink" Id="rId46" Target="https://doi.org/10.1053/j.ajkd.2018.02.358" TargetMode="External" /><Relationship Type="http://schemas.openxmlformats.org/officeDocument/2006/relationships/hyperlink" Id="rId66" Target="https://doi.org/10.1056/NEJMoa022848" TargetMode="External" /><Relationship Type="http://schemas.openxmlformats.org/officeDocument/2006/relationships/hyperlink" Id="rId74" Target="https://doi.org/10.1073/pnas.2118631119" TargetMode="External" /><Relationship Type="http://schemas.openxmlformats.org/officeDocument/2006/relationships/hyperlink" Id="rId50" Target="https://doi.org/10.1161/JAHA.124.037633" TargetMode="External" /><Relationship Type="http://schemas.openxmlformats.org/officeDocument/2006/relationships/hyperlink" Id="rId78" Target="https://doi.org/10.1177/0013164495055004001" TargetMode="External" /><Relationship Type="http://schemas.openxmlformats.org/officeDocument/2006/relationships/hyperlink" Id="rId94" Target="https://doi.org/10.1186/s12874-017-0322-8" TargetMode="External" /><Relationship Type="http://schemas.openxmlformats.org/officeDocument/2006/relationships/hyperlink" Id="rId82" Target="https://doi.org/10.1186/s40537-018-0143-6" TargetMode="External" /><Relationship Type="http://schemas.openxmlformats.org/officeDocument/2006/relationships/hyperlink" Id="rId84" Target="https://doi.org/10.1201/9781003375821" TargetMode="External" /><Relationship Type="http://schemas.openxmlformats.org/officeDocument/2006/relationships/hyperlink" Id="rId76" Target="https://doi.org/10.1289/EHP5685" TargetMode="External" /><Relationship Type="http://schemas.openxmlformats.org/officeDocument/2006/relationships/hyperlink" Id="rId92" Target="https://doi.org/10.1289/ehp.8552" TargetMode="External" /><Relationship Type="http://schemas.openxmlformats.org/officeDocument/2006/relationships/hyperlink" Id="rId64" Target="https://doi.org/10.2903/j.efsa.2010.1570" TargetMode="External" /><Relationship Type="http://schemas.openxmlformats.org/officeDocument/2006/relationships/hyperlink" Id="rId40" Target="https://doi.org/10.2903/j.efsa.2012.2831" TargetMode="External" /><Relationship Type="http://schemas.openxmlformats.org/officeDocument/2006/relationships/hyperlink" Id="rId86" Target="https://doi.org/10.2903/sp.efsa.2024.EN-8925" TargetMode="External" /><Relationship Type="http://schemas.openxmlformats.org/officeDocument/2006/relationships/hyperlink" Id="rId60" Target="https://doi.org/10.3109/10408444.2013.832726" TargetMode="External" /><Relationship Type="http://schemas.openxmlformats.org/officeDocument/2006/relationships/hyperlink" Id="rId90" Target="https://doi.org/doi:10.1289/ehp.7625" TargetMode="External" /><Relationship Type="http://schemas.openxmlformats.org/officeDocument/2006/relationships/hyperlink" Id="rId68"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7/978-3-319-19425-7" TargetMode="External" /><Relationship Type="http://schemas.openxmlformats.org/officeDocument/2006/relationships/hyperlink" Id="rId56" Target="https://doi.org/10.1007/s11121-023-01601-6" TargetMode="External" /><Relationship Type="http://schemas.openxmlformats.org/officeDocument/2006/relationships/hyperlink" Id="rId42" Target="https://doi.org/10.1007/s12403-023-00535-2" TargetMode="External" /><Relationship Type="http://schemas.openxmlformats.org/officeDocument/2006/relationships/hyperlink" Id="rId44" Target="https://doi.org/10.1016/S0140-6736(24)00933-4" TargetMode="External" /><Relationship Type="http://schemas.openxmlformats.org/officeDocument/2006/relationships/hyperlink" Id="rId52" Target="https://doi.org/10.1016/S2468-2667(18)30025-2" TargetMode="External" /><Relationship Type="http://schemas.openxmlformats.org/officeDocument/2006/relationships/hyperlink" Id="rId62" Target="https://doi.org/10.1016/S2542-5196(23)00166-3" TargetMode="External" /><Relationship Type="http://schemas.openxmlformats.org/officeDocument/2006/relationships/hyperlink" Id="rId38" Target="https://doi.org/10.1016/j.chemosphere.2023.138207" TargetMode="External" /><Relationship Type="http://schemas.openxmlformats.org/officeDocument/2006/relationships/hyperlink" Id="rId48" Target="https://doi.org/10.1016/j.ecoenv.2022.113257" TargetMode="External" /><Relationship Type="http://schemas.openxmlformats.org/officeDocument/2006/relationships/hyperlink" Id="rId58" Target="https://doi.org/10.1016/j.envint.2025.109786" TargetMode="External" /><Relationship Type="http://schemas.openxmlformats.org/officeDocument/2006/relationships/hyperlink" Id="rId54" Target="https://doi.org/10.1016/j.envres.2005.10.004" TargetMode="External" /><Relationship Type="http://schemas.openxmlformats.org/officeDocument/2006/relationships/hyperlink" Id="rId70" Target="https://doi.org/10.1016/j.envres.2019.02.023" TargetMode="External" /><Relationship Type="http://schemas.openxmlformats.org/officeDocument/2006/relationships/hyperlink" Id="rId72" Target="https://doi.org/10.1016/j.envres.2024.120013" TargetMode="External" /><Relationship Type="http://schemas.openxmlformats.org/officeDocument/2006/relationships/hyperlink" Id="rId88" Target="https://doi.org/10.1038/s41370-022-00450-9" TargetMode="External" /><Relationship Type="http://schemas.openxmlformats.org/officeDocument/2006/relationships/hyperlink" Id="rId36" Target="https://doi.org/10.1038/s41598-025-17943-w" TargetMode="External" /><Relationship Type="http://schemas.openxmlformats.org/officeDocument/2006/relationships/hyperlink" Id="rId46" Target="https://doi.org/10.1053/j.ajkd.2018.02.358" TargetMode="External" /><Relationship Type="http://schemas.openxmlformats.org/officeDocument/2006/relationships/hyperlink" Id="rId66" Target="https://doi.org/10.1056/NEJMoa022848" TargetMode="External" /><Relationship Type="http://schemas.openxmlformats.org/officeDocument/2006/relationships/hyperlink" Id="rId74" Target="https://doi.org/10.1073/pnas.2118631119" TargetMode="External" /><Relationship Type="http://schemas.openxmlformats.org/officeDocument/2006/relationships/hyperlink" Id="rId50" Target="https://doi.org/10.1161/JAHA.124.037633" TargetMode="External" /><Relationship Type="http://schemas.openxmlformats.org/officeDocument/2006/relationships/hyperlink" Id="rId78" Target="https://doi.org/10.1177/0013164495055004001" TargetMode="External" /><Relationship Type="http://schemas.openxmlformats.org/officeDocument/2006/relationships/hyperlink" Id="rId94" Target="https://doi.org/10.1186/s12874-017-0322-8" TargetMode="External" /><Relationship Type="http://schemas.openxmlformats.org/officeDocument/2006/relationships/hyperlink" Id="rId82" Target="https://doi.org/10.1186/s40537-018-0143-6" TargetMode="External" /><Relationship Type="http://schemas.openxmlformats.org/officeDocument/2006/relationships/hyperlink" Id="rId84" Target="https://doi.org/10.1201/9781003375821" TargetMode="External" /><Relationship Type="http://schemas.openxmlformats.org/officeDocument/2006/relationships/hyperlink" Id="rId76" Target="https://doi.org/10.1289/EHP5685" TargetMode="External" /><Relationship Type="http://schemas.openxmlformats.org/officeDocument/2006/relationships/hyperlink" Id="rId92" Target="https://doi.org/10.1289/ehp.8552" TargetMode="External" /><Relationship Type="http://schemas.openxmlformats.org/officeDocument/2006/relationships/hyperlink" Id="rId64" Target="https://doi.org/10.2903/j.efsa.2010.1570" TargetMode="External" /><Relationship Type="http://schemas.openxmlformats.org/officeDocument/2006/relationships/hyperlink" Id="rId40" Target="https://doi.org/10.2903/j.efsa.2012.2831" TargetMode="External" /><Relationship Type="http://schemas.openxmlformats.org/officeDocument/2006/relationships/hyperlink" Id="rId86" Target="https://doi.org/10.2903/sp.efsa.2024.EN-8925" TargetMode="External" /><Relationship Type="http://schemas.openxmlformats.org/officeDocument/2006/relationships/hyperlink" Id="rId60" Target="https://doi.org/10.3109/10408444.2013.832726" TargetMode="External" /><Relationship Type="http://schemas.openxmlformats.org/officeDocument/2006/relationships/hyperlink" Id="rId90" Target="https://doi.org/doi:10.1289/ehp.7625" TargetMode="External" /><Relationship Type="http://schemas.openxmlformats.org/officeDocument/2006/relationships/hyperlink" Id="rId68"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 Margaux Sanchez; Philippe Palmont; Dietrich Plass</dc:creator>
  <cp:keywords/>
  <dcterms:created xsi:type="dcterms:W3CDTF">2026-01-20T15:21:26Z</dcterms:created>
  <dcterms:modified xsi:type="dcterms:W3CDTF">2026-01-20T15:21:26Z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modified">
    <vt:lpwstr>2026-01-19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