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png" ContentType="image/png"/>
  <Override PartName="/word/media/rId36.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practical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12">
        <w:r>
          <w:rPr>
            <w:rStyle w:val="Hyperlink"/>
          </w:rPr>
          <w:t xml:space="preserve">Paulina Sell &lt;paulina.sell@uba.de&gt;</w:t>
        </w:r>
      </w:hyperlink>
    </w:p>
    <w:p>
      <w:r>
        <w:br w:type="page"/>
      </w:r>
    </w:p>
    <w:bookmarkStart w:id="13" w:name="keywords"/>
    <w:p>
      <w:pPr>
        <w:pStyle w:val="Heading1"/>
      </w:pPr>
      <w:r>
        <w:t xml:space="preserve">Keywords</w:t>
      </w:r>
    </w:p>
    <w:p>
      <w:pPr>
        <w:pStyle w:val="FirstParagraph"/>
      </w:pPr>
      <w:r>
        <w:t xml:space="preserve">Meta-analysis</w:t>
      </w:r>
      <w:r>
        <w:br/>
      </w:r>
      <w:r>
        <w:t xml:space="preserve">Evidence synthesis</w:t>
      </w:r>
      <w:r>
        <w:br/>
      </w:r>
      <w:r>
        <w:t xml:space="preserve">Bayesian modelling</w:t>
      </w:r>
      <w:r>
        <w:br/>
      </w:r>
      <w:r>
        <w:t xml:space="preserve">Uncertainty quantification</w:t>
      </w:r>
      <w:r>
        <w:br/>
      </w:r>
      <w:r>
        <w:t xml:space="preserve">Lead exposure</w:t>
      </w:r>
      <w:r>
        <w:br/>
      </w:r>
      <w:r>
        <w:t xml:space="preserve">Environmental epidemiology</w:t>
      </w:r>
      <w:r>
        <w:br/>
      </w:r>
    </w:p>
    <w:bookmarkEnd w:id="13"/>
    <w:bookmarkStart w:id="17" w:name="graphical-abstract"/>
    <w:p>
      <w:pPr>
        <w:pStyle w:val="Heading1"/>
      </w:pPr>
      <w:r>
        <w:t xml:space="preserve">Graphical abstract</w:t>
      </w:r>
    </w:p>
    <w:p>
      <w:pPr>
        <w:pStyle w:val="FirstParagraph"/>
      </w:pPr>
      <w:r>
        <w:drawing>
          <wp:inline>
            <wp:extent cx="5943600" cy="3530498"/>
            <wp:effectExtent b="0" l="0" r="0" t="0"/>
            <wp:docPr descr="" title="" id="15" name="Picture"/>
            <a:graphic>
              <a:graphicData uri="http://schemas.openxmlformats.org/drawingml/2006/picture">
                <pic:pic>
                  <pic:nvPicPr>
                    <pic:cNvPr descr="tables_figures/main/graphical_abstract.png" id="16" name="Picture"/>
                    <pic:cNvPicPr>
                      <a:picLocks noChangeArrowheads="1" noChangeAspect="1"/>
                    </pic:cNvPicPr>
                  </pic:nvPicPr>
                  <pic:blipFill>
                    <a:blip r:embed="rId14"/>
                    <a:stretch>
                      <a:fillRect/>
                    </a:stretch>
                  </pic:blipFill>
                  <pic:spPr bwMode="auto">
                    <a:xfrm>
                      <a:off x="0" y="0"/>
                      <a:ext cx="5943600" cy="3530498"/>
                    </a:xfrm>
                    <a:prstGeom prst="rect">
                      <a:avLst/>
                    </a:prstGeom>
                    <a:noFill/>
                    <a:ln w="9525">
                      <a:noFill/>
                      <a:headEnd/>
                      <a:tailEnd/>
                    </a:ln>
                  </pic:spPr>
                </pic:pic>
              </a:graphicData>
            </a:graphic>
          </wp:inline>
        </w:drawing>
      </w:r>
    </w:p>
    <w:bookmarkEnd w:id="17"/>
    <w:bookmarkStart w:id="18" w:name="abstract"/>
    <w:p>
      <w:pPr>
        <w:pStyle w:val="Heading1"/>
      </w:pPr>
      <w:r>
        <w:t xml:space="preserve">Abstract</w:t>
      </w:r>
    </w:p>
    <w:p>
      <w:pPr>
        <w:pStyle w:val="FirstParagraph"/>
      </w:pPr>
      <w:r>
        <w:rPr>
          <w:b/>
          <w:bCs/>
        </w:rPr>
        <w:t xml:space="preserve">Background</w:t>
      </w:r>
      <w:r>
        <w:t xml:space="preserve">: Uncertainty quantification is central to evidence synthesis for risk assessment and policy-making, but frequentist meta-analytic approaches - currently predominant in epidemiology - often fall short in this regard.</w:t>
      </w:r>
      <w:r>
        <w:t xml:space="preserve"> </w:t>
      </w:r>
      <w:r>
        <w:t xml:space="preserve">Bayesian meta-analysis provides probabilistic uncertainty quantification.</w:t>
      </w:r>
      <w:r>
        <w:t xml:space="preserve"> </w:t>
      </w:r>
      <w:r>
        <w:t xml:space="preserve">We performed frequentist and Bayesian meta-analyses to compare uncertainty quantification and applicability for risk assessment using lead exposure and children’s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After screening, risk of bias (RoB) in the identified studies was assessed and regression coefficients were harmonised to the</w:t>
      </w:r>
      <w:r>
        <w:t xml:space="preserve"> </w:t>
      </w:r>
      <m:oMath>
        <m:sSub>
          <m:e>
            <m:r>
              <m:rPr>
                <m:sty m:val="p"/>
              </m:rPr>
              <m:t>log</m:t>
            </m:r>
          </m:e>
          <m:sub>
            <m:r>
              <m:t>e</m:t>
            </m:r>
          </m:sub>
        </m:sSub>
      </m:oMath>
      <w:r>
        <w:t xml:space="preserve">​ scale.</w:t>
      </w:r>
      <w:r>
        <w:t xml:space="preserve"> </w:t>
      </w:r>
      <w:r>
        <w:t xml:space="preserve">In both meta-analyses, we included the same effect estimates, assumed a multilevel structure and used random-effects models.</w:t>
      </w:r>
      <w:r>
        <w:t xml:space="preserve"> </w:t>
      </w:r>
      <w:r>
        <w:t xml:space="preserve">The Bayesian meta-analysis employed a hierarchical model with weakly-informative priors.</w:t>
      </w:r>
      <w:r>
        <w:t xml:space="preserve"> </w:t>
      </w:r>
      <w:r>
        <w:t xml:space="preserve">Sensitivity analyses examined robustness to RoB and to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in the meta-analysis.</w:t>
      </w:r>
      <w:r>
        <w:t xml:space="preserve"> </w:t>
      </w:r>
      <w:r>
        <w:t xml:space="preserve">The frequentist framework yielded a pooled estimate of -2.45 (95% confidence interval: -3.82 to -1.08)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-3.54 to -1.04).</w:t>
      </w:r>
      <w:r>
        <w:t xml:space="preserve"> </w:t>
      </w:r>
      <w:r>
        <w:t xml:space="preserve">Between-study heterogeneity was substantial (frequentist:</w:t>
      </w:r>
      <w:r>
        <w:t xml:space="preserve"> </w:t>
      </w:r>
      <m:oMath>
        <m:sSup>
          <m:e>
            <m:r>
              <m:t>τ</m:t>
            </m:r>
          </m:e>
          <m:sup>
            <m:r>
              <m:t>2</m:t>
            </m:r>
          </m:sup>
        </m:sSup>
      </m:oMath>
      <w:r>
        <w:t xml:space="preserve"> </w:t>
      </w:r>
      <w:r>
        <w:t xml:space="preserve">= 3.32,</w:t>
      </w:r>
      <w:r>
        <w:t xml:space="preserve"> </w:t>
      </w:r>
      <m:oMath>
        <m:sSup>
          <m:e>
            <m:r>
              <m:rPr>
                <m:nor/>
                <m:sty m:val="p"/>
              </m:rPr>
              <m:t>I</m:t>
            </m:r>
          </m:e>
          <m:sup>
            <m:r>
              <m:t>2</m:t>
            </m:r>
          </m:sup>
        </m:sSup>
      </m:oMath>
      <w:r>
        <w:t xml:space="preserve"> </w:t>
      </w:r>
      <w:r>
        <w:t xml:space="preserve">= 85.0%; Bayesian: posterior median</w:t>
      </w:r>
      <w:r>
        <w:t xml:space="preserve"> </w:t>
      </w:r>
      <m:oMath>
        <m:sSup>
          <m:e>
            <m:r>
              <m:t>τ</m:t>
            </m:r>
          </m:e>
          <m:sup>
            <m:r>
              <m:t>2</m:t>
            </m:r>
          </m:sup>
        </m:sSup>
      </m:oMath>
      <w:r>
        <w:t xml:space="preserve"> </w:t>
      </w:r>
      <w:r>
        <w:t xml:space="preserve">= 3.26,</w:t>
      </w:r>
      <w:r>
        <w:t xml:space="preserve"> </w:t>
      </w:r>
      <m:oMath>
        <m:sSup>
          <m:e>
            <m:r>
              <m:rPr>
                <m:nor/>
                <m:sty m:val="p"/>
              </m:rPr>
              <m:t>I</m:t>
            </m:r>
          </m:e>
          <m:sup>
            <m:r>
              <m:t>2</m:t>
            </m:r>
          </m:sup>
        </m:sSup>
      </m:oMath>
      <w:r>
        <w:t xml:space="preserve"> </w:t>
      </w:r>
      <w:r>
        <w:t xml:space="preserve">= 84.7%).</w:t>
      </w:r>
      <w:r>
        <w:t xml:space="preserve"> </w:t>
      </w:r>
      <w:r>
        <w:t xml:space="preserve">The Bayesian approach provided a full posterior distribution for heterogeneity, directly quantifying uncertainty from between-study variation.</w:t>
      </w:r>
      <w:r>
        <w:t xml:space="preserve"> </w:t>
      </w:r>
      <w:r>
        <w:t xml:space="preserve">Sensitivity analyses showed both frameworks were robust to RoB, and Bayesian estimates were insensitive to tested priors.</w:t>
      </w:r>
      <w:r>
        <w:t xml:space="preserve"> </w:t>
      </w:r>
      <w:r>
        <w:t xml:space="preserve">Depending on the chosen prior configuration, the Bayesian model was less sensitive to studies reporting substantial uncertainty, resulting in a lower pooled effect compared to the frequentist model.</w:t>
      </w:r>
      <w:r>
        <w:t xml:space="preserve"> </w:t>
      </w:r>
      <w:r>
        <w:t xml:space="preserve">This regularisation is particularly valuable in small meta-analyses, where frequentist heterogeneity estimates can be unstable.</w:t>
      </w:r>
    </w:p>
    <w:p>
      <w:pPr>
        <w:pStyle w:val="BodyText"/>
      </w:pPr>
      <w:r>
        <w:rPr>
          <w:b/>
          <w:bCs/>
        </w:rPr>
        <w:t xml:space="preserve">Conclusions</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between pollutants.</w:t>
      </w:r>
      <w:r>
        <w:t xml:space="preserve"> </w:t>
      </w:r>
      <w:r>
        <w:t xml:space="preserve">These features are particularly valuable for risk assessment and policy-making.</w:t>
      </w:r>
    </w:p>
    <w:p>
      <w:r>
        <w:br w:type="page"/>
      </w:r>
    </w:p>
    <w:bookmarkEnd w:id="18"/>
    <w:bookmarkStart w:id="19"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behaviour</w:t>
      </w:r>
      <w:r>
        <w:t xml:space="preserve"> </w:t>
      </w:r>
      <w:r>
        <w:t xml:space="preserve">[12]</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[13–16]</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characterise the exposure-response relationship important for evidence-based policy</w:t>
      </w:r>
      <w:r>
        <w:t xml:space="preserve"> </w:t>
      </w:r>
      <w:r>
        <w:t xml:space="preserve">[17]</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[18]</w:t>
      </w:r>
      <w:r>
        <w:t xml:space="preserve">.</w:t>
      </w:r>
      <w:r>
        <w:t xml:space="preserve"> </w:t>
      </w:r>
      <w:r>
        <w:t xml:space="preserve">Importantly, there is no evidence for a threshold concentration below which the effects of lead on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 studies, or subsequent re-analyses of the same data</w:t>
      </w:r>
      <w:r>
        <w:t xml:space="preserve"> </w:t>
      </w:r>
      <w:r>
        <w:t xml:space="preserve">[16,25]</w:t>
      </w:r>
      <w:r>
        <w:t xml:space="preserve">.</w:t>
      </w:r>
      <w:r>
        <w:t xml:space="preserve"> </w:t>
      </w:r>
      <w:r>
        <w:t xml:space="preserve">While these landmark studies have substantially shaped research and policy on childhood lead exposure, methodological issues and shortcomings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to be used in burden of disease and risk assessments.</w:t>
      </w:r>
    </w:p>
    <w:p>
      <w:pPr>
        <w:pStyle w:val="BodyText"/>
      </w:pPr>
      <w:r>
        <w:t xml:space="preserve">Methodological advances in meta-analysis offer an opportunity to enhance the utility of synthesised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having a 95% probability of containing the unknown parameter</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synthesise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r>
        <w:t xml:space="preserve"> </w:t>
      </w:r>
    </w:p>
    <w:bookmarkEnd w:id="19"/>
    <w:bookmarkStart w:id="30" w:name="methods"/>
    <w:p>
      <w:pPr>
        <w:pStyle w:val="Heading1"/>
      </w:pPr>
      <w:r>
        <w:t xml:space="preserve">2. Methods</w:t>
      </w:r>
    </w:p>
    <w:bookmarkStart w:id="20"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additional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(PARC)</w:t>
      </w:r>
      <w:r>
        <w:t xml:space="preserve"> </w:t>
      </w:r>
      <w:r>
        <w:t xml:space="preserve">[31]</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[16]</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(additional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Exposure, Comparator, Outcome, Timing of exposure and Setting (Table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PECOTS criteria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PECOTS domain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Inclusion criteria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Population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Human population &lt; 18 years of age (infants, children, teenagers)  OR pregnant women and women in childbearing 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Exposure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Exposure to lead and methylmercury through HBM/internal exposure data (urine, blood, hair, bones).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Comparators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Investigating associations between exposure and outcome for single substance or a mixture  AND reporting regression coefficient and statistical uncertainty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Outcomes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IQ shift in children &lt;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exposure of the children (post-natal) OR current exposure of pregnant women (pre-natal).   Both are considered medium- to long-term timing of exposure.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Settings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settings (location)</w:t>
            </w:r>
          </w:p>
        </w:tc>
      </w:tr>
      <w:tr>
        <w:trPr>
          <w:cantSplit/>
        </w:trPr>
        <w:tc>
          <w:tcPr>
            <w:gridSpan w:val="2"/>
          </w:tcPr>
          <w:p>
            <w:pPr>
              <w:spacing w:before="0" w:after="60"/>
              <w:keepNext/>
            </w:pPr>
            <w:r>
              <w:rPr>
                <w:rFonts w:ascii="Calibri" w:hAnsi="Calibri"/>
                <w:sz w:val="20"/>
              </w:rPr>
              <w:t xml:space="default">HBM, human biomonitoring</w:t>
            </w:r>
          </w:p>
        </w:tc>
      </w:tr>
    </w:tbl>
    <w:p>
      <w:pPr>
        <w:pStyle w:val="BodyText"/>
      </w:pPr>
      <w:r>
        <w:t xml:space="preserve">We excluded reviews and background articles that inventoried the literature without quantitatively summarising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harmonised.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[32]</w:t>
      </w:r>
      <w:r>
        <w:t xml:space="preserve">.</w:t>
      </w:r>
      <w:r>
        <w:t xml:space="preserve"> </w:t>
      </w:r>
      <w:r>
        <w:t xml:space="preserve">For all included studies, effect estimates from the most-adjusted model were extracted and the adjustment set was recorded.</w:t>
      </w:r>
    </w:p>
    <w:bookmarkEnd w:id="20"/>
    <w:bookmarkStart w:id="21"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[33]</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 (?).</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categorised as either low, moderate or high, following two different summary metrics provided by the RoB tool (for more details, please refer to</w:t>
      </w:r>
      <w:r>
        <w:t xml:space="preserve"> </w:t>
      </w:r>
      <w:r>
        <w:t xml:space="preserve">[33]</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21"/>
    <w:bookmarkStart w:id="23" w:name="harmonisation-of-effect-estimates"/>
    <w:p>
      <w:pPr>
        <w:pStyle w:val="Heading2"/>
      </w:pPr>
      <w:r>
        <w:t xml:space="preserve">2.3 Harmonisation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[34,35]</w:t>
      </w:r>
      <w:r>
        <w:t xml:space="preserve">, this assumption may only be valid within very narrow concentration ranges</w:t>
      </w:r>
      <w:r>
        <w:t xml:space="preserve"> </w:t>
      </w:r>
      <w:r>
        <w:t xml:space="preserve">[25]</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[25,36]</w:t>
      </w:r>
      <w:r>
        <w:t xml:space="preserve">.</w:t>
      </w:r>
    </w:p>
    <w:p>
      <w:pPr>
        <w:pStyle w:val="BodyText"/>
      </w:pPr>
      <w:r>
        <w:t xml:space="preserve">The general form of regression model used for a log-linear association is:</w:t>
      </w:r>
    </w:p>
    <w:p>
      <w:pPr>
        <w:pStyle w:val="BodyText"/>
      </w:pPr>
      <w:bookmarkStart w:id="22"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22"/>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harmonised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additional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3"/>
    <w:bookmarkStart w:id="28" w:name="meta-analysis"/>
    <w:p>
      <w:pPr>
        <w:pStyle w:val="Heading2"/>
      </w:pPr>
      <w:r>
        <w:t xml:space="preserve">2.4 Meta-Analysis</w:t>
      </w:r>
    </w:p>
    <w:p>
      <w:pPr>
        <w:pStyle w:val="FirstParagraph"/>
      </w:pPr>
      <w:r>
        <w:t xml:space="preserve">In order to quantitatively synthesise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[37]</w:t>
      </w:r>
      <w:r>
        <w:t xml:space="preserve">.</w:t>
      </w:r>
      <w:r>
        <w:t xml:space="preserve"> </w:t>
      </w:r>
      <w:r>
        <w:t xml:space="preserve">All code for this study is publicly available on GitHub</w:t>
      </w:r>
      <w:r>
        <w:t xml:space="preserve"> </w:t>
      </w:r>
      <w:r>
        <w:t xml:space="preserve">[38]</w:t>
      </w:r>
      <w:r>
        <w:t xml:space="preserve">.</w:t>
      </w:r>
    </w:p>
    <w:bookmarkStart w:id="26"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4"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4"/>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[39]</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for each</w:t>
      </w:r>
      <w:r>
        <w:t xml:space="preserve"> </w:t>
      </w:r>
      <m:oMath>
        <m:sSup>
          <m:e>
            <m:r>
              <m:t>τ</m:t>
            </m:r>
          </m:e>
          <m:sup>
            <m:r>
              <m:t>2</m:t>
            </m:r>
          </m:sup>
        </m:sSup>
      </m:oMath>
      <w:r>
        <w:t xml:space="preserve"> </w:t>
      </w:r>
      <w:r>
        <w:t xml:space="preserve">posterior sample.</w:t>
      </w:r>
      <w:r>
        <w:t xml:space="preserve"> </w:t>
      </w:r>
      <w:r>
        <w:t xml:space="preserve">Because the posterior distribution of</w:t>
      </w:r>
      <w:r>
        <w:t xml:space="preserve"> </w:t>
      </w:r>
      <m:oMath>
        <m:sSup>
          <m:e>
            <m:r>
              <m:t>τ</m:t>
            </m:r>
          </m:e>
          <m:sup>
            <m:r>
              <m:t>2</m:t>
            </m:r>
          </m:sup>
        </m:sSup>
      </m:oMath>
      <w:r>
        <w:t xml:space="preserve"> </w:t>
      </w:r>
      <w:r>
        <w:t xml:space="preserve">is right-skewed, we summarise</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by their posterior medians rather than their posterior means, as the median represents the typical value more faithfully and keeps the reported point estimates consistent with their credible intervals (for further detail, see additional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to softly constrain the posterior distributions to realistic ranges of results.</w:t>
      </w:r>
      <w:r>
        <w:t xml:space="preserve"> </w:t>
      </w:r>
      <w:r>
        <w:t xml:space="preserve">The priors are specified on the same scale as the harmonised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centred at -1 with a standard deviation (SD) of 2 was chosen.</w:t>
      </w:r>
      <w:r>
        <w:t xml:space="preserve"> </w:t>
      </w:r>
      <w:r>
        <w:t xml:space="preserve">This reflects the prior belief that the overall pooled effect lies between -4.92 and 2.92 with</w:t>
      </w:r>
      <w:r>
        <w:t xml:space="preserve"> </w:t>
      </w:r>
      <m:oMath>
        <m:r>
          <m:rPr>
            <m:sty m:val="p"/>
          </m:rPr>
          <m:t>∼</m:t>
        </m:r>
      </m:oMath>
      <w:r>
        <w:t xml:space="preserve"> </w:t>
      </w:r>
      <w:r>
        <w:t xml:space="preserve">95% probability.</w:t>
      </w:r>
      <w:r>
        <w:t xml:space="preserve"> </w:t>
      </w:r>
      <w:r>
        <w:t xml:space="preserve">The centre point of the prior was chosen to be -1 because the negative effects of lead on the developing nervous system and its toxicological mechanisms of action are well established</w:t>
      </w:r>
      <w:r>
        <w:t xml:space="preserve"> </w:t>
      </w:r>
      <w:r>
        <w:t xml:space="preserve">[19]</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5"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5"/>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[40]</w:t>
      </w:r>
      <w:r>
        <w:t xml:space="preserve"> </w:t>
      </w:r>
      <w:r>
        <w:t xml:space="preserve">to verify that the specified priors were appropriate.</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6"/>
    <w:bookmarkStart w:id="27" w:name="frequentist-meta-analysis"/>
    <w:p>
      <w:pPr>
        <w:pStyle w:val="Heading3"/>
      </w:pPr>
      <w:r>
        <w:t xml:space="preserve">2.4.2 Frequentist Meta-Analysis</w:t>
      </w:r>
    </w:p>
    <w:p>
      <w:pPr>
        <w:pStyle w:val="FirstParagraph"/>
      </w:pPr>
      <w:r>
        <w:t xml:space="preserve">For the frequentist meta-analysis, we employed a random-effects model with a small-sample adjustment, assuming the same multilevel structure as for the Bayesian model (</w:t>
      </w:r>
      <w:hyperlink w:anchor="eq-model">
        <w:r>
          <w:rPr>
            <w:rStyle w:val="Hyperlink"/>
          </w:rPr>
          <w:t xml:space="preserve">Equation 2</w:t>
        </w:r>
      </w:hyperlink>
      <w:r>
        <w:t xml:space="preserve">)</w:t>
      </w:r>
      <w:r>
        <w:t xml:space="preserve"> </w:t>
      </w:r>
      <w:r>
        <w:t xml:space="preserve">[41]</w:t>
      </w:r>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[42]</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27"/>
    <w:bookmarkEnd w:id="28"/>
    <w:bookmarkStart w:id="29"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alternative sets of priors that we consider to be extreme but still reasonable.</w:t>
      </w:r>
      <w:r>
        <w:t xml:space="preserve"> </w:t>
      </w:r>
      <w:r>
        <w:t xml:space="preserve">One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A second set of priors was less informative (ignorant)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centred around 0, giving equal weight to the probability of a protective and detrimental effect of lead.</w:t>
      </w:r>
      <w:r>
        <w:t xml:space="preserve"> </w:t>
      </w:r>
      <w:r>
        <w:t xml:space="preserve">To be able to discern the individual impact of the prior settings for</w:t>
      </w:r>
      <w:r>
        <w:t xml:space="preserve"> </w:t>
      </w:r>
      <m:oMath>
        <m:r>
          <m:t>μ</m:t>
        </m:r>
      </m:oMath>
      <w:r>
        <w:t xml:space="preserve"> </w:t>
      </w:r>
      <w:r>
        <w:t xml:space="preserve">and</w:t>
      </w:r>
      <w:r>
        <w:t xml:space="preserve"> </w:t>
      </w:r>
      <m:oMath>
        <m:sSup>
          <m:e>
            <m:r>
              <m:t>τ</m:t>
            </m:r>
          </m:e>
          <m:sup>
            <m:r>
              <m:t>2</m:t>
            </m:r>
          </m:sup>
        </m:sSup>
      </m:oMath>
      <w:r>
        <w:t xml:space="preserve">, we varied one of the two parameters while holding the other constant.</w:t>
      </w:r>
      <w:r>
        <w:t xml:space="preserve"> </w:t>
      </w:r>
      <w:r>
        <w:t xml:space="preserve">The location of the</w:t>
      </w:r>
      <w:r>
        <w:t xml:space="preserve"> </w:t>
      </w:r>
      <m:oMath>
        <m:r>
          <m:t>μ</m:t>
        </m:r>
      </m:oMath>
      <w:r>
        <w:t xml:space="preserve"> </w:t>
      </w:r>
      <w:r>
        <w:t xml:space="preserve">prior was varied to values a third and three times that of the default value, while</w:t>
      </w:r>
      <w:r>
        <w:t xml:space="preserve"> </w:t>
      </w:r>
      <m:oMath>
        <m:r>
          <m:t>τ</m:t>
        </m:r>
      </m:oMath>
      <w:r>
        <w:t xml:space="preserve"> </w:t>
      </w:r>
      <w:r>
        <w:t xml:space="preserve">was held at</w:t>
      </w:r>
      <w:r>
        <w:t xml:space="preserve"> </w:t>
      </w:r>
      <m:oMath>
        <m:sSup>
          <m:e>
            <m:r>
              <m:rPr>
                <m:scr m:val="script"/>
                <m:sty m:val="p"/>
              </m:rPr>
              <m:t>N</m:t>
            </m:r>
          </m:e>
          <m:sup>
            <m:r>
              <m:rPr>
                <m:sty m:val="p"/>
              </m:rPr>
              <m:t>+</m:t>
            </m:r>
          </m:sup>
        </m:sSup>
        <m:r>
          <m:rPr>
            <m:sty m:val="p"/>
          </m:rPr>
          <m:t>(</m:t>
        </m:r>
        <m:r>
          <m:t>0</m:t>
        </m:r>
        <m:r>
          <m:rPr>
            <m:sty m:val="p"/>
          </m:rPr>
          <m:t>,</m:t>
        </m:r>
        <m:r>
          <m:t>2</m:t>
        </m:r>
        <m:r>
          <m:rPr>
            <m:sty m:val="p"/>
          </m:rPr>
          <m:t>)</m:t>
        </m:r>
      </m:oMath>
      <w:r>
        <w:t xml:space="preserve">, and the same was done for the scale of the</w:t>
      </w:r>
      <w:r>
        <w:t xml:space="preserve"> </w:t>
      </w:r>
      <m:oMath>
        <m:sSup>
          <m:e>
            <m:r>
              <m:t>τ</m:t>
            </m:r>
          </m:e>
          <m:sup>
            <m:r>
              <m:t>2</m:t>
            </m:r>
          </m:sup>
        </m:sSup>
      </m:oMath>
      <w:r>
        <w:t xml:space="preserve"> </w:t>
      </w:r>
      <w:r>
        <w:t xml:space="preserve">prior while holding</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(Table 4).</w:t>
      </w:r>
      <w:r>
        <w:t xml:space="preserve"> </w:t>
      </w:r>
      <w:r>
        <w:t xml:space="preserve">We decided to hold</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instead of the setting in the main analysis</w:t>
      </w:r>
      <w:r>
        <w:t xml:space="preserve"> </w:t>
      </w:r>
      <m:oMath>
        <m:r>
          <m:rPr>
            <m:scr m:val="script"/>
            <m:sty m:val="p"/>
          </m:rPr>
          <m:t>N</m:t>
        </m:r>
        <m:r>
          <m:rPr>
            <m:sty m:val="p"/>
          </m:rPr>
          <m:t>(</m:t>
        </m:r>
        <m:r>
          <m:rPr>
            <m:sty m:val="p"/>
          </m:rPr>
          <m:t>−</m:t>
        </m:r>
        <m:r>
          <m:t>1</m:t>
        </m:r>
        <m:r>
          <m:rPr>
            <m:sty m:val="p"/>
          </m:rPr>
          <m:t>,</m:t>
        </m:r>
        <m:r>
          <m:t>2</m:t>
        </m:r>
        <m:r>
          <m:rPr>
            <m:sty m:val="p"/>
          </m:rPr>
          <m:t>)</m:t>
        </m:r>
      </m:oMath>
      <w:r>
        <w:t xml:space="preserve"> </w:t>
      </w:r>
      <w:r>
        <w:t xml:space="preserve">because it allowed us to examine if Bayesian and frequentist estimates converge under a very wide</w:t>
      </w:r>
      <w:r>
        <w:t xml:space="preserve"> </w:t>
      </w:r>
      <m:oMath>
        <m:r>
          <m:t>μ</m:t>
        </m:r>
      </m:oMath>
      <w:r>
        <w:t xml:space="preserve"> </w:t>
      </w:r>
      <w:r>
        <w:t xml:space="preserve">prior and weak shrinkage.</w:t>
      </w:r>
    </w:p>
    <w:bookmarkEnd w:id="29"/>
    <w:bookmarkEnd w:id="30"/>
    <w:bookmarkStart w:id="43" w:name="results"/>
    <w:p>
      <w:pPr>
        <w:pStyle w:val="Heading1"/>
      </w:pPr>
      <w:r>
        <w:t xml:space="preserve">3. Results</w:t>
      </w:r>
    </w:p>
    <w:bookmarkStart w:id="34"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were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Table 2.</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2: Study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First author, year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Study population (N)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Geographical area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age / age range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indicator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BLL value (µg/dL unless statedotherwise)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IQ measurement instrument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IQ</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Adjustment set (confounder)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Original BLL scale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regression coefficient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Original 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Harmonized regression coefficient (log(e) scale)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Harmonized 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Province of Bresia, Italy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age, SES, hemoglobin, HOME score and HOME score squared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(Boston, Cleveland, Cincinnati, Rochester), Mexico, Australia (Port Pirie) and Yugoslavia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HOME score, birth weight, maternal IQ, maternal education, maternal alcohol use, maternal tobacco use and birth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 (Greater Cincinnati, Ohio metropolitan 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Caregiver FSIQ (WASI-2), BMI at age 12, and a measure of neighborhood-level deprivation based on census-tract level socioeconomic indicators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Canada (10 different study sites)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WPPSI-III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Child age, child sex, evaluation site, marital status, familial income, HOME score, Parenting Stress Index, and cord blood lead (log-2 scale)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Australia, New South Wales, Port Pirie and Broken Hill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maternal smoking, breastfeeding, income, HOME score and stressful life events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(two urban cities, two industrial cities, and one rural 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Demographic variables and ADHD-RS and CPT scores, plus log10-transformed environmental chemical concentrations (blood mercury and manganese concentrations, and creatinine-standardized urine concentrations of cotinine, phthalate metabolites, and Bisphenol 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Korea (Seoul, Gyeonggi, and Incheon provinces)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Korean WISC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education, exposure to environmental tobacco smoke during pregnancy, maternal age and maternal IQ</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Southern Italy (City of Taranto, Puglia region, 5 sub-areas, incremental distance from a highly industrial area)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8.4 ng/mL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WISC-IV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sex, maternal, Standard Progressive Matrice, non-verbal intellectual efficiency, HOME score and distance from the point source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 per ng/mL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Northern Italy (Valcamonicaand Garda Lake regions)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WISC-III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 area, alcohol consumption, hemoglobin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Brazil (Municipality of Simões Filho, metropolitan region of Salvador, Bahia)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WASI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maternal IQ and manganese levels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India (Chennai)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Binet–Kamath Scale of Intelligence (Tamil version of Stanford–Binet)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age² in months, sex, mid-arm circumference, average monthly household income, parental education, family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Mexico (Mexico 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WISC-Revised (FSIQ)</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Maternal IQ, child sex, birth weight, socioeconomic status (based on parental education, occupation, and income), indicator for first FSIQ testing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gridSpan w:val="14"/>
          </w:tcPr>
          <w:p>
            <w:pPr>
              <w:spacing w:before="0" w:after="60"/>
              <w:keepNext/>
            </w:pPr>
            <w:r>
              <w:rPr>
                <w:rFonts w:ascii="Calibri" w:hAnsi="Calibri"/>
                <w:sz w:val="20"/>
              </w:rPr>
              <w:t xml:space="default">ADHD-RS, Attention Deficit Hyperactivity Disorder Rating Scale; BMI, Body Mass Index; CPT, Continuous Performance Test; ERF, exposure-response function; FSIQ, full scale IQ; HOME, Home Observation for Measurement of the Environment; SE, standard error; SES, socioeconomic status; WASI, Wechsler Abbreviated Scale of Intelligence, WISC, Wechsler Intelligence Scale for Children; WPPSI, Wechsler Preschool and Primary Scale of Intelligence</w:t>
            </w:r>
          </w:p>
        </w:tc>
      </w:tr>
    </w:tbl>
    <w:p>
      <w:pPr>
        <w:pStyle w:val="BodyText"/>
      </w:pPr>
      <w:r>
        <w:t xml:space="preserve">A PRISMA flow diagram summarising the review process is shown in Fig. 1</w:t>
      </w:r>
      <w:r>
        <w:t xml:space="preserve"> </w:t>
      </w:r>
      <w:r>
        <w:t xml:space="preserve">[29]</w:t>
      </w:r>
      <w:r>
        <w:t xml:space="preserve">.</w:t>
      </w:r>
      <w:r>
        <w:t xml:space="preserve"> </w:t>
      </w:r>
      <w:r>
        <w:t xml:space="preserve">Detailed information on the screening process and exclusion reasons can be found in additional file 3.</w:t>
      </w:r>
    </w:p>
    <w:p>
      <w:pPr>
        <w:pStyle w:val="CaptionedFigure"/>
      </w:pPr>
      <w:r>
        <w:drawing>
          <wp:inline>
            <wp:extent cx="3566160" cy="4257586"/>
            <wp:effectExtent b="0" l="0" r="0" t="0"/>
            <wp:docPr descr="Fig. 1: PRISMA flow diagram. BLL, blood lead level; Pb, lead; Hg, mercury" title="" id="32" name="Picture"/>
            <a:graphic>
              <a:graphicData uri="http://schemas.openxmlformats.org/drawingml/2006/picture">
                <pic:pic>
                  <pic:nvPicPr>
                    <pic:cNvPr descr="tables_figures/main/figure1.png" id="33" name="Picture"/>
                    <pic:cNvPicPr>
                      <a:picLocks noChangeArrowheads="1" noChangeAspect="1"/>
                    </pic:cNvPicPr>
                  </pic:nvPicPr>
                  <pic:blipFill>
                    <a:blip r:embed="rId31"/>
                    <a:stretch>
                      <a:fillRect/>
                    </a:stretch>
                  </pic:blipFill>
                  <pic:spPr bwMode="auto">
                    <a:xfrm>
                      <a:off x="0" y="0"/>
                      <a:ext cx="3566160" cy="4257586"/>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[43]</w:t>
      </w:r>
      <w:r>
        <w:t xml:space="preserve"> </w:t>
      </w:r>
      <w:r>
        <w:t xml:space="preserve">to 1,355</w:t>
      </w:r>
      <w:r>
        <w:t xml:space="preserve"> </w:t>
      </w:r>
      <w:r>
        <w:t xml:space="preserve">[25]</w:t>
      </w:r>
      <w:r>
        <w:t xml:space="preserve">.</w:t>
      </w:r>
      <w:r>
        <w:t xml:space="preserve"> </w:t>
      </w:r>
      <w:r>
        <w:t xml:space="preserve">Study designs included cross-sectional</w:t>
      </w:r>
      <w:r>
        <w:t xml:space="preserve"> </w:t>
      </w:r>
      <w:r>
        <w:t xml:space="preserve">[36,44–48]</w:t>
      </w:r>
      <w:r>
        <w:t xml:space="preserve"> </w:t>
      </w:r>
      <w:r>
        <w:t xml:space="preserve">and cohort studies</w:t>
      </w:r>
      <w:r>
        <w:t xml:space="preserve"> </w:t>
      </w:r>
      <w:r>
        <w:t xml:space="preserve">[25,43,49–51]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[43,44,52]</w:t>
      </w:r>
      <w:r>
        <w:t xml:space="preserve">.</w:t>
      </w:r>
      <w:r>
        <w:t xml:space="preserve"> </w:t>
      </w:r>
      <w:r>
        <w:t xml:space="preserve">The study by</w:t>
      </w:r>
      <w:r>
        <w:t xml:space="preserve"> </w:t>
      </w:r>
      <w:r>
        <w:t xml:space="preserve">[48]</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4"/>
    <w:bookmarkStart w:id="35"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[36,44,45,48–52]</w:t>
      </w:r>
      <w:r>
        <w:t xml:space="preserve">,</w:t>
      </w:r>
      <w:r>
        <w:t xml:space="preserve"> </w:t>
      </w:r>
      <w:r>
        <w:t xml:space="preserve">two with a moderate RoB</w:t>
      </w:r>
      <w:r>
        <w:t xml:space="preserve"> </w:t>
      </w:r>
      <w:r>
        <w:t xml:space="preserve">[46,47]</w:t>
      </w:r>
      <w:r>
        <w:t xml:space="preserve"> </w:t>
      </w:r>
      <w:r>
        <w:t xml:space="preserve">and two studies with a high RoB rating</w:t>
      </w:r>
      <w:r>
        <w:t xml:space="preserve"> </w:t>
      </w:r>
      <w:r>
        <w:t xml:space="preserve">[25,43]</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was preferable</w:t>
      </w:r>
      <w:r>
        <w:t xml:space="preserve"> </w:t>
      </w:r>
      <w:r>
        <w:t xml:space="preserve">[53]</w:t>
      </w:r>
      <w:r>
        <w:t xml:space="preserve">.</w:t>
      </w:r>
      <w:r>
        <w:t xml:space="preserve"> </w:t>
      </w:r>
      <w:r>
        <w:t xml:space="preserve">Finally, in the item</w:t>
      </w:r>
      <w:r>
        <w:t xml:space="preserve"> </w:t>
      </w:r>
      <w:r>
        <w:rPr>
          <w:i/>
          <w:iCs/>
        </w:rPr>
        <w:t xml:space="preserve">handling of missing values</w:t>
      </w:r>
      <w:r>
        <w:t xml:space="preserve">, some of the studies contained no information on how missing data was handled, while in other studies they were handled inadequately (3x high RoB, 4x some concerns).</w:t>
      </w:r>
      <w:r>
        <w:t xml:space="preserve"> </w:t>
      </w:r>
      <w:r>
        <w:t xml:space="preserve">Results from the RoB assessment are presented in Table 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3: Risk of Bias Assessment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4"/>
          </w:tcPr>
          <w:p>
            <w:pPr>
              <w:spacing w:before="0" w:after="60"/>
              <w:keepNext/>
              <w:jc w:val="center"/>
            </w:pPr>
            <w:r>
              <w:rPr>
                <w:rFonts w:ascii="Calibri" w:hAnsi="Calibri"/>
                <w:sz w:val="20"/>
              </w:rPr>
              <w:t xml:space="default">Selection</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Exposure</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Outcome</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Confounding</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Follow-up</w:t>
            </w:r>
          </w:p>
        </w:tc>
        <w:tc>
          <w:tcPr>
            <w:tcBorders>
              <w:top w:val="single" w:sz="16" w:space="0" w:color="D3D3D3"/>
              <w:bottom w:val="single" w:sz="16" w:space="0" w:color="D3D3D3"/>
            </w:tcBorders>
            <w:gridSpan w:val="2"/>
          </w:tcPr>
          <w:p>
            <w:pPr>
              <w:spacing w:before="0" w:after="60"/>
              <w:keepNext/>
              <w:jc w:val="center"/>
            </w:pPr>
            <w:r>
              <w:rPr>
                <w:rFonts w:ascii="Calibri" w:hAnsi="Calibri"/>
                <w:sz w:val="20"/>
              </w:rPr>
              <w:t xml:space="default">Analysis</w:t>
            </w:r>
          </w:p>
        </w:tc>
        <w:tc>
          <w:tcPr>
            <w:tcBorders>
              <w:top w:val="single" w:sz="16" w:space="0" w:color="D3D3D3"/>
              <w:bottom w:val="single" w:sz="16" w:space="0" w:color="D3D3D3"/>
            </w:tcBorders>
            <w:gridSpan w:val="1"/>
          </w:tcPr>
          <w:p>
            <w:pPr>
              <w:spacing w:before="0" w:after="60"/>
              <w:keepNext/>
              <w:jc w:val="center"/>
            </w:pPr>
            <w:r>
              <w:rPr>
                <w:rFonts w:ascii="Calibri" w:hAnsi="Calibri"/>
                <w:sz w:val="20"/>
              </w:rPr>
              <w:t xml:space="default">Selective Reporting</w:t>
            </w:r>
          </w:p>
        </w:tc>
        <w:tc>
          <w:tcPr>
            <w:tcBorders>
              <w:top w:val="single" w:sz="16" w:space="0" w:color="D3D3D3"/>
              <w:bottom w:val="single" w:sz="16" w:space="0" w:color="D3D3D3"/>
              <w:end w:val="single" w:space="0" w:color="D3D3D3"/>
            </w:tcBorders>
            <w:gridSpan w:val="1"/>
          </w:tcPr>
          <w:p>
            <w:pPr>
              <w:spacing w:before="0" w:after="60"/>
              <w:keepNext/>
              <w:jc w:val="center"/>
            </w:pPr>
            <w:r>
              <w:rPr>
                <w:rFonts w:ascii="Calibri" w:hAnsi="Calibri"/>
                <w:sz w:val="20"/>
              </w:rPr>
              <w:t xml:space="default">Overall Risk of Bias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Study, year</w:t>
            </w:r>
          </w:p>
        </w:tc>
        <w:tc>
          <w:tcPr>
            <w:tcBorders>
              <w:bottom w:val="single" w:sz="16" w:space="0" w:color="D3D3D3"/>
            </w:tcBorders>
          </w:tcPr>
          <w:p>
            <w:pPr>
              <w:spacing w:before="0" w:after="60"/>
              <w:keepNext/>
              <w:jc w:val="center"/>
            </w:pPr>
            <w:r>
              <w:rPr>
                <w:rFonts w:ascii="Calibri" w:hAnsi="Calibri"/>
                <w:sz w:val="20"/>
              </w:rPr>
              <w:t xml:space="default">Eligibility criteria</w:t>
            </w:r>
          </w:p>
        </w:tc>
        <w:tc>
          <w:tcPr>
            <w:tcBorders>
              <w:bottom w:val="single" w:sz="16" w:space="0" w:color="D3D3D3"/>
            </w:tcBorders>
          </w:tcPr>
          <w:p>
            <w:pPr>
              <w:spacing w:before="0" w:after="60"/>
              <w:keepNext/>
              <w:jc w:val="center"/>
            </w:pPr>
            <w:r>
              <w:rPr>
                <w:rFonts w:ascii="Calibri" w:hAnsi="Calibri"/>
                <w:sz w:val="20"/>
              </w:rPr>
              <w:t xml:space="default">Comparability of exposure and comparison groups </w:t>
            </w:r>
          </w:p>
        </w:tc>
        <w:tc>
          <w:tcPr>
            <w:tcBorders>
              <w:bottom w:val="single" w:sz="16" w:space="0" w:color="D3D3D3"/>
            </w:tcBorders>
          </w:tcPr>
          <w:p>
            <w:pPr>
              <w:spacing w:before="0" w:after="60"/>
              <w:keepNext/>
              <w:jc w:val="center"/>
            </w:pPr>
            <w:r>
              <w:rPr>
                <w:rFonts w:ascii="Calibri" w:hAnsi="Calibri"/>
                <w:sz w:val="20"/>
              </w:rPr>
              <w:t xml:space="default">Non-response rate </w:t>
            </w:r>
          </w:p>
        </w:tc>
        <w:tc>
          <w:tcPr>
            <w:tcBorders>
              <w:bottom w:val="single" w:sz="16" w:space="0" w:color="D3D3D3"/>
            </w:tcBorders>
          </w:tcPr>
          <w:p>
            <w:pPr>
              <w:spacing w:before="0" w:after="60"/>
              <w:keepNext/>
              <w:jc w:val="center"/>
            </w:pPr>
            <w:r>
              <w:rPr>
                <w:rFonts w:ascii="Calibri" w:hAnsi="Calibri"/>
                <w:sz w:val="20"/>
              </w:rPr>
              <w:t xml:space="default">Recruitment time frame </w:t>
            </w:r>
          </w:p>
        </w:tc>
        <w:tc>
          <w:tcPr>
            <w:tcBorders>
              <w:bottom w:val="single" w:sz="16" w:space="0" w:color="D3D3D3"/>
            </w:tcBorders>
          </w:tcPr>
          <w:p>
            <w:pPr>
              <w:spacing w:before="0" w:after="60"/>
              <w:keepNext/>
              <w:jc w:val="center"/>
            </w:pPr>
            <w:r>
              <w:rPr>
                <w:rFonts w:ascii="Calibri" w:hAnsi="Calibri"/>
                <w:sz w:val="20"/>
              </w:rPr>
              <w:t xml:space="default">Accuracy, validity and reliability of exposure measurements </w:t>
            </w:r>
          </w:p>
        </w:tc>
        <w:tc>
          <w:tcPr>
            <w:tcBorders>
              <w:bottom w:val="single" w:sz="16" w:space="0" w:color="D3D3D3"/>
            </w:tcBorders>
          </w:tcPr>
          <w:p>
            <w:pPr>
              <w:spacing w:before="0" w:after="60"/>
              <w:keepNext/>
              <w:jc w:val="center"/>
            </w:pPr>
            <w:r>
              <w:rPr>
                <w:rFonts w:ascii="Calibri" w:hAnsi="Calibri"/>
                <w:sz w:val="20"/>
              </w:rPr>
              <w:t xml:space="default">Misclassification of exposure </w:t>
            </w:r>
          </w:p>
        </w:tc>
        <w:tc>
          <w:tcPr>
            <w:tcBorders>
              <w:bottom w:val="single" w:sz="16" w:space="0" w:color="D3D3D3"/>
            </w:tcBorders>
          </w:tcPr>
          <w:p>
            <w:pPr>
              <w:spacing w:before="0" w:after="60"/>
              <w:keepNext/>
              <w:jc w:val="center"/>
            </w:pPr>
            <w:r>
              <w:rPr>
                <w:rFonts w:ascii="Calibri" w:hAnsi="Calibri"/>
                <w:sz w:val="20"/>
              </w:rPr>
              <w:t xml:space="default">Accuracy, validity and reliability of outcome measurements </w:t>
            </w:r>
          </w:p>
        </w:tc>
        <w:tc>
          <w:tcPr>
            <w:tcBorders>
              <w:bottom w:val="single" w:sz="16" w:space="0" w:color="D3D3D3"/>
            </w:tcBorders>
          </w:tcPr>
          <w:p>
            <w:pPr>
              <w:spacing w:before="0" w:after="60"/>
              <w:keepNext/>
              <w:jc w:val="center"/>
            </w:pPr>
            <w:r>
              <w:rPr>
                <w:rFonts w:ascii="Calibri" w:hAnsi="Calibri"/>
                <w:sz w:val="20"/>
              </w:rPr>
              <w:t xml:space="default">Misclassification of outcome </w:t>
            </w:r>
          </w:p>
        </w:tc>
        <w:tc>
          <w:tcPr>
            <w:tcBorders>
              <w:bottom w:val="single" w:sz="16" w:space="0" w:color="D3D3D3"/>
            </w:tcBorders>
          </w:tcPr>
          <w:p>
            <w:pPr>
              <w:spacing w:before="0" w:after="60"/>
              <w:keepNext/>
              <w:jc w:val="center"/>
            </w:pPr>
            <w:r>
              <w:rPr>
                <w:rFonts w:ascii="Calibri" w:hAnsi="Calibri"/>
                <w:sz w:val="20"/>
              </w:rPr>
              <w:t xml:space="default">Accounting for confounding </w:t>
            </w:r>
          </w:p>
        </w:tc>
        <w:tc>
          <w:tcPr>
            <w:tcBorders>
              <w:bottom w:val="single" w:sz="16" w:space="0" w:color="D3D3D3"/>
            </w:tcBorders>
          </w:tcPr>
          <w:p>
            <w:pPr>
              <w:spacing w:before="0" w:after="60"/>
              <w:keepNext/>
              <w:jc w:val="center"/>
            </w:pPr>
            <w:r>
              <w:rPr>
                <w:rFonts w:ascii="Calibri" w:hAnsi="Calibri"/>
                <w:sz w:val="20"/>
              </w:rPr>
              <w:t xml:space="default">Accuracy, validity and reliability of confounding variables meas. </w:t>
            </w:r>
          </w:p>
        </w:tc>
        <w:tc>
          <w:tcPr>
            <w:tcBorders>
              <w:bottom w:val="single" w:sz="16" w:space="0" w:color="D3D3D3"/>
            </w:tcBorders>
          </w:tcPr>
          <w:p>
            <w:pPr>
              <w:spacing w:before="0" w:after="60"/>
              <w:keepNext/>
              <w:jc w:val="center"/>
            </w:pPr>
            <w:r>
              <w:rPr>
                <w:rFonts w:ascii="Calibri" w:hAnsi="Calibri"/>
                <w:sz w:val="20"/>
              </w:rPr>
              <w:t xml:space="default">Adequacy of length of follow-up </w:t>
            </w:r>
          </w:p>
        </w:tc>
        <w:tc>
          <w:tcPr>
            <w:tcBorders>
              <w:bottom w:val="single" w:sz="16" w:space="0" w:color="D3D3D3"/>
            </w:tcBorders>
          </w:tcPr>
          <w:p>
            <w:pPr>
              <w:spacing w:before="0" w:after="60"/>
              <w:keepNext/>
              <w:jc w:val="center"/>
            </w:pPr>
            <w:r>
              <w:rPr>
                <w:rFonts w:ascii="Calibri" w:hAnsi="Calibri"/>
                <w:sz w:val="20"/>
              </w:rPr>
              <w:t xml:space="default">Amount and handling of loss to follow-up </w:t>
            </w:r>
          </w:p>
        </w:tc>
        <w:tc>
          <w:tcPr>
            <w:tcBorders>
              <w:bottom w:val="single" w:sz="16" w:space="0" w:color="D3D3D3"/>
            </w:tcBorders>
          </w:tcPr>
          <w:p>
            <w:pPr>
              <w:spacing w:before="0" w:after="60"/>
              <w:keepNext/>
              <w:jc w:val="center"/>
            </w:pPr>
            <w:r>
              <w:rPr>
                <w:rFonts w:ascii="Calibri" w:hAnsi="Calibri"/>
                <w:sz w:val="20"/>
              </w:rPr>
              <w:t xml:space="default">Appropriate data analysis methods </w:t>
            </w:r>
          </w:p>
        </w:tc>
        <w:tc>
          <w:tcPr>
            <w:tcBorders>
              <w:bottom w:val="single" w:sz="16" w:space="0" w:color="D3D3D3"/>
            </w:tcBorders>
          </w:tcPr>
          <w:p>
            <w:pPr>
              <w:spacing w:before="0" w:after="60"/>
              <w:keepNext/>
              <w:jc w:val="center"/>
            </w:pPr>
            <w:r>
              <w:rPr>
                <w:rFonts w:ascii="Calibri" w:hAnsi="Calibri"/>
                <w:sz w:val="20"/>
              </w:rPr>
              <w:t xml:space="default">Handling of missing values </w:t>
            </w:r>
          </w:p>
        </w:tc>
        <w:tc>
          <w:tcPr>
            <w:tcBorders>
              <w:bottom w:val="single" w:sz="16" w:space="0" w:color="D3D3D3"/>
            </w:tcBorders>
          </w:tcPr>
          <w:p>
            <w:pPr>
              <w:spacing w:before="0" w:after="60"/>
              <w:keepNext/>
              <w:jc w:val="center"/>
            </w:pPr>
            <w:r>
              <w:rPr>
                <w:rFonts w:ascii="Calibri" w:hAnsi="Calibri"/>
                <w:sz w:val="20"/>
              </w:rPr>
              <w:t xml:space="default">Selective reporting of outcomes </w:t>
            </w:r>
          </w:p>
        </w:tc>
        <w:tc>
          <w:tcPr>
            <w:tcBorders>
              <w:bottom w:val="single" w:sz="16" w:space="0" w:color="D3D3D3"/>
              <w:end w:val="single" w:space="0" w:color="D3D3D3"/>
            </w:tcBorders>
          </w:tcPr>
          <w:p>
            <w:pPr>
              <w:spacing w:before="0" w:after="60"/>
              <w:keepNext/>
              <w:jc w:val="center"/>
            </w:pPr>
            <w:r>
              <w:rPr>
                <w:rFonts w:ascii="Calibri" w:hAnsi="Calibri"/>
                <w:sz w:val="20"/>
              </w:rPr>
              <w:t xml:space="default">Assesors judgement of overall bias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Bauer 2020</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Crump 2013</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Dantzer 2020</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Desrochers-Couture 2018</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Earl 2016</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high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Hong 2015</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Lee 2021</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2019</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Lucchini 2012</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moderate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Menezes-Filho 2018</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Roy 2013</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818181"/>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Schnaas 2006</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B0B0B0"/>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center"/>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2E2E2"/>
          </w:tcPr>
          <w:p>
            <w:pPr>
              <w:spacing w:before="0" w:after="60"/>
              <w:keepNext/>
              <w:jc w:val="center"/>
            </w:pPr>
            <w:r>
              <w:rPr>
                <w:rFonts w:ascii="Calibri" w:hAnsi="Calibri"/>
                <w:sz w:val="20"/>
              </w:rPr>
              <w:t xml:space="default">low</w:t>
            </w:r>
          </w:p>
        </w:tc>
      </w:tr>
      <w:tr>
        <w:trPr>
          <w:cantSplit/>
        </w:trPr>
        <w:tc>
          <w:tcPr>
            <w:gridSpan w:val="17"/>
          </w:tcPr>
          <w:p>
            <w:pPr>
              <w:spacing w:before="0" w:after="60"/>
              <w:keepNext/>
            </w:pPr>
            <w:r>
              <w:rPr>
                <w:rFonts w:ascii="Calibri" w:hAnsi="Calibri"/>
                <w:sz w:val="20"/>
              </w:rPr>
              <w:t xml:space="default">RoB, risk of bias; (-), high RoB; (+/-), some concerns / moderate; (+), low RoB; (?), no information; (n.a.), not applicable</w:t>
            </w:r>
          </w:p>
        </w:tc>
      </w:tr>
    </w:tbl>
    <w:bookmarkEnd w:id="35"/>
    <w:bookmarkStart w:id="39" w:name="meta-analysis-1"/>
    <w:p>
      <w:pPr>
        <w:pStyle w:val="Heading2"/>
      </w:pPr>
      <w:r>
        <w:t xml:space="preserve">3.3 Meta-Analysis</w:t>
      </w:r>
    </w:p>
    <w:p>
      <w:pPr>
        <w:pStyle w:val="FirstParagraph"/>
      </w:pPr>
      <w:r>
        <w:t xml:space="preserve">The prior predictive check indicated that the specified priors were appropriate (additional file 5a).</w:t>
      </w:r>
      <w:r>
        <w:t xml:space="preserve"> </w:t>
      </w:r>
      <w:r>
        <w:t xml:space="preserve">The posterior predictive check showed that the model correctly captured important patterns in the data (additional file 5b).</w:t>
      </w:r>
      <w:r>
        <w:t xml:space="preserve"> </w:t>
      </w:r>
      <m:oMath>
        <m:acc>
          <m:accPr>
            <m:chr m:val="̂"/>
          </m:accPr>
          <m:e>
            <m:r>
              <m:t>R</m:t>
            </m:r>
          </m:e>
        </m:acc>
      </m:oMath>
      <w:r>
        <w:t xml:space="preserve"> </w:t>
      </w:r>
      <w:r>
        <w:t xml:space="preserve">values indicated that all MCMC chains converged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(additional file 5c).</w:t>
      </w:r>
      <w:r>
        <w:t xml:space="preserve"> </w:t>
      </w:r>
      <w:r>
        <w:t xml:space="preserve">ESS indicated that sampling was efficient and central point estimates and credible intervals could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-3.54 to -1.04) IQ points per log-unit increase in BLL (µg/dL) (see Fig. 2).</w:t>
      </w:r>
      <w:r>
        <w:t xml:space="preserve"> </w:t>
      </w:r>
      <w:r>
        <w:t xml:space="preserve">The frequentist approach produced a comparable pooled estimate of -2.45 (95% confidence interval (CI): -3.82 to -1.08).</w:t>
      </w:r>
      <w:r>
        <w:t xml:space="preserve"> </w:t>
      </w:r>
      <w:r>
        <w:t xml:space="preserve">Substantial between-study heterogeneity was observed under both frameworks.</w:t>
      </w:r>
      <w:r>
        <w:t xml:space="preserve"> </w:t>
      </w:r>
      <w:r>
        <w:t xml:space="preserve">In the Bayesian framework, between-study heterogeneity was estimated as a posterior median</w:t>
      </w:r>
      <w:r>
        <w:t xml:space="preserve"> </w:t>
      </w:r>
      <m:oMath>
        <m:sSup>
          <m:e>
            <m:r>
              <m:t>τ</m:t>
            </m:r>
          </m:e>
          <m:sup>
            <m:r>
              <m:t>2</m:t>
            </m:r>
          </m:sup>
        </m:sSup>
      </m:oMath>
      <w:r>
        <w:t xml:space="preserve"> </w:t>
      </w:r>
      <w:r>
        <w:t xml:space="preserve">of 3.26 (95% CrI: 1.04 to 9.50), corresponding to an</w:t>
      </w:r>
      <w:r>
        <w:t xml:space="preserve"> </w:t>
      </w:r>
      <m:oMath>
        <m:sSup>
          <m:e>
            <m:r>
              <m:rPr>
                <m:nor/>
                <m:sty m:val="p"/>
              </m:rPr>
              <m:t>I</m:t>
            </m:r>
          </m:e>
          <m:sup>
            <m:r>
              <m:t>2</m:t>
            </m:r>
          </m:sup>
        </m:sSup>
      </m:oMath>
      <w:r>
        <w:t xml:space="preserve"> </w:t>
      </w:r>
      <w:r>
        <w:t xml:space="preserve">of 84.7% (95% CrI: 63.9% to 94.2%).</w:t>
      </w:r>
      <w:r>
        <w:t xml:space="preserve"> </w:t>
      </w:r>
      <w:r>
        <w:t xml:space="preserve">The frequentist model estimated a closely comparable</w:t>
      </w:r>
      <w:r>
        <w:t xml:space="preserve"> </w:t>
      </w:r>
      <m:oMath>
        <m:sSup>
          <m:e>
            <m:r>
              <m:t>τ</m:t>
            </m:r>
          </m:e>
          <m:sup>
            <m:r>
              <m:t>2</m:t>
            </m:r>
          </m:sup>
        </m:sSup>
      </m:oMath>
      <w:r>
        <w:t xml:space="preserve"> </w:t>
      </w:r>
      <w:r>
        <w:t xml:space="preserve">= 3.32 (95% CI: 0.99 to 11.67), with</w:t>
      </w:r>
      <w:r>
        <w:t xml:space="preserve"> </w:t>
      </w:r>
      <m:oMath>
        <m:sSup>
          <m:e>
            <m:r>
              <m:rPr>
                <m:nor/>
                <m:sty m:val="p"/>
              </m:rPr>
              <m:t>I</m:t>
            </m:r>
          </m:e>
          <m:sup>
            <m:r>
              <m:t>2</m:t>
            </m:r>
          </m:sup>
        </m:sSup>
      </m:oMath>
      <w:r>
        <w:t xml:space="preserve"> </w:t>
      </w:r>
      <w:r>
        <w:t xml:space="preserve">= 85.0% (95% CI: 62.7% to 95.2%).</w:t>
      </w:r>
      <w:r>
        <w:t xml:space="preserve"> </w:t>
      </w:r>
      <w:r>
        <w:t xml:space="preserve">Additional file 6 contains the full model code and output for both frameworks.</w:t>
      </w:r>
      <w:r>
        <w:t xml:space="preserve"> </w:t>
      </w:r>
      <w:r>
        <w:t xml:space="preserve">The results of both frameworks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37" name="Picture"/>
            <a:graphic>
              <a:graphicData uri="http://schemas.openxmlformats.org/drawingml/2006/picture">
                <pic:pic>
                  <pic:nvPicPr>
                    <pic:cNvPr descr="tables_figures/main/figure2.png" id="38" name="Picture"/>
                    <pic:cNvPicPr>
                      <a:picLocks noChangeArrowheads="1" noChangeAspect="1"/>
                    </pic:cNvPicPr>
                  </pic:nvPicPr>
                  <pic:blipFill>
                    <a:blip r:embed="rId36"/>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shown in Fig. 2 differ between frameworks because Bayesian shrinkage pulls individual study estimates towards the pooled mean, borrowing information from the overall mean.</w:t>
      </w:r>
      <w:r>
        <w:t xml:space="preserve"> </w:t>
      </w:r>
      <w:r>
        <w:t xml:space="preserve">This has no equivalent in the frequentist framework, where the contribution of each study to the pooled effect is determined by inverse-variance weighting.</w:t>
      </w:r>
      <w:r>
        <w:t xml:space="preserve"> </w:t>
      </w:r>
      <w:r>
        <w:t xml:space="preserve">The degree of shrinkage does, however, depend on each study’s precision in a way that parallels inverse-variance weighting: more precise studies are shrunk less (and are also weighted more heavily towards the frequentist pooled estimate), while less precise studies are shrunk more (and weighted less).</w:t>
      </w:r>
    </w:p>
    <w:bookmarkEnd w:id="39"/>
    <w:bookmarkStart w:id="42" w:name="sensitivity-analysis-1"/>
    <w:p>
      <w:pPr>
        <w:pStyle w:val="Heading2"/>
      </w:pPr>
      <w:r>
        <w:t xml:space="preserve">3.4 Sensitivity Analysis</w:t>
      </w:r>
    </w:p>
    <w:bookmarkStart w:id="40" w:name="risk-of-bias-1"/>
    <w:p>
      <w:pPr>
        <w:pStyle w:val="Heading3"/>
      </w:pPr>
      <w:r>
        <w:t xml:space="preserve">3.4.1 Risk of Bias</w:t>
      </w:r>
    </w:p>
    <w:p>
      <w:pPr>
        <w:pStyle w:val="FirstParagraph"/>
      </w:pP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showed that the results were robust to possible individual-study bias (Table 4).</w:t>
      </w:r>
    </w:p>
    <w:bookmarkEnd w:id="40"/>
    <w:bookmarkStart w:id="41" w:name="prior-sensitivity"/>
    <w:p>
      <w:pPr>
        <w:pStyle w:val="Heading3"/>
      </w:pPr>
      <w:r>
        <w:t xml:space="preserve">3.4.2 Prior Sensitivity</w:t>
      </w:r>
    </w:p>
    <w:p>
      <w:pPr>
        <w:pStyle w:val="FirstParagraph"/>
      </w:pP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decreased (Table 4).</w:t>
      </w:r>
      <w:r>
        <w:t xml:space="preserve"> </w:t>
      </w:r>
      <w:r>
        <w:t xml:space="preserve">This is expected, because the narrow</w:t>
      </w:r>
      <w:r>
        <w:t xml:space="preserve"> </w:t>
      </w:r>
      <m:oMath>
        <m:r>
          <m:t>μ</m:t>
        </m:r>
      </m:oMath>
      <w:r>
        <w:t xml:space="preserve"> </w:t>
      </w:r>
      <w:r>
        <w:t xml:space="preserve">prior, together with stronger shrinkage, favours a tighter posterior distribution with effect ranges closer to -1, the mean of</w:t>
      </w:r>
      <w:r>
        <w:t xml:space="preserve"> </w:t>
      </w:r>
      <m:oMath>
        <m:r>
          <m:t>μ</m:t>
        </m:r>
      </m:oMath>
      <w:r>
        <w:t xml:space="preserve">’s prior.</w:t>
      </w:r>
      <w:r>
        <w:t xml:space="preserve"> </w:t>
      </w:r>
      <w:r>
        <w:t xml:space="preserve">When using less informative (ignorant)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increased slightly compared to the main model.</w:t>
      </w:r>
      <w:r>
        <w:t xml:space="preserve"> </w:t>
      </w:r>
      <w:r>
        <w:t xml:space="preserve">This set of priors gives more weight to studies reporting high effects with large uncertainty ranges.</w:t>
      </w:r>
    </w:p>
    <w:p>
      <w:pPr>
        <w:pStyle w:val="BodyText"/>
      </w:pPr>
      <w:r>
        <w:t xml:space="preserve">Varying the prior on the location of</w:t>
      </w:r>
      <w:r>
        <w:t xml:space="preserve"> </w:t>
      </w:r>
      <m:oMath>
        <m:r>
          <m:t>μ</m:t>
        </m:r>
      </m:oMath>
      <w:r>
        <w:t xml:space="preserve"> </w:t>
      </w:r>
      <w:r>
        <w:t xml:space="preserve">while holding</w:t>
      </w:r>
      <w:r>
        <w:t xml:space="preserve"> </w:t>
      </w:r>
      <m:oMath>
        <m:sSup>
          <m:e>
            <m:r>
              <m:t>τ</m:t>
            </m:r>
          </m:e>
          <m:sup>
            <m:r>
              <m:t>2</m:t>
            </m:r>
          </m:sup>
        </m:sSup>
      </m:oMath>
      <w:r>
        <w:t xml:space="preserve"> </w:t>
      </w:r>
      <w:r>
        <w:t xml:space="preserve">at</w:t>
      </w:r>
      <w:r>
        <w:t xml:space="preserve"> </w:t>
      </w:r>
      <m:oMath>
        <m:sSup>
          <m:e>
            <m:r>
              <m:rPr>
                <m:scr m:val="script"/>
                <m:sty m:val="p"/>
              </m:rPr>
              <m:t>N</m:t>
            </m:r>
          </m:e>
          <m:sup>
            <m:r>
              <m:rPr>
                <m:sty m:val="p"/>
              </m:rPr>
              <m:t>+</m:t>
            </m:r>
          </m:sup>
        </m:sSup>
        <m:r>
          <m:rPr>
            <m:sty m:val="p"/>
          </m:rPr>
          <m:t>(</m:t>
        </m:r>
        <m:r>
          <m:t>0</m:t>
        </m:r>
        <m:r>
          <m:rPr>
            <m:sty m:val="p"/>
          </m:rPr>
          <m:t>,</m:t>
        </m:r>
        <m:r>
          <m:t>2</m:t>
        </m:r>
        <m:r>
          <m:rPr>
            <m:sty m:val="p"/>
          </m:rPr>
          <m:t>)</m:t>
        </m:r>
      </m:oMath>
      <w:r>
        <w:t xml:space="preserve">, we found neither skeptical nor enthusiastic priors on the location of</w:t>
      </w:r>
      <w:r>
        <w:t xml:space="preserve"> </w:t>
      </w:r>
      <m:oMath>
        <m:r>
          <m:t>μ</m:t>
        </m:r>
      </m:oMath>
      <w:r>
        <w:t xml:space="preserve"> </w:t>
      </w:r>
      <w:r>
        <w:t xml:space="preserve">substantially altered our conclusions.</w:t>
      </w:r>
      <w:r>
        <w:t xml:space="preserve"> </w:t>
      </w:r>
      <w:r>
        <w:t xml:space="preserve">Varying the strength of shrinkage by decreasing or increasing the scale of</w:t>
      </w:r>
      <w:r>
        <w:t xml:space="preserve"> </w:t>
      </w:r>
      <m:oMath>
        <m:sSup>
          <m:e>
            <m:r>
              <m:t>τ</m:t>
            </m:r>
          </m:e>
          <m:sup>
            <m:r>
              <m:t>2</m:t>
            </m:r>
          </m:sup>
        </m:sSup>
      </m:oMath>
      <w:r>
        <w:t xml:space="preserve"> </w:t>
      </w:r>
      <w:r>
        <w:t xml:space="preserve">while holding</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also did not substantially alter our conclusions.</w:t>
      </w:r>
      <w:r>
        <w:t xml:space="preserve"> </w:t>
      </w:r>
      <w:r>
        <w:t xml:space="preserve">The estimate for</w:t>
      </w:r>
      <w:r>
        <w:t xml:space="preserve"> </w:t>
      </w:r>
      <m:oMath>
        <m:r>
          <m:t>μ</m:t>
        </m:r>
      </m:oMath>
      <w:r>
        <w:t xml:space="preserve"> </w:t>
      </w:r>
      <w:r>
        <w:t xml:space="preserve">under weak shrinkage matched that of the frequentist analysis, while the estimate under strong shrinkage was notably more conservative.</w:t>
      </w:r>
      <w:r>
        <w:t xml:space="preserve"> </w:t>
      </w:r>
      <w:r>
        <w:t xml:space="preserve">This is because many of the strongly negative coefficients were reported by uncertain studies which are in turn more affected by shrinkage, pulling their estimands closer towards zero.</w:t>
      </w:r>
    </w:p>
    <w:p>
      <w:pPr>
        <w:pStyle w:val="BodyText"/>
      </w:pPr>
      <w:r>
        <w:t xml:space="preserve">For further detail on these analyses, see additional file 5d-f for prior, likelihood and posterior distributions of all prior sensitivity analyses.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4: Results of sensitivity analyses by framework</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Framework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Variant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Estimate (95% UI)</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b w:val="true"/>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Bayesian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 sample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-2.28 (-3.54, -1.04)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RoB only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 (-3.60, -0.43)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Low/Medium RoB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(-3.39,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Frequentist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 sample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-2.45 (-3.82, -1.08)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RoB only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(-4.21,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Low/Medium RoB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 (-3.68, -0.60)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b w:val="true"/>
              </w:rPr>
              <w:t xml:space="default">Priors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Bayesian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Main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-2.28 (-3.54, -1.04)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Narrow: mu=N(-1, 1), tau=N+(0, 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 (-3.01, -1.02)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Ignorant: mu=N(0, 6), tau=N+(0, 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-2.46 (-3.97, -1.13)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Skeptical: mu=N(-0.33, 2),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 (-3.46, -0.96)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Enthusiastic: mu=N(-3, 2),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 (-3.82, -1.29)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Default shrinkage: mu=N(0,100),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 (-3.90, -1.14)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Strong shrinkage: mu=N(0,100), tau=N+(0, 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(-3.42, -1.20)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Weak shrinkage: mu=N(0,100), tau=N+(0, 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 (-4.04, -1.11)</w:t>
            </w:r>
          </w:p>
        </w:tc>
      </w:tr>
      <w:tr>
        <w:trPr>
          <w:cantSplit/>
        </w:trPr>
        <w:tc>
          <w:tcPr>
            <w:gridSpan w:val="3"/>
          </w:tcPr>
          <w:p>
            <w:pPr>
              <w:spacing w:before="0" w:after="60"/>
              <w:keepNext/>
            </w:pPr>
            <w:r>
              <w:rPr>
                <w:rFonts w:ascii="Calibri" w:hAnsi="Calibri"/>
                <w:sz w:val="20"/>
              </w:rPr>
              <w:t xml:space="default">RoB, risk of bias; UI, uncertainty interval (credible interval for Bayesian and confidence interval for frequentist model results). Rows varying only the effect prior hold the heterogeneity prior at N+(0, 2); rows varying only the heterogeneity prior hold the effect prior at Normal(0, 100), which is effectively flat but not improper. distribution truncated at zero.</w:t>
            </w:r>
          </w:p>
        </w:tc>
      </w:tr>
    </w:tbl>
    <w:bookmarkEnd w:id="41"/>
    <w:bookmarkEnd w:id="42"/>
    <w:bookmarkEnd w:id="43"/>
    <w:bookmarkStart w:id="44"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meta-analytic frameworks, they focus either on evidence-based medicine</w:t>
      </w:r>
      <w:r>
        <w:t xml:space="preserve"> </w:t>
      </w:r>
      <w:r>
        <w:t xml:space="preserve">[54–57]</w:t>
      </w:r>
      <w:r>
        <w:t xml:space="preserve"> </w:t>
      </w:r>
      <w:r>
        <w:t xml:space="preserve">or network meta-analysis</w:t>
      </w:r>
      <w:r>
        <w:t xml:space="preserve"> </w:t>
      </w:r>
      <w:r>
        <w:t xml:space="preserve">[58,59]</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both the prior for the overall effect (</w:t>
      </w:r>
      <m:oMath>
        <m:r>
          <m:t>μ</m:t>
        </m:r>
      </m:oMath>
      <w:r>
        <w:t xml:space="preserve">) and the posterior shrinkage of individual study estimates, influenced by the heterogeneity prior (</w:t>
      </w:r>
      <m:oMath>
        <m:r>
          <m:t>τ</m:t>
        </m:r>
      </m:oMath>
      <w:r>
        <w:t xml:space="preserve">), as illustrated by the sensitivity analyses (Table 4).</w:t>
      </w:r>
      <w:r>
        <w:t xml:space="preserve"> </w:t>
      </w:r>
      <w:r>
        <w:t xml:space="preserve">Importantly, this difference does not relevantly affect the overall interpretation of the association between lead exposure and IQ.</w:t>
      </w:r>
    </w:p>
    <w:p>
      <w:pPr>
        <w:pStyle w:val="BodyText"/>
      </w:pPr>
      <w:r>
        <w:t xml:space="preserve">The two frameworks may differ in how they treat studies reporting substantial uncertainty depending on prior configuration and sample size.</w:t>
      </w:r>
      <w:r>
        <w:t xml:space="preserve"> </w:t>
      </w:r>
      <w:r>
        <w:t xml:space="preserve">Bayesian meta-analysis can be set up such that it is less sensitive to these uncertain studies: a narrower prior distribution for the heterogeneity leads to stronger shrinkage, giving less weight to uncertain studies (Table 4).</w:t>
      </w:r>
      <w:r>
        <w:t xml:space="preserve"> </w:t>
      </w:r>
      <w:r>
        <w:t xml:space="preserve">In contrast, frequentist models rely on inverse-variance weighting that is fully determined by the data – uncertain studies are weighted less, but the degree to which this happens cannot be configured by the researcher.</w:t>
      </w:r>
      <w:r>
        <w:t xml:space="preserve"> </w:t>
      </w:r>
      <w:r>
        <w:t xml:space="preserve">Setting the model up for stronger shrinkage via priors can therefore be particularly relevant in meta-analyses analysing only a small set of studies.</w:t>
      </w:r>
      <w:r>
        <w:t xml:space="preserve"> </w:t>
      </w:r>
      <w:r>
        <w:t xml:space="preserve">Here, the observed heterogeneity may be high simply due to the small sample size, leaving our pooled estimate prone to being disproportionately impacted by a handful of uncertain studies.</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[60]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sizes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used to generate predictions for theoretical future studies, offering an additional way to characterise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[61]</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[13,15,16,19]</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[20,62,63]</w:t>
      </w:r>
      <w:r>
        <w:t xml:space="preserve">, while others reported partial</w:t>
      </w:r>
      <w:r>
        <w:t xml:space="preserve"> </w:t>
      </w:r>
      <m:oMath>
        <m:r>
          <m:rPr>
            <m:nor/>
            <m:sty m:val="p"/>
          </m:rPr>
          <m:t>r</m:t>
        </m:r>
      </m:oMath>
      <w:r>
        <w:t xml:space="preserve"> </w:t>
      </w:r>
      <w:r>
        <w:t xml:space="preserve">[14]</w:t>
      </w:r>
      <w:r>
        <w:t xml:space="preserve"> </w:t>
      </w:r>
      <w:r>
        <w:t xml:space="preserve">or standardised mean differences</w:t>
      </w:r>
      <w:r>
        <w:t xml:space="preserve"> </w:t>
      </w:r>
      <w:r>
        <w:t xml:space="preserve">[64]</w:t>
      </w:r>
      <w:r>
        <w:t xml:space="preserve">.</w:t>
      </w:r>
    </w:p>
    <w:p>
      <w:pPr>
        <w:pStyle w:val="BodyText"/>
      </w:pPr>
      <w:r>
        <w:t xml:space="preserve">The RoB sensitivity analysis indicated that results were generally robust to individual-study bias.</w:t>
      </w:r>
      <w:r>
        <w:t xml:space="preserve"> </w:t>
      </w:r>
      <w:r>
        <w:t xml:space="preserve">Notably, the study published by</w:t>
      </w:r>
      <w:r>
        <w:t xml:space="preserve"> </w:t>
      </w:r>
      <w:r>
        <w:t xml:space="preserve">[25]</w:t>
      </w:r>
      <w:r>
        <w:t xml:space="preserve">, which is a re-analysis of the landmark study by</w:t>
      </w:r>
      <w:r>
        <w:t xml:space="preserve"> </w:t>
      </w:r>
      <w:r>
        <w:t xml:space="preserve">[16]</w:t>
      </w:r>
      <w:r>
        <w:t xml:space="preserve">, 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criticised</w:t>
      </w:r>
      <w:r>
        <w:t xml:space="preserve"> </w:t>
      </w:r>
      <w:r>
        <w:t xml:space="preserve">[53,65,66]</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[44,50]</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[52]</w:t>
      </w:r>
      <w:r>
        <w:t xml:space="preserve">.</w:t>
      </w:r>
      <w:r>
        <w:t xml:space="preserve"> </w:t>
      </w:r>
      <w:r>
        <w:t xml:space="preserve">Additionally, studies reporting larger uncertainty tended to report larger effects, suggesting a possible presence of publication bias (additional file 5g).</w:t>
      </w:r>
      <w:r>
        <w:t xml:space="preserve"> </w:t>
      </w:r>
      <w:r>
        <w:t xml:space="preserve">The Bayesian approach was less sensitive to estimates from such studies, because the results of individual studies with large uncertainty were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The included studies were heterogeneous with respect to covariate adjustment, exposure range, IQ measurement instrument and cohort characteristics, meaning that the coefficients pooled in this study may not represent exactly the same estimand.</w:t>
      </w:r>
      <w:r>
        <w:t xml:space="preserve"> </w:t>
      </w:r>
      <w:r>
        <w:t xml:space="preserve">This limits the generalisability of the pooled estimate and complicates its interpretation for specific populations.</w:t>
      </w:r>
      <w:r>
        <w:t xml:space="preserve"> </w:t>
      </w:r>
      <w:r>
        <w:t xml:space="preserve">Whilst our study illustrates some of the differences of both Bayesian and frequentist approaches in the context of the data analysed here, it should not be taken as a comprehensive comparison of both statistical frameworks.</w:t>
      </w:r>
      <w:r>
        <w:t xml:space="preserve"> </w:t>
      </w:r>
      <w:r>
        <w:t xml:space="preserve">Such a comparison would require setting up a simulation study to systematically modify and quantify differences, which was outside the scope of the present study.</w:t>
      </w:r>
      <w:r>
        <w:t xml:space="preserve"> </w:t>
      </w:r>
      <w:r>
        <w:t xml:space="preserve">Publication bias was assessed through visual inspection only; formal statistical testing, such as Egger’s test, would provide a more rigourous evaluation.</w:t>
      </w:r>
      <w:r>
        <w:t xml:space="preserve"> </w:t>
      </w:r>
      <w:r>
        <w:t xml:space="preserve">The visual assessment suggested the presence of publication bias, which may have led to overestimation of the pooled effect.</w:t>
      </w:r>
      <w:r>
        <w:t xml:space="preserve"> </w:t>
      </w:r>
      <w:r>
        <w:t xml:space="preserve">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r>
        <w:t xml:space="preserve"> </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provide a direct comparison of a frequentist and a Bayesian random-effects meta-analysis.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rigour in study selection, data extraction, study quality appraisal, and statistical analysis.</w:t>
      </w:r>
    </w:p>
    <w:bookmarkEnd w:id="44"/>
    <w:bookmarkStart w:id="45"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an applied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In the context of our study, comparing both meta-analytic models showed that the Bayesian approach offered distinct advantages for risk assessment and policy-making by fully quantifying uncertainty – 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5"/>
    <w:bookmarkStart w:id="46"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6"/>
    <w:bookmarkStart w:id="47" w:name="supplementary-information"/>
    <w:p>
      <w:pPr>
        <w:pStyle w:val="Heading1"/>
      </w:pPr>
      <w:r>
        <w:t xml:space="preserve">Supplementary Information</w:t>
      </w:r>
    </w:p>
    <w:p>
      <w:pPr>
        <w:pStyle w:val="Compact"/>
        <w:numPr>
          <w:ilvl w:val="0"/>
          <w:numId w:val="1001"/>
        </w:numPr>
      </w:pPr>
      <w:r>
        <w:t xml:space="preserve">Additional file 1; .docx; PRISMA 2020 checklist; Table containing all PRISMA 2020 items and the location where the items are reported</w:t>
      </w:r>
    </w:p>
    <w:p>
      <w:pPr>
        <w:pStyle w:val="Compact"/>
        <w:numPr>
          <w:ilvl w:val="0"/>
          <w:numId w:val="1001"/>
        </w:numPr>
      </w:pPr>
      <w:r>
        <w:t xml:space="preserve">Additional file 2; .xlsx; Search queries; Full search queries for the systematic review</w:t>
      </w:r>
    </w:p>
    <w:p>
      <w:pPr>
        <w:pStyle w:val="Compact"/>
        <w:numPr>
          <w:ilvl w:val="0"/>
          <w:numId w:val="1001"/>
        </w:numPr>
      </w:pPr>
      <w:r>
        <w:t xml:space="preserve">Additional file 3; .xlsx; Literature review summary; Summary of the literature review process, incl. details on exclusion reasons and the effect estimate harmonisation</w:t>
      </w:r>
    </w:p>
    <w:p>
      <w:pPr>
        <w:pStyle w:val="Compact"/>
        <w:numPr>
          <w:ilvl w:val="0"/>
          <w:numId w:val="1001"/>
        </w:numPr>
      </w:pPr>
      <w:r>
        <w:t xml:space="preserve">Additional file 4; .pdf; Calculation of</w:t>
      </w:r>
      <w:r>
        <w:t xml:space="preserve"> </w:t>
      </w:r>
      <m:oMath>
        <m:sSup>
          <m:e>
            <m:r>
              <m:t>I</m:t>
            </m:r>
          </m:e>
          <m:sup>
            <m:r>
              <m:t>2</m:t>
            </m:r>
          </m:sup>
        </m:sSup>
      </m:oMath>
      <w:r>
        <w:t xml:space="preserve"> </w:t>
      </w:r>
      <w:r>
        <w:t xml:space="preserve">in the Bayesian Framework; Detailed rationale and description for the calculation of</w:t>
      </w:r>
      <w:r>
        <w:t xml:space="preserve"> </w:t>
      </w:r>
      <m:oMath>
        <m:sSup>
          <m:e>
            <m:r>
              <m:t>I</m:t>
            </m:r>
          </m:e>
          <m:sup>
            <m:r>
              <m:t>2</m:t>
            </m:r>
          </m:sup>
        </m:sSup>
      </m:oMath>
      <w:r>
        <w:t xml:space="preserve"> </w:t>
      </w:r>
      <w:r>
        <w:t xml:space="preserve">in the Bayesian meta-analysis</w:t>
      </w:r>
    </w:p>
    <w:p>
      <w:pPr>
        <w:pStyle w:val="Compact"/>
        <w:numPr>
          <w:ilvl w:val="0"/>
          <w:numId w:val="1001"/>
        </w:numPr>
      </w:pPr>
      <w:r>
        <w:t xml:space="preserve">Additional file 5; .pdf; Supplementary file 5; Diagnostic plots for the Bayesian model and funnel plot</w:t>
      </w:r>
    </w:p>
    <w:p>
      <w:pPr>
        <w:pStyle w:val="Compact"/>
        <w:numPr>
          <w:ilvl w:val="0"/>
          <w:numId w:val="1001"/>
        </w:numPr>
      </w:pPr>
      <w:r>
        <w:t xml:space="preserve">Additional file 6; .pdf; Model outputs; Full model output for frequentist and Bayesian meta-analysis</w:t>
      </w:r>
    </w:p>
    <w:bookmarkEnd w:id="47"/>
    <w:bookmarkStart w:id="56" w:name="declarations"/>
    <w:p>
      <w:pPr>
        <w:pStyle w:val="Heading1"/>
      </w:pPr>
      <w:r>
        <w:t xml:space="preserve">Declarations</w:t>
      </w:r>
    </w:p>
    <w:bookmarkStart w:id="48" w:name="Xd182db0490b2de20bd2b4e4cc8698599182035f"/>
    <w:p>
      <w:pPr>
        <w:pStyle w:val="Heading2"/>
      </w:pPr>
      <w:r>
        <w:t xml:space="preserve">Ethics approval and consent to participate</w:t>
      </w:r>
    </w:p>
    <w:p>
      <w:pPr>
        <w:pStyle w:val="FirstParagraph"/>
      </w:pPr>
      <w:r>
        <w:t xml:space="preserve">Not applicable.</w:t>
      </w:r>
    </w:p>
    <w:bookmarkEnd w:id="48"/>
    <w:bookmarkStart w:id="49" w:name="consent-for-publication"/>
    <w:p>
      <w:pPr>
        <w:pStyle w:val="Heading2"/>
      </w:pPr>
      <w:r>
        <w:t xml:space="preserve">Consent for publication</w:t>
      </w:r>
    </w:p>
    <w:p>
      <w:pPr>
        <w:pStyle w:val="FirstParagraph"/>
      </w:pPr>
      <w:r>
        <w:t xml:space="preserve">Not applicable.</w:t>
      </w:r>
    </w:p>
    <w:bookmarkEnd w:id="49"/>
    <w:bookmarkStart w:id="51" w:name="availability-of-data-and-materials"/>
    <w:p>
      <w:pPr>
        <w:pStyle w:val="Heading2"/>
      </w:pPr>
      <w:r>
        <w:t xml:space="preserve">Availability of data and materials</w:t>
      </w:r>
    </w:p>
    <w:p>
      <w:pPr>
        <w:pStyle w:val="FirstParagraph"/>
      </w:pPr>
      <w:r>
        <w:t xml:space="preserve">All data and code needed to reproduce the current study are publicly available on GitHub,</w:t>
      </w:r>
      <w:r>
        <w:t xml:space="preserve"> </w:t>
      </w:r>
      <w:hyperlink r:id="rId50">
        <w:r>
          <w:rPr>
            <w:rStyle w:val="Hyperlink"/>
          </w:rPr>
          <w:t xml:space="preserve">https://github.com/PaulinaSell/lead-IQ_meta-analysis</w:t>
        </w:r>
      </w:hyperlink>
      <w:r>
        <w:t xml:space="preserve"> </w:t>
      </w:r>
      <w:r>
        <w:t xml:space="preserve">[38]</w:t>
      </w:r>
      <w:r>
        <w:t xml:space="preserve">.</w:t>
      </w:r>
    </w:p>
    <w:bookmarkEnd w:id="51"/>
    <w:bookmarkStart w:id="52" w:name="competing-interests"/>
    <w:p>
      <w:pPr>
        <w:pStyle w:val="Heading2"/>
      </w:pPr>
      <w:r>
        <w:t xml:space="preserve">Competing interests</w:t>
      </w:r>
    </w:p>
    <w:p>
      <w:pPr>
        <w:pStyle w:val="FirstParagraph"/>
      </w:pPr>
      <w:r>
        <w:t xml:space="preserve">The authors declare no competing interests.</w:t>
      </w:r>
    </w:p>
    <w:bookmarkEnd w:id="52"/>
    <w:bookmarkStart w:id="53" w:name="funding"/>
    <w:p>
      <w:pPr>
        <w:pStyle w:val="Heading2"/>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3"/>
    <w:bookmarkStart w:id="54" w:name="acknowledgements"/>
    <w:p>
      <w:pPr>
        <w:pStyle w:val="Heading2"/>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54"/>
    <w:bookmarkStart w:id="55" w:name="authors-contributions"/>
    <w:p>
      <w:pPr>
        <w:pStyle w:val="Heading2"/>
      </w:pPr>
      <w:r>
        <w:t xml:space="preserve">Authors’ contributions</w:t>
      </w:r>
    </w:p>
    <w:p>
      <w:pPr>
        <w:pStyle w:val="FirstParagraph"/>
      </w:pPr>
      <w:r>
        <w:t xml:space="preserve">PS: Conceptualization, data curation, formal analysis, methodology, writing – original draft, writing – review and editing.</w:t>
      </w:r>
      <w:r>
        <w:t xml:space="preserve"> </w:t>
      </w:r>
      <w:r>
        <w:t xml:space="preserve">MS and PP: Data curation, writing – review and editing.</w:t>
      </w:r>
      <w:r>
        <w:t xml:space="preserve"> </w:t>
      </w:r>
      <w:r>
        <w:t xml:space="preserve">SS: Methodology, writing – review and editing.</w:t>
      </w:r>
      <w:r>
        <w:t xml:space="preserve"> </w:t>
      </w:r>
      <w:r>
        <w:t xml:space="preserve">DP: Supervision, writing – review and editing.</w:t>
      </w:r>
      <w:r>
        <w:t xml:space="preserve"> </w:t>
      </w:r>
      <w:r>
        <w:t xml:space="preserve">All authors read and approved the final manuscript.</w:t>
      </w:r>
    </w:p>
    <w:bookmarkEnd w:id="55"/>
    <w:bookmarkEnd w:id="56"/>
    <w:bookmarkStart w:id="183" w:name="bibliography"/>
    <w:p>
      <w:pPr>
        <w:pStyle w:val="Heading1"/>
      </w:pPr>
      <w:r>
        <w:t xml:space="preserve">References</w:t>
      </w:r>
    </w:p>
    <w:bookmarkStart w:id="182" w:name="refs"/>
    <w:bookmarkStart w:id="58" w:name="Xe38019c88c6d2792bb296bad7dc0a4dd55f1319"/>
    <w:p>
      <w:pPr>
        <w:pStyle w:val="Bibliography"/>
      </w:pPr>
      <w:r>
        <w:t xml:space="preserve">1. Salamanca-Fernández E, Peinado FM, Esteban-López M, Puklova V, Poyatos RM, Govarts E, et al. Sociodemographic determinants and temporal variability of blood lead levels (2003–2019) in a pooled analysis of nine studies in four</w:t>
      </w:r>
      <w:r>
        <w:t xml:space="preserve"> </w:t>
      </w:r>
      <w:r>
        <w:t xml:space="preserve">European</w:t>
      </w:r>
      <w:r>
        <w:t xml:space="preserve"> </w:t>
      </w:r>
      <w:r>
        <w:t xml:space="preserve">countries. Sci Rep. 2025;15:34562.</w:t>
      </w:r>
      <w:r>
        <w:t xml:space="preserve"> </w:t>
      </w:r>
      <w:hyperlink r:id="rId57">
        <w:r>
          <w:rPr>
            <w:rStyle w:val="Hyperlink"/>
          </w:rPr>
          <w:t xml:space="preserve">https://doi.org/10.1038/s41598-025-17943-w</w:t>
        </w:r>
      </w:hyperlink>
    </w:p>
    <w:bookmarkEnd w:id="58"/>
    <w:bookmarkStart w:id="60" w:name="ref-lacerda2023GlobalDecreaseBlood"/>
    <w:p>
      <w:pPr>
        <w:pStyle w:val="Bibliography"/>
      </w:pPr>
      <w:r>
        <w:t xml:space="preserve">2.</w:t>
      </w:r>
      <w:r>
        <w:t xml:space="preserve"> </w:t>
      </w:r>
      <w:r>
        <w:t xml:space="preserve">Lacerda D, Pestana IA, Santos Vergilio CD, de Rezende CE</w:t>
      </w:r>
      <w:r>
        <w:t xml:space="preserve">. Global decrease in blood lead concentrations due to the removal of leaded gasoline. Chemosphere. 2023;324:138207.</w:t>
      </w:r>
      <w:r>
        <w:t xml:space="preserve"> </w:t>
      </w:r>
      <w:hyperlink r:id="rId59">
        <w:r>
          <w:rPr>
            <w:rStyle w:val="Hyperlink"/>
          </w:rPr>
          <w:t xml:space="preserve">https://doi.org/10.1016/j.chemosphere.2023.138207</w:t>
        </w:r>
      </w:hyperlink>
    </w:p>
    <w:bookmarkEnd w:id="60"/>
    <w:bookmarkStart w:id="62" w:name="X4707f3a4b72a0982487545f9dc3d674642af108"/>
    <w:p>
      <w:pPr>
        <w:pStyle w:val="Bibliography"/>
      </w:pPr>
      <w:r>
        <w:t xml:space="preserve">3. EFSA. Lead dietary exposure in the</w:t>
      </w:r>
      <w:r>
        <w:t xml:space="preserve"> </w:t>
      </w:r>
      <w:r>
        <w:t xml:space="preserve">European</w:t>
      </w:r>
      <w:r>
        <w:t xml:space="preserve"> </w:t>
      </w:r>
      <w:r>
        <w:t xml:space="preserve">population. EFSA J. 2012;10.</w:t>
      </w:r>
      <w:r>
        <w:t xml:space="preserve"> </w:t>
      </w:r>
      <w:hyperlink r:id="rId61">
        <w:r>
          <w:rPr>
            <w:rStyle w:val="Hyperlink"/>
          </w:rPr>
          <w:t xml:space="preserve">https://doi.org/10.2903/j.efsa.2012.2831</w:t>
        </w:r>
      </w:hyperlink>
    </w:p>
    <w:bookmarkEnd w:id="62"/>
    <w:bookmarkStart w:id="64" w:name="ref-sy2024AssessmentLongTermExposure"/>
    <w:p>
      <w:pPr>
        <w:pStyle w:val="Bibliography"/>
      </w:pPr>
      <w:r>
        <w:t xml:space="preserve">4. Sy M, Eleftheriadou D, Jung C, Lindtner O, Karakitsios S, Sarigiannis D, et al.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Exposure Health. 2024;16:21–39.</w:t>
      </w:r>
      <w:r>
        <w:t xml:space="preserve"> </w:t>
      </w:r>
      <w:hyperlink r:id="rId63">
        <w:r>
          <w:rPr>
            <w:rStyle w:val="Hyperlink"/>
          </w:rPr>
          <w:t xml:space="preserve">https://doi.org/10.1007/s12403-023-00535-2</w:t>
        </w:r>
      </w:hyperlink>
    </w:p>
    <w:bookmarkEnd w:id="64"/>
    <w:bookmarkStart w:id="66" w:name="ref-hay2025Burden375Diseases"/>
    <w:p>
      <w:pPr>
        <w:pStyle w:val="Bibliography"/>
      </w:pPr>
      <w:r>
        <w:t xml:space="preserve">5. Hay SI, Ong KL, Santomauro DF, A B, Aalipour MA, Aalruz H, et al.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Lancet. 2025;406:1873–922.</w:t>
      </w:r>
      <w:r>
        <w:t xml:space="preserve"> </w:t>
      </w:r>
      <w:hyperlink r:id="rId65">
        <w:r>
          <w:rPr>
            <w:rStyle w:val="Hyperlink"/>
          </w:rPr>
          <w:t xml:space="preserve">https://doi.org/10.1016/S0140-6736(25)01637-X</w:t>
        </w:r>
      </w:hyperlink>
    </w:p>
    <w:bookmarkEnd w:id="66"/>
    <w:bookmarkStart w:id="68" w:name="ref-harari2018BloodLeadLevels"/>
    <w:p>
      <w:pPr>
        <w:pStyle w:val="Bibliography"/>
      </w:pPr>
      <w:r>
        <w:t xml:space="preserve">6. Harari F, Sallsten G, Christensson A, Petkovic M, Hedblad B, Forsgard N, et al.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 J Kidney Dis. 2018;72:381–9.</w:t>
      </w:r>
      <w:r>
        <w:t xml:space="preserve"> </w:t>
      </w:r>
      <w:hyperlink r:id="rId67">
        <w:r>
          <w:rPr>
            <w:rStyle w:val="Hyperlink"/>
          </w:rPr>
          <w:t xml:space="preserve">https://doi.org/10.1053/j.ajkd.2018.02.358</w:t>
        </w:r>
      </w:hyperlink>
    </w:p>
    <w:bookmarkEnd w:id="68"/>
    <w:bookmarkStart w:id="70" w:name="ref-wan2022ChronicLeadExposure"/>
    <w:p>
      <w:pPr>
        <w:pStyle w:val="Bibliography"/>
      </w:pPr>
      <w:r>
        <w:t xml:space="preserve">7. Wan H, Wang Y, Zhang H, Zhang K, Chen Y, Chen C, et al. Chronic lead exposure induces fatty liver disease associated with the variations of gut microbiota. Ecotoxicol Environ Saf. 2022;232:113257.</w:t>
      </w:r>
      <w:r>
        <w:t xml:space="preserve"> </w:t>
      </w:r>
      <w:hyperlink r:id="rId69">
        <w:r>
          <w:rPr>
            <w:rStyle w:val="Hyperlink"/>
          </w:rPr>
          <w:t xml:space="preserve">https://doi.org/10.1016/j.ecoenv.2022.113257</w:t>
        </w:r>
      </w:hyperlink>
    </w:p>
    <w:bookmarkEnd w:id="70"/>
    <w:bookmarkStart w:id="72" w:name="ref-rosengren2025ExposureLeadCoronary"/>
    <w:p>
      <w:pPr>
        <w:pStyle w:val="Bibliography"/>
      </w:pPr>
      <w:r>
        <w:t xml:space="preserve">8. Rosengren E, Barregard L, Sallsten G, Fagerberg B, Engström G, Fagman E, et al.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 Am Heart Assoc. 2025;14:e037633.</w:t>
      </w:r>
      <w:r>
        <w:t xml:space="preserve"> </w:t>
      </w:r>
      <w:hyperlink r:id="rId71">
        <w:r>
          <w:rPr>
            <w:rStyle w:val="Hyperlink"/>
          </w:rPr>
          <w:t xml:space="preserve">https://doi.org/10.1161/JAHA.124.037633</w:t>
        </w:r>
      </w:hyperlink>
    </w:p>
    <w:bookmarkEnd w:id="72"/>
    <w:bookmarkStart w:id="74" w:name="ref-lanphear2018LowlevelLeadExposure"/>
    <w:p>
      <w:pPr>
        <w:pStyle w:val="Bibliography"/>
      </w:pPr>
      <w:r>
        <w:t xml:space="preserve">9. Lanphear BP, Rauch S, Auinger P, Allen RW, Hornung RW. Low-level lead exposure and mortality in</w:t>
      </w:r>
      <w:r>
        <w:t xml:space="preserve"> </w:t>
      </w:r>
      <w:r>
        <w:t xml:space="preserve">US</w:t>
      </w:r>
      <w:r>
        <w:t xml:space="preserve"> </w:t>
      </w:r>
      <w:r>
        <w:t xml:space="preserve">adults: A population-based cohort study. Lancet Public Health. 2018;3:e177–84.</w:t>
      </w:r>
      <w:r>
        <w:t xml:space="preserve"> </w:t>
      </w:r>
      <w:hyperlink r:id="rId73">
        <w:r>
          <w:rPr>
            <w:rStyle w:val="Hyperlink"/>
          </w:rPr>
          <w:t xml:space="preserve">https://doi.org/10.1016/S2468-2667(18)30025-2</w:t>
        </w:r>
      </w:hyperlink>
    </w:p>
    <w:bookmarkEnd w:id="74"/>
    <w:bookmarkStart w:id="76" w:name="ref-chang2006LowBloodLead"/>
    <w:p>
      <w:pPr>
        <w:pStyle w:val="Bibliography"/>
      </w:pPr>
      <w:r>
        <w:t xml:space="preserve">10. Chang S-H, Cheng B-H, Lee S-L, Chuang H-Y, Yang C-Y, Sung F-C, et al. Low blood lead concentration in association with infertility in women. Environ Res. 2006;101:380–6.</w:t>
      </w:r>
      <w:r>
        <w:t xml:space="preserve"> </w:t>
      </w:r>
      <w:hyperlink r:id="rId75">
        <w:r>
          <w:rPr>
            <w:rStyle w:val="Hyperlink"/>
          </w:rPr>
          <w:t xml:space="preserve">https://doi.org/10.1016/j.envres.2005.10.004</w:t>
        </w:r>
      </w:hyperlink>
    </w:p>
    <w:bookmarkEnd w:id="76"/>
    <w:bookmarkStart w:id="78" w:name="Xadfdab0209e4a364d9fdcffecfddb00700d2db9"/>
    <w:p>
      <w:pPr>
        <w:pStyle w:val="Bibliography"/>
      </w:pPr>
      <w:r>
        <w:t xml:space="preserve">11. Dimitrov LV, Kaminski JW, Holbrook JR, Bitsko RH, Yeh M, Courtney JG, et al.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2024;25:225–48.</w:t>
      </w:r>
      <w:r>
        <w:t xml:space="preserve"> </w:t>
      </w:r>
      <w:hyperlink r:id="rId77">
        <w:r>
          <w:rPr>
            <w:rStyle w:val="Hyperlink"/>
          </w:rPr>
          <w:t xml:space="preserve">https://doi.org/10.1007/s11121-023-01601-6</w:t>
        </w:r>
      </w:hyperlink>
    </w:p>
    <w:bookmarkEnd w:id="78"/>
    <w:bookmarkStart w:id="80" w:name="ref-shaffer2025LeadExposureAntisocial"/>
    <w:p>
      <w:pPr>
        <w:pStyle w:val="Bibliography"/>
      </w:pPr>
      <w:r>
        <w:t xml:space="preserve">12. Shaffer RM, Carlson LM, Hester K, Kim H, Duffney P, Forsyth JE, et al. Lead exposure and antisocial behavior:</w:t>
      </w:r>
      <w:r>
        <w:t xml:space="preserve"> </w:t>
      </w:r>
      <w:r>
        <w:t xml:space="preserve">A</w:t>
      </w:r>
      <w:r>
        <w:t xml:space="preserve"> </w:t>
      </w:r>
      <w:r>
        <w:t xml:space="preserve">systematic review of human and animal evidence. Environ Int. 2025;109786.</w:t>
      </w:r>
      <w:r>
        <w:t xml:space="preserve"> </w:t>
      </w:r>
      <w:hyperlink r:id="rId79">
        <w:r>
          <w:rPr>
            <w:rStyle w:val="Hyperlink"/>
          </w:rPr>
          <w:t xml:space="preserve">https://doi.org/10.1016/j.envint.2025.109786</w:t>
        </w:r>
      </w:hyperlink>
    </w:p>
    <w:bookmarkEnd w:id="80"/>
    <w:bookmarkStart w:id="82" w:name="X06097e4c5e52362623b7f1c040457eb7d553acc"/>
    <w:p>
      <w:pPr>
        <w:pStyle w:val="Bibliography"/>
      </w:pPr>
      <w:r>
        <w:t xml:space="preserve">13. Baghurst PA, McMichael AJ, Wigg NR, Vimpani GV, Robertson EF, Roberts RJ, et al.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1992;327:1279–84.</w:t>
      </w:r>
      <w:r>
        <w:t xml:space="preserve"> </w:t>
      </w:r>
      <w:hyperlink r:id="rId81">
        <w:r>
          <w:rPr>
            <w:rStyle w:val="Hyperlink"/>
          </w:rPr>
          <w:t xml:space="preserve">https://doi.org/10.1056/NEJM199210293271805</w:t>
        </w:r>
      </w:hyperlink>
    </w:p>
    <w:bookmarkEnd w:id="82"/>
    <w:bookmarkStart w:id="84" w:name="ref-needleman1990LowLevelLeadExposure"/>
    <w:p>
      <w:pPr>
        <w:pStyle w:val="Bibliography"/>
      </w:pPr>
      <w:r>
        <w:t xml:space="preserve">14. Needleman HL.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1990;263:673.</w:t>
      </w:r>
      <w:r>
        <w:t xml:space="preserve"> </w:t>
      </w:r>
      <w:hyperlink r:id="rId83">
        <w:r>
          <w:rPr>
            <w:rStyle w:val="Hyperlink"/>
          </w:rPr>
          <w:t xml:space="preserve">https://doi.org/10.1001/jama.1990.03440050067035</w:t>
        </w:r>
      </w:hyperlink>
    </w:p>
    <w:bookmarkEnd w:id="84"/>
    <w:bookmarkStart w:id="86" w:name="ref-bellinger1992LowLevelLeadExposure"/>
    <w:p>
      <w:pPr>
        <w:pStyle w:val="Bibliography"/>
      </w:pPr>
      <w:r>
        <w:t xml:space="preserve">15. Bellinger DC, Stiles KM, Needleman HL.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1992;90:855–61.</w:t>
      </w:r>
      <w:r>
        <w:t xml:space="preserve"> </w:t>
      </w:r>
      <w:hyperlink r:id="rId85">
        <w:r>
          <w:rPr>
            <w:rStyle w:val="Hyperlink"/>
          </w:rPr>
          <w:t xml:space="preserve">https://doi.org/10.1542/peds.90.6.855</w:t>
        </w:r>
      </w:hyperlink>
    </w:p>
    <w:bookmarkEnd w:id="86"/>
    <w:bookmarkStart w:id="88" w:name="X9a8bad0b78f43066cb333fdedcdcad5d7017900"/>
    <w:p>
      <w:pPr>
        <w:pStyle w:val="Bibliography"/>
      </w:pPr>
      <w:r>
        <w:t xml:space="preserve">16. Lanphear BP, Hornung R, Khoury J, Yolton K, Baghurst P, Bellinger DC, et al.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 Health Perspect. 2005;113:894–9.</w:t>
      </w:r>
      <w:r>
        <w:t xml:space="preserve"> </w:t>
      </w:r>
      <w:hyperlink r:id="rId87">
        <w:r>
          <w:rPr>
            <w:rStyle w:val="Hyperlink"/>
          </w:rPr>
          <w:t xml:space="preserve">https://doi.org/10.1289/ehp.7688</w:t>
        </w:r>
      </w:hyperlink>
    </w:p>
    <w:bookmarkEnd w:id="88"/>
    <w:bookmarkStart w:id="90" w:name="ref-larsen2023GlobalHealthBurden"/>
    <w:p>
      <w:pPr>
        <w:pStyle w:val="Bibliography"/>
      </w:pPr>
      <w:r>
        <w:t xml:space="preserve">17. Larsen B, Sánchez-Triana E. Global health burden and cost of lead exposure in children and adults: A health impact and economic modelling analysis. Lancet Planet Heath. 2023;7:e831–40.</w:t>
      </w:r>
      <w:r>
        <w:t xml:space="preserve"> </w:t>
      </w:r>
      <w:hyperlink r:id="rId89">
        <w:r>
          <w:rPr>
            <w:rStyle w:val="Hyperlink"/>
          </w:rPr>
          <w:t xml:space="preserve">https://doi.org/10.1016/S2542-5196(23)00166-3</w:t>
        </w:r>
      </w:hyperlink>
    </w:p>
    <w:bookmarkEnd w:id="90"/>
    <w:bookmarkStart w:id="91" w:name="ref-tamasszigeti2022SubstanceReportLead"/>
    <w:p>
      <w:pPr>
        <w:pStyle w:val="Bibliography"/>
      </w:pPr>
      <w:r>
        <w:t xml:space="preserve">18. Szigeti T, Kakucs R, Vicente JL, Beatrice Grosu. Substance report -</w:t>
      </w:r>
      <w:r>
        <w:t xml:space="preserve"> </w:t>
      </w:r>
      <w:r>
        <w:t xml:space="preserve">Lead</w:t>
      </w:r>
      <w:r>
        <w:t xml:space="preserve">. HBM4EU; 2022.</w:t>
      </w:r>
    </w:p>
    <w:bookmarkEnd w:id="91"/>
    <w:bookmarkStart w:id="93" w:name="X5615fc1cb9c455a90da75660348bda09fd0f967"/>
    <w:p>
      <w:pPr>
        <w:pStyle w:val="Bibliography"/>
      </w:pPr>
      <w:r>
        <w:t xml:space="preserve">19. EFSA Panel on Contaminants in the Food Chain (CONTAM).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 2010;8:1570.</w:t>
      </w:r>
      <w:r>
        <w:t xml:space="preserve"> </w:t>
      </w:r>
      <w:hyperlink r:id="rId92">
        <w:r>
          <w:rPr>
            <w:rStyle w:val="Hyperlink"/>
          </w:rPr>
          <w:t xml:space="preserve">https://doi.org/10.2903/j.efsa.2010.1570</w:t>
        </w:r>
      </w:hyperlink>
    </w:p>
    <w:bookmarkEnd w:id="93"/>
    <w:bookmarkStart w:id="95" w:name="ref-schwartz1994LowLevelLeadExposure"/>
    <w:p>
      <w:pPr>
        <w:pStyle w:val="Bibliography"/>
      </w:pPr>
      <w:r>
        <w:t xml:space="preserve">20. Schwartz J.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 Res. 1994;65:42–55.</w:t>
      </w:r>
      <w:r>
        <w:t xml:space="preserve"> </w:t>
      </w:r>
      <w:hyperlink r:id="rId94">
        <w:r>
          <w:rPr>
            <w:rStyle w:val="Hyperlink"/>
          </w:rPr>
          <w:t xml:space="preserve">https://doi.org/10.1006/enrs.1994.1020</w:t>
        </w:r>
      </w:hyperlink>
    </w:p>
    <w:bookmarkEnd w:id="95"/>
    <w:bookmarkStart w:id="97" w:name="Xa2086c2c3f6a9ac4b676f66b1cdbbd5efdb3b23"/>
    <w:p>
      <w:pPr>
        <w:pStyle w:val="Bibliography"/>
      </w:pPr>
      <w:r>
        <w:t xml:space="preserve">21. Canfield RL, Henderson CR, Cory-Slechta DA, Cox C, Jusko TA, Lanphear BP.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2003;348:1517–26.</w:t>
      </w:r>
      <w:r>
        <w:t xml:space="preserve"> </w:t>
      </w:r>
      <w:hyperlink r:id="rId96">
        <w:r>
          <w:rPr>
            <w:rStyle w:val="Hyperlink"/>
          </w:rPr>
          <w:t xml:space="preserve">https://doi.org/10.1056/NEJMoa022848</w:t>
        </w:r>
      </w:hyperlink>
    </w:p>
    <w:bookmarkEnd w:id="97"/>
    <w:bookmarkStart w:id="99" w:name="X93c1fc7f8e1220d02cbab90c02ac44248f2b23e"/>
    <w:p>
      <w:pPr>
        <w:pStyle w:val="Bibliography"/>
      </w:pPr>
      <w:r>
        <w:t xml:space="preserve">22. Carrington C, Devleesschauwer B, Gibb HJ, Bolger PM. Global burden of intellectual disability resulting from dietary exposure to lead, 2015. Environ Res. 2019;172:420–9.</w:t>
      </w:r>
      <w:r>
        <w:t xml:space="preserve"> </w:t>
      </w:r>
      <w:hyperlink r:id="rId98">
        <w:r>
          <w:rPr>
            <w:rStyle w:val="Hyperlink"/>
          </w:rPr>
          <w:t xml:space="preserve">https://doi.org/10.1016/j.envres.2019.02.023</w:t>
        </w:r>
      </w:hyperlink>
    </w:p>
    <w:bookmarkEnd w:id="99"/>
    <w:bookmarkStart w:id="101" w:name="ref-figueroa2024LossCognitiveFunction"/>
    <w:p>
      <w:pPr>
        <w:pStyle w:val="Bibliography"/>
      </w:pPr>
      <w:r>
        <w:t xml:space="preserve">23. Figueroa JL, Rodríguez-Atristain A, Bautista-Arredondo LF, Treviño CL, Martínez MR, Valdivia BT, et al. Loss of cognitive function in</w:t>
      </w:r>
      <w:r>
        <w:t xml:space="preserve"> </w:t>
      </w:r>
      <w:r>
        <w:t xml:space="preserve">Mexican</w:t>
      </w:r>
      <w:r>
        <w:t xml:space="preserve"> </w:t>
      </w:r>
      <w:r>
        <w:t xml:space="preserve">children due to lead exposure and the associated economic costs. Environ Res. 2024;263:120013.</w:t>
      </w:r>
      <w:r>
        <w:t xml:space="preserve"> </w:t>
      </w:r>
      <w:hyperlink r:id="rId100">
        <w:r>
          <w:rPr>
            <w:rStyle w:val="Hyperlink"/>
          </w:rPr>
          <w:t xml:space="preserve">https://doi.org/10.1016/j.envres.2024.120013</w:t>
        </w:r>
      </w:hyperlink>
    </w:p>
    <w:bookmarkEnd w:id="101"/>
    <w:bookmarkStart w:id="103" w:name="ref-mcfarland2022HalfUSPopulation"/>
    <w:p>
      <w:pPr>
        <w:pStyle w:val="Bibliography"/>
      </w:pPr>
      <w:r>
        <w:t xml:space="preserve">24. McFarland MJ, Hauer ME, Reuben A. Half of</w:t>
      </w:r>
      <w:r>
        <w:t xml:space="preserve"> </w:t>
      </w:r>
      <w:r>
        <w:t xml:space="preserve">US</w:t>
      </w:r>
      <w:r>
        <w:t xml:space="preserve"> </w:t>
      </w:r>
      <w:r>
        <w:t xml:space="preserve">population exposed to adverse lead levels in early childhood. Proc Natl Acad Sci. 2022;119:e2118631119.</w:t>
      </w:r>
      <w:r>
        <w:t xml:space="preserve"> </w:t>
      </w:r>
      <w:hyperlink r:id="rId102">
        <w:r>
          <w:rPr>
            <w:rStyle w:val="Hyperlink"/>
          </w:rPr>
          <w:t xml:space="preserve">https://doi.org/10.1073/pnas.2118631119</w:t>
        </w:r>
      </w:hyperlink>
    </w:p>
    <w:bookmarkEnd w:id="103"/>
    <w:bookmarkStart w:id="105" w:name="ref-crump2013StatisticalReevaluationData"/>
    <w:p>
      <w:pPr>
        <w:pStyle w:val="Bibliography"/>
      </w:pPr>
      <w:r>
        <w:t xml:space="preserve">25. Crump KS, Van Landingham C, Bowers TS, Cahoy D, Chandalia JK.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2013;43:785–99.</w:t>
      </w:r>
      <w:r>
        <w:t xml:space="preserve"> </w:t>
      </w:r>
      <w:hyperlink r:id="rId104">
        <w:r>
          <w:rPr>
            <w:rStyle w:val="Hyperlink"/>
          </w:rPr>
          <w:t xml:space="preserve">https://doi.org/10.3109/10408444.2013.832726</w:t>
        </w:r>
      </w:hyperlink>
    </w:p>
    <w:bookmarkEnd w:id="105"/>
    <w:bookmarkStart w:id="107" w:name="X33f03e29791f20cdbbbbf0729c723b16e55ed16"/>
    <w:p>
      <w:pPr>
        <w:pStyle w:val="Bibliography"/>
      </w:pPr>
      <w:r>
        <w:t xml:space="preserve">26. Lanphear BP, Hornung R, Khoury J, Yolton K, Baghurst P, Bellinger DC, et al.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2019;127:099001.</w:t>
      </w:r>
      <w:r>
        <w:t xml:space="preserve"> </w:t>
      </w:r>
      <w:hyperlink r:id="rId106">
        <w:r>
          <w:rPr>
            <w:rStyle w:val="Hyperlink"/>
          </w:rPr>
          <w:t xml:space="preserve">https://doi.org/10.1289/EHP5685</w:t>
        </w:r>
      </w:hyperlink>
    </w:p>
    <w:bookmarkEnd w:id="107"/>
    <w:bookmarkStart w:id="109" w:name="X035620408d1fb22c7ed381e74f0468c30df4612"/>
    <w:p>
      <w:pPr>
        <w:pStyle w:val="Bibliography"/>
      </w:pPr>
      <w:r>
        <w:t xml:space="preserve">27. Grant R, Di Tanna GL. Bayesian</w:t>
      </w:r>
      <w:r>
        <w:t xml:space="preserve"> </w:t>
      </w:r>
      <w:r>
        <w:t xml:space="preserve">Meta-Analysis</w:t>
      </w:r>
      <w:r>
        <w:t xml:space="preserve">:</w:t>
      </w:r>
      <w:r>
        <w:t xml:space="preserve"> </w:t>
      </w:r>
      <w:r>
        <w:t xml:space="preserve">A Practical Introduction</w:t>
      </w:r>
      <w:r>
        <w:t xml:space="preserve">. 1st ed. Boca Raton:</w:t>
      </w:r>
      <w:r>
        <w:t xml:space="preserve"> </w:t>
      </w:r>
      <w:r>
        <w:t xml:space="preserve">Chapman and Hall/CRC</w:t>
      </w:r>
      <w:r>
        <w:t xml:space="preserve">; 2025.</w:t>
      </w:r>
      <w:r>
        <w:t xml:space="preserve"> </w:t>
      </w:r>
      <w:hyperlink r:id="rId108">
        <w:r>
          <w:rPr>
            <w:rStyle w:val="Hyperlink"/>
          </w:rPr>
          <w:t xml:space="preserve">https://doi.org/10.1201/9781003375821</w:t>
        </w:r>
      </w:hyperlink>
    </w:p>
    <w:bookmarkEnd w:id="109"/>
    <w:bookmarkStart w:id="111" w:name="X837f91f784566061977da85c17a5755a81dedde"/>
    <w:p>
      <w:pPr>
        <w:pStyle w:val="Bibliography"/>
      </w:pPr>
      <w:r>
        <w:t xml:space="preserve">28. Hoekstra R, Morey RD, Rouder JN, Wagenmakers E-J. Robust misinterpretation of confidence intervals. Psychon Bull Rev. 2014;21:1157–64.</w:t>
      </w:r>
      <w:r>
        <w:t xml:space="preserve"> </w:t>
      </w:r>
      <w:hyperlink r:id="rId110">
        <w:r>
          <w:rPr>
            <w:rStyle w:val="Hyperlink"/>
          </w:rPr>
          <w:t xml:space="preserve">https://doi.org/10.3758/s13423-013-0572-3</w:t>
        </w:r>
      </w:hyperlink>
    </w:p>
    <w:bookmarkEnd w:id="111"/>
    <w:bookmarkStart w:id="113" w:name="ref-page2021PRISMA2020Statement"/>
    <w:p>
      <w:pPr>
        <w:pStyle w:val="Bibliography"/>
      </w:pPr>
      <w:r>
        <w:t xml:space="preserve">29. Page MJ, McKenzie JE, Bossuyt PM, Boutron I, Hoffmann TC, Mulrow CD, et al. The</w:t>
      </w:r>
      <w:r>
        <w:t xml:space="preserve"> </w:t>
      </w:r>
      <w:r>
        <w:t xml:space="preserve">PRISMA</w:t>
      </w:r>
      <w:r>
        <w:t xml:space="preserve"> </w:t>
      </w:r>
      <w:r>
        <w:t xml:space="preserve">2020 statement: An updated guideline for reporting systematic reviews. BMJ. 2021;n71.</w:t>
      </w:r>
      <w:r>
        <w:t xml:space="preserve"> </w:t>
      </w:r>
      <w:hyperlink r:id="rId112">
        <w:r>
          <w:rPr>
            <w:rStyle w:val="Hyperlink"/>
          </w:rPr>
          <w:t xml:space="preserve">https://doi.org/10.1136/bmj.n71</w:t>
        </w:r>
      </w:hyperlink>
    </w:p>
    <w:bookmarkEnd w:id="113"/>
    <w:bookmarkStart w:id="115" w:name="X5cae6442bbe0e1f5d8df6cd5008aab2dbfb65a6"/>
    <w:p>
      <w:pPr>
        <w:pStyle w:val="Bibliography"/>
      </w:pPr>
      <w:r>
        <w:t xml:space="preserve">30. Kruschke JK. Bayesian</w:t>
      </w:r>
      <w:r>
        <w:t xml:space="preserve"> </w:t>
      </w:r>
      <w:r>
        <w:t xml:space="preserve">Analysis Reporting Guidelines</w:t>
      </w:r>
      <w:r>
        <w:t xml:space="preserve">. Nat Hum Behav. 2021;5:1282–91.</w:t>
      </w:r>
      <w:r>
        <w:t xml:space="preserve"> </w:t>
      </w:r>
      <w:hyperlink r:id="rId114">
        <w:r>
          <w:rPr>
            <w:rStyle w:val="Hyperlink"/>
          </w:rPr>
          <w:t xml:space="preserve">https://doi.org/10.1038/s41562-021-01177-7</w:t>
        </w:r>
      </w:hyperlink>
    </w:p>
    <w:bookmarkEnd w:id="115"/>
    <w:bookmarkStart w:id="117" w:name="ref-2026PartnershipAssessmentRisks"/>
    <w:p>
      <w:pPr>
        <w:pStyle w:val="Bibliography"/>
      </w:pPr>
      <w:r>
        <w:t xml:space="preserve">31. Partnership for the</w:t>
      </w:r>
      <w:r>
        <w:t xml:space="preserve"> </w:t>
      </w:r>
      <w:r>
        <w:t xml:space="preserve">Assessment</w:t>
      </w:r>
      <w:r>
        <w:t xml:space="preserve"> </w:t>
      </w:r>
      <w:r>
        <w:t xml:space="preserve">of</w:t>
      </w:r>
      <w:r>
        <w:t xml:space="preserve"> </w:t>
      </w:r>
      <w:r>
        <w:t xml:space="preserve">Risks</w:t>
      </w:r>
      <w:r>
        <w:t xml:space="preserve"> </w:t>
      </w:r>
      <w:r>
        <w:t xml:space="preserve">from</w:t>
      </w:r>
      <w:r>
        <w:t xml:space="preserve"> </w:t>
      </w:r>
      <w:r>
        <w:t xml:space="preserve">Chemicals</w:t>
      </w:r>
      <w:r>
        <w:t xml:space="preserve">.</w:t>
      </w:r>
      <w:r>
        <w:t xml:space="preserve"> </w:t>
      </w:r>
      <w:hyperlink r:id="rId116">
        <w:r>
          <w:rPr>
            <w:rStyle w:val="Hyperlink"/>
          </w:rPr>
          <w:t xml:space="preserve">https://www.eu-parc.eu</w:t>
        </w:r>
      </w:hyperlink>
      <w:r>
        <w:t xml:space="preserve">. Accessed 5 June 2026</w:t>
      </w:r>
    </w:p>
    <w:bookmarkEnd w:id="117"/>
    <w:bookmarkStart w:id="118" w:name="Xf5486a80753c915bf34b5d8f3ad5e46aac479a7"/>
    <w:p>
      <w:pPr>
        <w:pStyle w:val="Bibliography"/>
      </w:pPr>
      <w:r>
        <w:t xml:space="preserve">32. 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p>
    <w:bookmarkEnd w:id="118"/>
    <w:bookmarkStart w:id="120" w:name="ref-plate2024DevelopmentToolRapid"/>
    <w:p>
      <w:pPr>
        <w:pStyle w:val="Bibliography"/>
      </w:pPr>
      <w:r>
        <w:t xml:space="preserve">33. Plate K, Knüppel S, Hornbacher A, Greiner M, Müller-Graf C. Development of a tool for rapid assessment of the evidence of human observational epidemiological studies with focus on risk of bias in the context of public health and risk assessment. EFSA Supporting Publ. 2024;21.</w:t>
      </w:r>
      <w:r>
        <w:t xml:space="preserve"> </w:t>
      </w:r>
      <w:hyperlink r:id="rId119">
        <w:r>
          <w:rPr>
            <w:rStyle w:val="Hyperlink"/>
          </w:rPr>
          <w:t xml:space="preserve">https://doi.org/10.2903/sp.efsa.2024.EN-8925</w:t>
        </w:r>
      </w:hyperlink>
    </w:p>
    <w:bookmarkEnd w:id="120"/>
    <w:bookmarkStart w:id="122" w:name="ref-halabicky2023LowLevelLead"/>
    <w:p>
      <w:pPr>
        <w:pStyle w:val="Bibliography"/>
      </w:pPr>
      <w:r>
        <w:t xml:space="preserve">34. Halabicky OM, Pinto-Martin JA, Compton P, Liu J. Low level lead exposure in early childhood and parental education on adolescent</w:t>
      </w:r>
      <w:r>
        <w:t xml:space="preserve"> </w:t>
      </w:r>
      <w:r>
        <w:t xml:space="preserve">IQ</w:t>
      </w:r>
      <w:r>
        <w:t xml:space="preserve"> </w:t>
      </w:r>
      <w:r>
        <w:t xml:space="preserve">and working memory: A cohort study. J Exposure Sci Environ Epidemiol. 2023;33:168–76.</w:t>
      </w:r>
      <w:r>
        <w:t xml:space="preserve"> </w:t>
      </w:r>
      <w:hyperlink r:id="rId121">
        <w:r>
          <w:rPr>
            <w:rStyle w:val="Hyperlink"/>
          </w:rPr>
          <w:t xml:space="preserve">https://doi.org/10.1038/s41370-022-00450-9</w:t>
        </w:r>
      </w:hyperlink>
    </w:p>
    <w:bookmarkEnd w:id="122"/>
    <w:bookmarkStart w:id="124" w:name="ref-chen2005IQBloodLead"/>
    <w:p>
      <w:pPr>
        <w:pStyle w:val="Bibliography"/>
      </w:pPr>
      <w:r>
        <w:t xml:space="preserve">35. Chen A, Dietrich KN, Ware JH, Radcliffe J, Rogan WJ.</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 Health Perspect. 2005;113:597–601.</w:t>
      </w:r>
      <w:r>
        <w:t xml:space="preserve"> </w:t>
      </w:r>
      <w:hyperlink r:id="rId123">
        <w:r>
          <w:rPr>
            <w:rStyle w:val="Hyperlink"/>
          </w:rPr>
          <w:t xml:space="preserve">https://doi.org/10.1289/ehp.7625</w:t>
        </w:r>
      </w:hyperlink>
    </w:p>
    <w:bookmarkEnd w:id="124"/>
    <w:bookmarkStart w:id="126" w:name="Xcf7993c3f58afaabaf73be6238c67f4f63053d9"/>
    <w:p>
      <w:pPr>
        <w:pStyle w:val="Bibliography"/>
      </w:pPr>
      <w:r>
        <w:t xml:space="preserve">36. Schnaas L, Rothenberg Stephen J, Flores M-F, Martinez S, Hernandez C, Osorio E, et al.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 Health Perspect. 2006;114:791–7.</w:t>
      </w:r>
      <w:r>
        <w:t xml:space="preserve"> </w:t>
      </w:r>
      <w:hyperlink r:id="rId125">
        <w:r>
          <w:rPr>
            <w:rStyle w:val="Hyperlink"/>
          </w:rPr>
          <w:t xml:space="preserve">https://doi.org/10.1289/ehp.8552</w:t>
        </w:r>
      </w:hyperlink>
    </w:p>
    <w:bookmarkEnd w:id="126"/>
    <w:bookmarkStart w:id="127" w:name="X4bd034c52731e178b4de125c2c778bdc533803c"/>
    <w:p>
      <w:pPr>
        <w:pStyle w:val="Bibliography"/>
      </w:pPr>
      <w:r>
        <w:t xml:space="preserve">37. 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p>
    <w:bookmarkEnd w:id="127"/>
    <w:bookmarkStart w:id="128" w:name="ref-2026GitHub"/>
    <w:p>
      <w:pPr>
        <w:pStyle w:val="Bibliography"/>
      </w:pPr>
      <w:r>
        <w:t xml:space="preserve">38. GitHub repository.</w:t>
      </w:r>
      <w:r>
        <w:t xml:space="preserve"> </w:t>
      </w:r>
      <w:hyperlink r:id="rId50">
        <w:r>
          <w:rPr>
            <w:rStyle w:val="Hyperlink"/>
          </w:rPr>
          <w:t xml:space="preserve">https://github.com/PaulinaSell/lead-IQ_meta-analysis</w:t>
        </w:r>
      </w:hyperlink>
      <w:r>
        <w:t xml:space="preserve">. Accessed 5 June 2026</w:t>
      </w:r>
    </w:p>
    <w:bookmarkEnd w:id="128"/>
    <w:bookmarkStart w:id="130" w:name="ref-burkner2017BrmsPackageBayesian"/>
    <w:p>
      <w:pPr>
        <w:pStyle w:val="Bibliography"/>
      </w:pPr>
      <w:r>
        <w:t xml:space="preserve">39. Bürkner P-C.</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Softw. 2017;80.</w:t>
      </w:r>
      <w:r>
        <w:t xml:space="preserve"> </w:t>
      </w:r>
      <w:hyperlink r:id="rId129">
        <w:r>
          <w:rPr>
            <w:rStyle w:val="Hyperlink"/>
          </w:rPr>
          <w:t xml:space="preserve">https://doi.org/10.18637/jss.v080.i01</w:t>
        </w:r>
      </w:hyperlink>
    </w:p>
    <w:bookmarkEnd w:id="130"/>
    <w:bookmarkStart w:id="131" w:name="X21bf392f662dc1b38e9a7fa4b314fc7a471696b"/>
    <w:p>
      <w:pPr>
        <w:pStyle w:val="Bibliography"/>
      </w:pPr>
      <w:r>
        <w:t xml:space="preserve">40. Gabry J, Mahr T. Bayesplot:</w:t>
      </w:r>
      <w:r>
        <w:t xml:space="preserve"> </w:t>
      </w:r>
      <w:r>
        <w:t xml:space="preserve">Plotting</w:t>
      </w:r>
      <w:r>
        <w:t xml:space="preserve"> </w:t>
      </w:r>
      <w:r>
        <w:t xml:space="preserve">for</w:t>
      </w:r>
      <w:r>
        <w:t xml:space="preserve"> </w:t>
      </w:r>
      <w:r>
        <w:t xml:space="preserve">Bayesian Models</w:t>
      </w:r>
      <w:r>
        <w:t xml:space="preserve">. 2025.</w:t>
      </w:r>
    </w:p>
    <w:bookmarkEnd w:id="131"/>
    <w:bookmarkStart w:id="133" w:name="ref-hartung2001TestsOverallTreatment"/>
    <w:p>
      <w:pPr>
        <w:pStyle w:val="Bibliography"/>
      </w:pPr>
      <w:r>
        <w:t xml:space="preserve">41. Hartung J, Knapp G. On tests of the overall treatment effect in meta-analysis with normally distributed responses. Stat Med. 2001;20:1771–82.</w:t>
      </w:r>
      <w:r>
        <w:t xml:space="preserve"> </w:t>
      </w:r>
      <w:hyperlink r:id="rId132">
        <w:r>
          <w:rPr>
            <w:rStyle w:val="Hyperlink"/>
          </w:rPr>
          <w:t xml:space="preserve">https://doi.org/10.1002/sim.791</w:t>
        </w:r>
      </w:hyperlink>
    </w:p>
    <w:bookmarkEnd w:id="133"/>
    <w:bookmarkStart w:id="135" w:name="X111bb06244f8f2a1a6d0d2f1f41c24b71f248e6"/>
    <w:p>
      <w:pPr>
        <w:pStyle w:val="Bibliography"/>
      </w:pPr>
      <w:r>
        <w:t xml:space="preserve">42. Viechtbauer W.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2010;36:1–48.</w:t>
      </w:r>
      <w:r>
        <w:t xml:space="preserve"> </w:t>
      </w:r>
      <w:hyperlink r:id="rId134">
        <w:r>
          <w:rPr>
            <w:rStyle w:val="Hyperlink"/>
          </w:rPr>
          <w:t xml:space="preserve">https://doi.org/10.18637/jss.v036.i03</w:t>
        </w:r>
      </w:hyperlink>
    </w:p>
    <w:bookmarkEnd w:id="135"/>
    <w:bookmarkStart w:id="137" w:name="ref-earl2016LowlevelEnvironmentalLead"/>
    <w:p>
      <w:pPr>
        <w:pStyle w:val="Bibliography"/>
      </w:pPr>
      <w:r>
        <w:t xml:space="preserve">43. Earl R, Burns N, Nettelbeck T, Baghurst P. Low-level environmental lead exposure still negatively associated with children’s cognitive abilities. Aust J Psychol. 2016;68:98–106.</w:t>
      </w:r>
      <w:r>
        <w:t xml:space="preserve"> </w:t>
      </w:r>
      <w:hyperlink r:id="rId136">
        <w:r>
          <w:rPr>
            <w:rStyle w:val="Hyperlink"/>
          </w:rPr>
          <w:t xml:space="preserve">https://doi.org/10.1111/ajpy.12096</w:t>
        </w:r>
      </w:hyperlink>
    </w:p>
    <w:bookmarkEnd w:id="137"/>
    <w:bookmarkStart w:id="139" w:name="ref-bauer2020AssociationsMetalMixture"/>
    <w:p>
      <w:pPr>
        <w:pStyle w:val="Bibliography"/>
      </w:pPr>
      <w:r>
        <w:t xml:space="preserve">44. Bauer JA, Devick KL, Bobb JF, Coull BA, Bellinger D, Benedetti C, et al.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 Health Perspect. 2020;128:097002.</w:t>
      </w:r>
      <w:r>
        <w:t xml:space="preserve"> </w:t>
      </w:r>
      <w:hyperlink r:id="rId138">
        <w:r>
          <w:rPr>
            <w:rStyle w:val="Hyperlink"/>
          </w:rPr>
          <w:t xml:space="preserve">https://doi.org/10.1289/EHP6803</w:t>
        </w:r>
      </w:hyperlink>
    </w:p>
    <w:bookmarkEnd w:id="139"/>
    <w:bookmarkStart w:id="141" w:name="ref-hong2015EnvironmentalLeadExposure"/>
    <w:p>
      <w:pPr>
        <w:pStyle w:val="Bibliography"/>
      </w:pPr>
      <w:r>
        <w:t xml:space="preserve">45. Hong S-B, Im M-H, Kim J-W, Park E-J, Shin M-S, Kim B-N, et al.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 Health Perspect. 2015;123:271–6.</w:t>
      </w:r>
      <w:r>
        <w:t xml:space="preserve"> </w:t>
      </w:r>
      <w:hyperlink r:id="rId140">
        <w:r>
          <w:rPr>
            <w:rStyle w:val="Hyperlink"/>
          </w:rPr>
          <w:t xml:space="preserve">https://doi.org/10.1289/ehp.1307420</w:t>
        </w:r>
      </w:hyperlink>
    </w:p>
    <w:bookmarkEnd w:id="141"/>
    <w:bookmarkStart w:id="143" w:name="Xb0421be95a139ca5af39ce6040517bf1be79427"/>
    <w:p>
      <w:pPr>
        <w:pStyle w:val="Bibliography"/>
      </w:pPr>
      <w:r>
        <w:t xml:space="preserve">46. Lucchini RG, Zoni S, Guazzetti S, Bontempi E, Micheletti S, Broberg K, et al. Inverse association of intellectual function with very low blood lead but not with manganese exposure in</w:t>
      </w:r>
      <w:r>
        <w:t xml:space="preserve"> </w:t>
      </w:r>
      <w:r>
        <w:t xml:space="preserve">Italian</w:t>
      </w:r>
      <w:r>
        <w:t xml:space="preserve"> </w:t>
      </w:r>
      <w:r>
        <w:t xml:space="preserve">adolescents. Environ Res. 2012;118:65–71.</w:t>
      </w:r>
      <w:r>
        <w:t xml:space="preserve"> </w:t>
      </w:r>
      <w:hyperlink r:id="rId142">
        <w:r>
          <w:rPr>
            <w:rStyle w:val="Hyperlink"/>
          </w:rPr>
          <w:t xml:space="preserve">https://doi.org/10.1016/j.envres.2012.08.003</w:t>
        </w:r>
      </w:hyperlink>
    </w:p>
    <w:bookmarkEnd w:id="143"/>
    <w:bookmarkStart w:id="145" w:name="X716dc31ca13dac7355fea3a0f7dea95779ecabb"/>
    <w:p>
      <w:pPr>
        <w:pStyle w:val="Bibliography"/>
      </w:pPr>
      <w:r>
        <w:t xml:space="preserve">47. Lucchini RG, Guazzetti S, Renzetti S, Conversano M, Cagna G, Fedrighi C, et al. Neurocognitive impact of metal exposure and social stressors among schoolchildren in</w:t>
      </w:r>
      <w:r>
        <w:t xml:space="preserve"> </w:t>
      </w:r>
      <w:r>
        <w:t xml:space="preserve">Taranto</w:t>
      </w:r>
      <w:r>
        <w:t xml:space="preserve">,</w:t>
      </w:r>
      <w:r>
        <w:t xml:space="preserve"> </w:t>
      </w:r>
      <w:r>
        <w:t xml:space="preserve">Italy</w:t>
      </w:r>
      <w:r>
        <w:t xml:space="preserve">. Environ Health. 2019;18:67.</w:t>
      </w:r>
      <w:r>
        <w:t xml:space="preserve"> </w:t>
      </w:r>
      <w:hyperlink r:id="rId144">
        <w:r>
          <w:rPr>
            <w:rStyle w:val="Hyperlink"/>
          </w:rPr>
          <w:t xml:space="preserve">https://doi.org/10.1186/s12940-019-0505-3</w:t>
        </w:r>
      </w:hyperlink>
    </w:p>
    <w:bookmarkEnd w:id="145"/>
    <w:bookmarkStart w:id="147" w:name="ref-roy2013EffectModificationTransferrin"/>
    <w:p>
      <w:pPr>
        <w:pStyle w:val="Bibliography"/>
      </w:pPr>
      <w:r>
        <w:t xml:space="preserve">48. Roy A, Ettinger AS, Hu H, Bellinger D, Schwartz J, Modali R, et al.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2013;38:17–22.</w:t>
      </w:r>
      <w:r>
        <w:t xml:space="preserve"> </w:t>
      </w:r>
      <w:hyperlink r:id="rId146">
        <w:r>
          <w:rPr>
            <w:rStyle w:val="Hyperlink"/>
          </w:rPr>
          <w:t xml:space="preserve">https://doi.org/10.1016/j.neuro.2013.05.005</w:t>
        </w:r>
      </w:hyperlink>
    </w:p>
    <w:bookmarkEnd w:id="147"/>
    <w:bookmarkStart w:id="149" w:name="ref-dantzer2020ComparisonBloodToenails"/>
    <w:p>
      <w:pPr>
        <w:pStyle w:val="Bibliography"/>
      </w:pPr>
      <w:r>
        <w:t xml:space="preserve">49. Dantzer J, Ryan P, Yolton K, Parsons PJ, Palmer CD, Cecil K, et al. A comparison of blood and toenails as biomarkers of children’s exposure to lead and their correlation with cognitive function. Sci Total Environ. 2020;700:134519.</w:t>
      </w:r>
      <w:r>
        <w:t xml:space="preserve"> </w:t>
      </w:r>
      <w:hyperlink r:id="rId148">
        <w:r>
          <w:rPr>
            <w:rStyle w:val="Hyperlink"/>
          </w:rPr>
          <w:t xml:space="preserve">https://doi.org/10.1016/j.scitotenv.2019.134519</w:t>
        </w:r>
      </w:hyperlink>
    </w:p>
    <w:bookmarkEnd w:id="149"/>
    <w:bookmarkStart w:id="151" w:name="X6bc65313eadd1b86059eb4ba10c8cf9d91be17d"/>
    <w:p>
      <w:pPr>
        <w:pStyle w:val="Bibliography"/>
      </w:pPr>
      <w:r>
        <w:t xml:space="preserve">50. Desrochers-Couture M, Oulhote Y, Arbuckle TE, Fraser WD, Séguin JR, Ouellet E, et al.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 Int. 2018;121:1235–42.</w:t>
      </w:r>
      <w:r>
        <w:t xml:space="preserve"> </w:t>
      </w:r>
      <w:hyperlink r:id="rId150">
        <w:r>
          <w:rPr>
            <w:rStyle w:val="Hyperlink"/>
          </w:rPr>
          <w:t xml:space="preserve">https://doi.org/10.1016/j.envint.2018.10.043</w:t>
        </w:r>
      </w:hyperlink>
    </w:p>
    <w:bookmarkEnd w:id="151"/>
    <w:bookmarkStart w:id="153" w:name="ref-lee2021PrenatalPostnatalExposures"/>
    <w:p>
      <w:pPr>
        <w:pStyle w:val="Bibliography"/>
      </w:pPr>
      <w:r>
        <w:t xml:space="preserve">51. Lee K-S, Kim K-N, Ahn YD, Choi Y-J, Cho J, Jang Y, et al.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 Int. 2021;157:106798.</w:t>
      </w:r>
      <w:r>
        <w:t xml:space="preserve"> </w:t>
      </w:r>
      <w:hyperlink r:id="rId152">
        <w:r>
          <w:rPr>
            <w:rStyle w:val="Hyperlink"/>
          </w:rPr>
          <w:t xml:space="preserve">https://doi.org/10.1016/j.envint.2021.106798</w:t>
        </w:r>
      </w:hyperlink>
    </w:p>
    <w:bookmarkEnd w:id="153"/>
    <w:bookmarkStart w:id="154" w:name="X33fe7de6e8b65c86af337dbdb8d7cc8651c48a8"/>
    <w:p>
      <w:pPr>
        <w:pStyle w:val="Bibliography"/>
      </w:pPr>
      <w:r>
        <w:t xml:space="preserve">52. 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 J Environ Res Public Health. 2018;15:2418.</w:t>
      </w:r>
    </w:p>
    <w:bookmarkEnd w:id="154"/>
    <w:bookmarkStart w:id="156" w:name="ref-smith2018StepAwayStepwise"/>
    <w:p>
      <w:pPr>
        <w:pStyle w:val="Bibliography"/>
      </w:pPr>
      <w:r>
        <w:t xml:space="preserve">53. Smith G. Step away from stepwise. J Big Data. 2018;5:32.</w:t>
      </w:r>
      <w:r>
        <w:t xml:space="preserve"> </w:t>
      </w:r>
      <w:hyperlink r:id="rId155">
        <w:r>
          <w:rPr>
            <w:rStyle w:val="Hyperlink"/>
          </w:rPr>
          <w:t xml:space="preserve">https://doi.org/10.1186/s40537-018-0143-6</w:t>
        </w:r>
      </w:hyperlink>
    </w:p>
    <w:bookmarkEnd w:id="156"/>
    <w:bookmarkStart w:id="158" w:name="ref-kazi2026PvaluesBayesFactor"/>
    <w:p>
      <w:pPr>
        <w:pStyle w:val="Bibliography"/>
      </w:pPr>
      <w:r>
        <w:t xml:space="preserve">54. Kazi M.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2026;17:241–8.</w:t>
      </w:r>
      <w:r>
        <w:t xml:space="preserve"> </w:t>
      </w:r>
      <w:hyperlink r:id="rId157">
        <w:r>
          <w:rPr>
            <w:rStyle w:val="Hyperlink"/>
          </w:rPr>
          <w:t xml:space="preserve">https://doi.org/10.1007/s13193-025-02314-8</w:t>
        </w:r>
      </w:hyperlink>
    </w:p>
    <w:bookmarkEnd w:id="158"/>
    <w:bookmarkStart w:id="160" w:name="X946754e67e3c74fad7a8806aa9d2819ed4ec186"/>
    <w:p>
      <w:pPr>
        <w:pStyle w:val="Bibliography"/>
      </w:pPr>
      <w:r>
        <w:t xml:space="preserve">55. Yao M, Deng K, Wang Y, Mei F, Zou K, Li L, et al. Random-effects meta-analysis models for pooling rare events data: A comparison between frequentist and bayesian methods. BMC Med Res Methodol. 2025;25:228.</w:t>
      </w:r>
      <w:r>
        <w:t xml:space="preserve"> </w:t>
      </w:r>
      <w:hyperlink r:id="rId159">
        <w:r>
          <w:rPr>
            <w:rStyle w:val="Hyperlink"/>
          </w:rPr>
          <w:t xml:space="preserve">https://doi.org/10.1186/s12874-025-02664-5</w:t>
        </w:r>
      </w:hyperlink>
    </w:p>
    <w:bookmarkEnd w:id="160"/>
    <w:bookmarkStart w:id="162" w:name="ref-ciyer2025BayesianMetaanalysis21st"/>
    <w:p>
      <w:pPr>
        <w:pStyle w:val="Bibliography"/>
      </w:pPr>
      <w:r>
        <w:t xml:space="preserve">56. C Iyer S, Yap QV, Soong J, Cove M. Bayesian meta-analysis in the 21st century:</w:t>
      </w:r>
      <w:r>
        <w:t xml:space="preserve"> </w:t>
      </w:r>
      <w:r>
        <w:t xml:space="preserve">Fad</w:t>
      </w:r>
      <w:r>
        <w:t xml:space="preserve"> </w:t>
      </w:r>
      <w:r>
        <w:t xml:space="preserve">or future of evidence synthesis? Ann Acad Med Singapore. 2025;54:437.</w:t>
      </w:r>
      <w:r>
        <w:t xml:space="preserve"> </w:t>
      </w:r>
      <w:hyperlink r:id="rId161">
        <w:r>
          <w:rPr>
            <w:rStyle w:val="Hyperlink"/>
          </w:rPr>
          <w:t xml:space="preserve">https://doi.org/10.47102/annals-acadmedsg.2025104</w:t>
        </w:r>
      </w:hyperlink>
    </w:p>
    <w:bookmarkEnd w:id="162"/>
    <w:bookmarkStart w:id="164" w:name="ref-hong2013ComparingBayesianFrequentist"/>
    <w:p>
      <w:pPr>
        <w:pStyle w:val="Bibliography"/>
      </w:pPr>
      <w:r>
        <w:t xml:space="preserve">57. Hong H, Carlin BP, Shamliyan TA, Wyman JF, Ramakrishnan R, Sainfort F, et al.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2013;33:702–14.</w:t>
      </w:r>
      <w:r>
        <w:t xml:space="preserve"> </w:t>
      </w:r>
      <w:hyperlink r:id="rId163">
        <w:r>
          <w:rPr>
            <w:rStyle w:val="Hyperlink"/>
          </w:rPr>
          <w:t xml:space="preserve">https://doi.org/10.1177/0272989X13481110</w:t>
        </w:r>
      </w:hyperlink>
    </w:p>
    <w:bookmarkEnd w:id="164"/>
    <w:bookmarkStart w:id="166" w:name="ref-sadeghirad2023TheoryPracticeBayesian"/>
    <w:p>
      <w:pPr>
        <w:pStyle w:val="Bibliography"/>
      </w:pPr>
      <w:r>
        <w:t xml:space="preserve">58. Sadeghirad B, Foroutan F, Zoratti MJ, Busse JW, Brignardello-Petersen R, Guyatt G, et al. Theory and practice of</w:t>
      </w:r>
      <w:r>
        <w:t xml:space="preserve"> </w:t>
      </w:r>
      <w:r>
        <w:t xml:space="preserve">Bayesian</w:t>
      </w:r>
      <w:r>
        <w:t xml:space="preserve"> </w:t>
      </w:r>
      <w:r>
        <w:t xml:space="preserve">and frequentist frameworks for network meta-analysis. BMJ Evid-Based Med. 2023;28:204–9.</w:t>
      </w:r>
      <w:r>
        <w:t xml:space="preserve"> </w:t>
      </w:r>
      <w:hyperlink r:id="rId165">
        <w:r>
          <w:rPr>
            <w:rStyle w:val="Hyperlink"/>
          </w:rPr>
          <w:t xml:space="preserve">https://doi.org/10.1136/bmjebm-2022-111928</w:t>
        </w:r>
      </w:hyperlink>
    </w:p>
    <w:bookmarkEnd w:id="166"/>
    <w:bookmarkStart w:id="168" w:name="X55ae1a8b757df519e0a47e2002b3acc0b2e73ec"/>
    <w:p>
      <w:pPr>
        <w:pStyle w:val="Bibliography"/>
      </w:pPr>
      <w:r>
        <w:t xml:space="preserve">59. Seide SE, Jensen K, Kieser M. A comparison of</w:t>
      </w:r>
      <w:r>
        <w:t xml:space="preserve"> </w:t>
      </w:r>
      <w:r>
        <w:t xml:space="preserve">Bayesian</w:t>
      </w:r>
      <w:r>
        <w:t xml:space="preserve"> </w:t>
      </w:r>
      <w:r>
        <w:t xml:space="preserve">and frequentist methods in random-effects network meta-analysis of binary data. Res Synth Methods. 2020;11:363–78.</w:t>
      </w:r>
      <w:r>
        <w:t xml:space="preserve"> </w:t>
      </w:r>
      <w:hyperlink r:id="rId167">
        <w:r>
          <w:rPr>
            <w:rStyle w:val="Hyperlink"/>
          </w:rPr>
          <w:t xml:space="preserve">https://doi.org/10.1002/jrsm.1397</w:t>
        </w:r>
      </w:hyperlink>
    </w:p>
    <w:bookmarkEnd w:id="168"/>
    <w:bookmarkStart w:id="170" w:name="ref-gelman2020BayesianWorkflow"/>
    <w:p>
      <w:pPr>
        <w:pStyle w:val="Bibliography"/>
      </w:pPr>
      <w:r>
        <w:t xml:space="preserve">60. Gelman A, Vehtari A, Simpson D, Margossian CC, Carpenter B, Yao Y, et al. Bayesian</w:t>
      </w:r>
      <w:r>
        <w:t xml:space="preserve"> </w:t>
      </w:r>
      <w:r>
        <w:t xml:space="preserve">Workflow</w:t>
      </w:r>
      <w:r>
        <w:t xml:space="preserve">. arXiv; 2020.</w:t>
      </w:r>
      <w:r>
        <w:t xml:space="preserve"> </w:t>
      </w:r>
      <w:hyperlink r:id="rId169">
        <w:r>
          <w:rPr>
            <w:rStyle w:val="Hyperlink"/>
          </w:rPr>
          <w:t xml:space="preserve">https://doi.org/10.48550/ARXIV.2011.01808</w:t>
        </w:r>
      </w:hyperlink>
    </w:p>
    <w:bookmarkEnd w:id="170"/>
    <w:bookmarkStart w:id="171" w:name="Xd915bcb040430c17655975a5ceb4d7b4bdd04ac"/>
    <w:p>
      <w:pPr>
        <w:pStyle w:val="Bibliography"/>
      </w:pPr>
      <w:r>
        <w:t xml:space="preserve">61. Prüss-Üstün A, Mathers C, Corvalán C, Woodward A. Assessing the environmental burden of disease at national and local levels: Introduction and methods. Environ burd dis ser. 2003;</w:t>
      </w:r>
    </w:p>
    <w:bookmarkEnd w:id="171"/>
    <w:bookmarkStart w:id="173" w:name="ref-goodman2023SexDifferencePre"/>
    <w:p>
      <w:pPr>
        <w:pStyle w:val="Bibliography"/>
      </w:pPr>
      <w:r>
        <w:t xml:space="preserve">62. Goodman CV, Green R, DaCosta A, Flora D, Lanphear B, Till C. Sex difference of pre- and post-natal exposure to six developmental neurotoxicants on intellectual abilities: A systematic review and meta-analysis of human studies. Environ Health. 2023;22:80.</w:t>
      </w:r>
      <w:r>
        <w:t xml:space="preserve"> </w:t>
      </w:r>
      <w:hyperlink r:id="rId172">
        <w:r>
          <w:rPr>
            <w:rStyle w:val="Hyperlink"/>
          </w:rPr>
          <w:t xml:space="preserve">https://doi.org/10.1186/s12940-023-01029-z</w:t>
        </w:r>
      </w:hyperlink>
    </w:p>
    <w:bookmarkEnd w:id="173"/>
    <w:bookmarkStart w:id="175" w:name="ref-pocock1994EnvironmentalLeadChildrens"/>
    <w:p>
      <w:pPr>
        <w:pStyle w:val="Bibliography"/>
      </w:pPr>
      <w:r>
        <w:t xml:space="preserve">63. Pocock SJ, Smith M, Baghurst P. Environmental lead and children’s intelligence: A systematic review of the epidemiological evidence. BMJ. British Medical Journal Publishing Group; 1994;309:1189–97.</w:t>
      </w:r>
      <w:r>
        <w:t xml:space="preserve"> </w:t>
      </w:r>
      <w:hyperlink r:id="rId174">
        <w:r>
          <w:rPr>
            <w:rStyle w:val="Hyperlink"/>
          </w:rPr>
          <w:t xml:space="preserve">https://doi.org/10.1136/bmj.309.6963.1189</w:t>
        </w:r>
      </w:hyperlink>
    </w:p>
    <w:bookmarkEnd w:id="175"/>
    <w:bookmarkStart w:id="177" w:name="ref-heidari2022EffectLeadExposurea"/>
    <w:p>
      <w:pPr>
        <w:pStyle w:val="Bibliography"/>
      </w:pPr>
      <w:r>
        <w:t xml:space="preserve">64. Heidari S, Mostafaei S, Razazian N, Rajati M, Saeedi A, Rajati F. The effect of lead exposure on</w:t>
      </w:r>
      <w:r>
        <w:t xml:space="preserve"> </w:t>
      </w:r>
      <w:r>
        <w:t xml:space="preserve">IQ</w:t>
      </w:r>
      <w:r>
        <w:t xml:space="preserve"> </w:t>
      </w:r>
      <w:r>
        <w:t xml:space="preserve">test scores in children under 12 years: A systematic review and meta-analysis of case-control studies. Syst Rev. 2022;11:106.</w:t>
      </w:r>
      <w:r>
        <w:t xml:space="preserve"> </w:t>
      </w:r>
      <w:hyperlink r:id="rId176">
        <w:r>
          <w:rPr>
            <w:rStyle w:val="Hyperlink"/>
          </w:rPr>
          <w:t xml:space="preserve">https://doi.org/10.1186/s13643-022-01963-y</w:t>
        </w:r>
      </w:hyperlink>
    </w:p>
    <w:bookmarkEnd w:id="177"/>
    <w:bookmarkStart w:id="179" w:name="X99fa6bd9cd2521340285769f289a6c9d4bfe17b"/>
    <w:p>
      <w:pPr>
        <w:pStyle w:val="Bibliography"/>
      </w:pPr>
      <w:r>
        <w:t xml:space="preserve">65. Thompson B.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 Psychol Meas. 1995;55:525–34.</w:t>
      </w:r>
      <w:r>
        <w:t xml:space="preserve"> </w:t>
      </w:r>
      <w:hyperlink r:id="rId178">
        <w:r>
          <w:rPr>
            <w:rStyle w:val="Hyperlink"/>
          </w:rPr>
          <w:t xml:space="preserve">https://doi.org/10.1177/0013164495055004001</w:t>
        </w:r>
      </w:hyperlink>
    </w:p>
    <w:bookmarkEnd w:id="179"/>
    <w:bookmarkStart w:id="181" w:name="Xec30ec7c912152a14c0f622040312567154bf15"/>
    <w:p>
      <w:pPr>
        <w:pStyle w:val="Bibliography"/>
      </w:pPr>
      <w:r>
        <w:t xml:space="preserve">66. Harrell FE.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Cham: Springer International Publishing; 2015.</w:t>
      </w:r>
      <w:r>
        <w:t xml:space="preserve"> </w:t>
      </w:r>
      <w:hyperlink r:id="rId180">
        <w:r>
          <w:rPr>
            <w:rStyle w:val="Hyperlink"/>
          </w:rPr>
          <w:t xml:space="preserve">https://doi.org/10.1007/978-3-319-19425-7</w:t>
        </w:r>
      </w:hyperlink>
    </w:p>
    <w:bookmarkEnd w:id="181"/>
    <w:bookmarkEnd w:id="182"/>
    <w:bookmarkEnd w:id="183"/>
    <w:sectPr>
      <w:footerReference r:id="rId3"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14" Target="media/rId14.png" /><Relationship Type="http://schemas.openxmlformats.org/officeDocument/2006/relationships/hyperlink" Id="rId83" Target="https://doi.org/10.1001/jama.1990.03440050067035" TargetMode="External" /><Relationship Type="http://schemas.openxmlformats.org/officeDocument/2006/relationships/hyperlink" Id="rId167" Target="https://doi.org/10.1002/jrsm.1397" TargetMode="External" /><Relationship Type="http://schemas.openxmlformats.org/officeDocument/2006/relationships/hyperlink" Id="rId132" Target="https://doi.org/10.1002/sim.791" TargetMode="External" /><Relationship Type="http://schemas.openxmlformats.org/officeDocument/2006/relationships/hyperlink" Id="rId94" Target="https://doi.org/10.1006/enrs.1994.1020" TargetMode="External" /><Relationship Type="http://schemas.openxmlformats.org/officeDocument/2006/relationships/hyperlink" Id="rId180"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157" Target="https://doi.org/10.1007/s13193-025-02314-8" TargetMode="External" /><Relationship Type="http://schemas.openxmlformats.org/officeDocument/2006/relationships/hyperlink" Id="rId65" Target="https://doi.org/10.1016/S0140-6736(25)01637-X"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150" Target="https://doi.org/10.1016/j.envint.2018.10.043" TargetMode="External" /><Relationship Type="http://schemas.openxmlformats.org/officeDocument/2006/relationships/hyperlink" Id="rId152" Target="https://doi.org/10.1016/j.envint.2021.106798"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42" Target="https://doi.org/10.1016/j.envres.2012.08.003" TargetMode="External" /><Relationship Type="http://schemas.openxmlformats.org/officeDocument/2006/relationships/hyperlink" Id="rId98" Target="https://doi.org/10.1016/j.envres.2019.02.023" TargetMode="External" /><Relationship Type="http://schemas.openxmlformats.org/officeDocument/2006/relationships/hyperlink" Id="rId100" Target="https://doi.org/10.1016/j.envres.2024.120013" TargetMode="External" /><Relationship Type="http://schemas.openxmlformats.org/officeDocument/2006/relationships/hyperlink" Id="rId146" Target="https://doi.org/10.1016/j.neuro.2013.05.005" TargetMode="External" /><Relationship Type="http://schemas.openxmlformats.org/officeDocument/2006/relationships/hyperlink" Id="rId148" Target="https://doi.org/10.1016/j.scitotenv.2019.134519" TargetMode="External" /><Relationship Type="http://schemas.openxmlformats.org/officeDocument/2006/relationships/hyperlink" Id="rId121" Target="https://doi.org/10.1038/s41370-022-00450-9" TargetMode="External" /><Relationship Type="http://schemas.openxmlformats.org/officeDocument/2006/relationships/hyperlink" Id="rId114"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6" Target="https://doi.org/10.1056/NEJMoa022848" TargetMode="External" /><Relationship Type="http://schemas.openxmlformats.org/officeDocument/2006/relationships/hyperlink" Id="rId102" Target="https://doi.org/10.1073/pnas.2118631119" TargetMode="External" /><Relationship Type="http://schemas.openxmlformats.org/officeDocument/2006/relationships/hyperlink" Id="rId136" Target="https://doi.org/10.1111/ajpy.12096" TargetMode="External" /><Relationship Type="http://schemas.openxmlformats.org/officeDocument/2006/relationships/hyperlink" Id="rId174" Target="https://doi.org/10.1136/bmj.309.6963.1189" TargetMode="External" /><Relationship Type="http://schemas.openxmlformats.org/officeDocument/2006/relationships/hyperlink" Id="rId112" Target="https://doi.org/10.1136/bmj.n71" TargetMode="External" /><Relationship Type="http://schemas.openxmlformats.org/officeDocument/2006/relationships/hyperlink" Id="rId165" Target="https://doi.org/10.1136/bmjebm-2022-111928" TargetMode="External" /><Relationship Type="http://schemas.openxmlformats.org/officeDocument/2006/relationships/hyperlink" Id="rId71" Target="https://doi.org/10.1161/JAHA.124.037633" TargetMode="External" /><Relationship Type="http://schemas.openxmlformats.org/officeDocument/2006/relationships/hyperlink" Id="rId178" Target="https://doi.org/10.1177/0013164495055004001" TargetMode="External" /><Relationship Type="http://schemas.openxmlformats.org/officeDocument/2006/relationships/hyperlink" Id="rId163" Target="https://doi.org/10.1177/0272989X13481110" TargetMode="External" /><Relationship Type="http://schemas.openxmlformats.org/officeDocument/2006/relationships/hyperlink" Id="rId159" Target="https://doi.org/10.1186/s12874-025-02664-5" TargetMode="External" /><Relationship Type="http://schemas.openxmlformats.org/officeDocument/2006/relationships/hyperlink" Id="rId144" Target="https://doi.org/10.1186/s12940-019-0505-3" TargetMode="External" /><Relationship Type="http://schemas.openxmlformats.org/officeDocument/2006/relationships/hyperlink" Id="rId172" Target="https://doi.org/10.1186/s12940-023-01029-z" TargetMode="External" /><Relationship Type="http://schemas.openxmlformats.org/officeDocument/2006/relationships/hyperlink" Id="rId176" Target="https://doi.org/10.1186/s13643-022-01963-y" TargetMode="External" /><Relationship Type="http://schemas.openxmlformats.org/officeDocument/2006/relationships/hyperlink" Id="rId155" Target="https://doi.org/10.1186/s40537-018-0143-6" TargetMode="External" /><Relationship Type="http://schemas.openxmlformats.org/officeDocument/2006/relationships/hyperlink" Id="rId108" Target="https://doi.org/10.1201/9781003375821" TargetMode="External" /><Relationship Type="http://schemas.openxmlformats.org/officeDocument/2006/relationships/hyperlink" Id="rId106" Target="https://doi.org/10.1289/EHP5685" TargetMode="External" /><Relationship Type="http://schemas.openxmlformats.org/officeDocument/2006/relationships/hyperlink" Id="rId138" Target="https://doi.org/10.1289/EHP6803" TargetMode="External" /><Relationship Type="http://schemas.openxmlformats.org/officeDocument/2006/relationships/hyperlink" Id="rId140" Target="https://doi.org/10.1289/ehp.1307420" TargetMode="External" /><Relationship Type="http://schemas.openxmlformats.org/officeDocument/2006/relationships/hyperlink" Id="rId123" Target="https://doi.org/10.1289/ehp.7625" TargetMode="External" /><Relationship Type="http://schemas.openxmlformats.org/officeDocument/2006/relationships/hyperlink" Id="rId87" Target="https://doi.org/10.1289/ehp.7688" TargetMode="External" /><Relationship Type="http://schemas.openxmlformats.org/officeDocument/2006/relationships/hyperlink" Id="rId125"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4" Target="https://doi.org/10.18637/jss.v036.i03" TargetMode="External" /><Relationship Type="http://schemas.openxmlformats.org/officeDocument/2006/relationships/hyperlink" Id="rId129" Target="https://doi.org/10.18637/jss.v080.i01" TargetMode="External" /><Relationship Type="http://schemas.openxmlformats.org/officeDocument/2006/relationships/hyperlink" Id="rId92"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19" Target="https://doi.org/10.2903/sp.efsa.2024.EN-8925" TargetMode="External" /><Relationship Type="http://schemas.openxmlformats.org/officeDocument/2006/relationships/hyperlink" Id="rId104" Target="https://doi.org/10.3109/10408444.2013.832726" TargetMode="External" /><Relationship Type="http://schemas.openxmlformats.org/officeDocument/2006/relationships/hyperlink" Id="rId110" Target="https://doi.org/10.3758/s13423-013-0572-3" TargetMode="External" /><Relationship Type="http://schemas.openxmlformats.org/officeDocument/2006/relationships/hyperlink" Id="rId161" Target="https://doi.org/10.47102/annals-acadmedsg.2025104" TargetMode="External" /><Relationship Type="http://schemas.openxmlformats.org/officeDocument/2006/relationships/hyperlink" Id="rId169" Target="https://doi.org/10.48550/ARXIV.2011.01808" TargetMode="External" /><Relationship Type="http://schemas.openxmlformats.org/officeDocument/2006/relationships/hyperlink" Id="rId50" Target="https://github.com/PaulinaSell/lead-IQ_meta-analysis" TargetMode="External" /><Relationship Type="http://schemas.openxmlformats.org/officeDocument/2006/relationships/hyperlink" Id="rId116" Target="https://www.eu-parc.eu" TargetMode="External" /><Relationship Type="http://schemas.openxmlformats.org/officeDocument/2006/relationships/hyperlink" Id="rId12"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1/jama.1990.03440050067035" TargetMode="External" /><Relationship Type="http://schemas.openxmlformats.org/officeDocument/2006/relationships/hyperlink" Id="rId167" Target="https://doi.org/10.1002/jrsm.1397" TargetMode="External" /><Relationship Type="http://schemas.openxmlformats.org/officeDocument/2006/relationships/hyperlink" Id="rId132" Target="https://doi.org/10.1002/sim.791" TargetMode="External" /><Relationship Type="http://schemas.openxmlformats.org/officeDocument/2006/relationships/hyperlink" Id="rId94" Target="https://doi.org/10.1006/enrs.1994.1020" TargetMode="External" /><Relationship Type="http://schemas.openxmlformats.org/officeDocument/2006/relationships/hyperlink" Id="rId180"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157" Target="https://doi.org/10.1007/s13193-025-02314-8" TargetMode="External" /><Relationship Type="http://schemas.openxmlformats.org/officeDocument/2006/relationships/hyperlink" Id="rId65" Target="https://doi.org/10.1016/S0140-6736(25)01637-X"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150" Target="https://doi.org/10.1016/j.envint.2018.10.043" TargetMode="External" /><Relationship Type="http://schemas.openxmlformats.org/officeDocument/2006/relationships/hyperlink" Id="rId152" Target="https://doi.org/10.1016/j.envint.2021.106798"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42" Target="https://doi.org/10.1016/j.envres.2012.08.003" TargetMode="External" /><Relationship Type="http://schemas.openxmlformats.org/officeDocument/2006/relationships/hyperlink" Id="rId98" Target="https://doi.org/10.1016/j.envres.2019.02.023" TargetMode="External" /><Relationship Type="http://schemas.openxmlformats.org/officeDocument/2006/relationships/hyperlink" Id="rId100" Target="https://doi.org/10.1016/j.envres.2024.120013" TargetMode="External" /><Relationship Type="http://schemas.openxmlformats.org/officeDocument/2006/relationships/hyperlink" Id="rId146" Target="https://doi.org/10.1016/j.neuro.2013.05.005" TargetMode="External" /><Relationship Type="http://schemas.openxmlformats.org/officeDocument/2006/relationships/hyperlink" Id="rId148" Target="https://doi.org/10.1016/j.scitotenv.2019.134519" TargetMode="External" /><Relationship Type="http://schemas.openxmlformats.org/officeDocument/2006/relationships/hyperlink" Id="rId121" Target="https://doi.org/10.1038/s41370-022-00450-9" TargetMode="External" /><Relationship Type="http://schemas.openxmlformats.org/officeDocument/2006/relationships/hyperlink" Id="rId114"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6" Target="https://doi.org/10.1056/NEJMoa022848" TargetMode="External" /><Relationship Type="http://schemas.openxmlformats.org/officeDocument/2006/relationships/hyperlink" Id="rId102" Target="https://doi.org/10.1073/pnas.2118631119" TargetMode="External" /><Relationship Type="http://schemas.openxmlformats.org/officeDocument/2006/relationships/hyperlink" Id="rId136" Target="https://doi.org/10.1111/ajpy.12096" TargetMode="External" /><Relationship Type="http://schemas.openxmlformats.org/officeDocument/2006/relationships/hyperlink" Id="rId174" Target="https://doi.org/10.1136/bmj.309.6963.1189" TargetMode="External" /><Relationship Type="http://schemas.openxmlformats.org/officeDocument/2006/relationships/hyperlink" Id="rId112" Target="https://doi.org/10.1136/bmj.n71" TargetMode="External" /><Relationship Type="http://schemas.openxmlformats.org/officeDocument/2006/relationships/hyperlink" Id="rId165" Target="https://doi.org/10.1136/bmjebm-2022-111928" TargetMode="External" /><Relationship Type="http://schemas.openxmlformats.org/officeDocument/2006/relationships/hyperlink" Id="rId71" Target="https://doi.org/10.1161/JAHA.124.037633" TargetMode="External" /><Relationship Type="http://schemas.openxmlformats.org/officeDocument/2006/relationships/hyperlink" Id="rId178" Target="https://doi.org/10.1177/0013164495055004001" TargetMode="External" /><Relationship Type="http://schemas.openxmlformats.org/officeDocument/2006/relationships/hyperlink" Id="rId163" Target="https://doi.org/10.1177/0272989X13481110" TargetMode="External" /><Relationship Type="http://schemas.openxmlformats.org/officeDocument/2006/relationships/hyperlink" Id="rId159" Target="https://doi.org/10.1186/s12874-025-02664-5" TargetMode="External" /><Relationship Type="http://schemas.openxmlformats.org/officeDocument/2006/relationships/hyperlink" Id="rId144" Target="https://doi.org/10.1186/s12940-019-0505-3" TargetMode="External" /><Relationship Type="http://schemas.openxmlformats.org/officeDocument/2006/relationships/hyperlink" Id="rId172" Target="https://doi.org/10.1186/s12940-023-01029-z" TargetMode="External" /><Relationship Type="http://schemas.openxmlformats.org/officeDocument/2006/relationships/hyperlink" Id="rId176" Target="https://doi.org/10.1186/s13643-022-01963-y" TargetMode="External" /><Relationship Type="http://schemas.openxmlformats.org/officeDocument/2006/relationships/hyperlink" Id="rId155" Target="https://doi.org/10.1186/s40537-018-0143-6" TargetMode="External" /><Relationship Type="http://schemas.openxmlformats.org/officeDocument/2006/relationships/hyperlink" Id="rId108" Target="https://doi.org/10.1201/9781003375821" TargetMode="External" /><Relationship Type="http://schemas.openxmlformats.org/officeDocument/2006/relationships/hyperlink" Id="rId106" Target="https://doi.org/10.1289/EHP5685" TargetMode="External" /><Relationship Type="http://schemas.openxmlformats.org/officeDocument/2006/relationships/hyperlink" Id="rId138" Target="https://doi.org/10.1289/EHP6803" TargetMode="External" /><Relationship Type="http://schemas.openxmlformats.org/officeDocument/2006/relationships/hyperlink" Id="rId140" Target="https://doi.org/10.1289/ehp.1307420" TargetMode="External" /><Relationship Type="http://schemas.openxmlformats.org/officeDocument/2006/relationships/hyperlink" Id="rId123" Target="https://doi.org/10.1289/ehp.7625" TargetMode="External" /><Relationship Type="http://schemas.openxmlformats.org/officeDocument/2006/relationships/hyperlink" Id="rId87" Target="https://doi.org/10.1289/ehp.7688" TargetMode="External" /><Relationship Type="http://schemas.openxmlformats.org/officeDocument/2006/relationships/hyperlink" Id="rId125"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4" Target="https://doi.org/10.18637/jss.v036.i03" TargetMode="External" /><Relationship Type="http://schemas.openxmlformats.org/officeDocument/2006/relationships/hyperlink" Id="rId129" Target="https://doi.org/10.18637/jss.v080.i01" TargetMode="External" /><Relationship Type="http://schemas.openxmlformats.org/officeDocument/2006/relationships/hyperlink" Id="rId92"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19" Target="https://doi.org/10.2903/sp.efsa.2024.EN-8925" TargetMode="External" /><Relationship Type="http://schemas.openxmlformats.org/officeDocument/2006/relationships/hyperlink" Id="rId104" Target="https://doi.org/10.3109/10408444.2013.832726" TargetMode="External" /><Relationship Type="http://schemas.openxmlformats.org/officeDocument/2006/relationships/hyperlink" Id="rId110" Target="https://doi.org/10.3758/s13423-013-0572-3" TargetMode="External" /><Relationship Type="http://schemas.openxmlformats.org/officeDocument/2006/relationships/hyperlink" Id="rId161" Target="https://doi.org/10.47102/annals-acadmedsg.2025104" TargetMode="External" /><Relationship Type="http://schemas.openxmlformats.org/officeDocument/2006/relationships/hyperlink" Id="rId169" Target="https://doi.org/10.48550/ARXIV.2011.01808" TargetMode="External" /><Relationship Type="http://schemas.openxmlformats.org/officeDocument/2006/relationships/hyperlink" Id="rId50" Target="https://github.com/PaulinaSell/lead-IQ_meta-analysis" TargetMode="External" /><Relationship Type="http://schemas.openxmlformats.org/officeDocument/2006/relationships/hyperlink" Id="rId116" Target="https://www.eu-parc.eu" TargetMode="External" /><Relationship Type="http://schemas.openxmlformats.org/officeDocument/2006/relationships/hyperlink" Id="rId12"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practical comparison of Bayesian and frequentist meta-analytic frameworks applied to lead exposure and children’s IQ</dc:title>
  <dc:creator>Paulina Sell1,✉, Margaux Sanchez2, Philippe Palmont2, Simon Steiger3, and Dietrich Plass1</dc:creator>
  <cp:keywords/>
  <dcterms:created xsi:type="dcterms:W3CDTF">2026-08-03T12:49:11Z</dcterms:created>
  <dcterms:modified xsi:type="dcterms:W3CDTF">2026-08-03T12:49:11Z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sl">
    <vt:lpwstr>springer-vancouver-brackets.csl</vt:lpwstr>
  </property>
  <property fmtid="{D5CDD505-2E9C-101B-9397-08002B2CF9AE}" pid="8" name="date-format">
    <vt:lpwstr>D MMMM YYYY</vt:lpwstr>
  </property>
  <property fmtid="{D5CDD505-2E9C-101B-9397-08002B2CF9AE}" pid="9" name="date-modified">
    <vt:lpwstr>3 August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out-width">
    <vt:lpwstr>40%</vt:lpwstr>
  </property>
  <property fmtid="{D5CDD505-2E9C-101B-9397-08002B2CF9AE}" pid="16" name="reference-section-title">
    <vt:lpwstr>References</vt:lpwstr>
  </property>
  <property fmtid="{D5CDD505-2E9C-101B-9397-08002B2CF9AE}" pid="17" name="toc-title">
    <vt:lpwstr>Table of contents</vt:lpwstr>
  </property>
</Properties>
</file>