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13"/>
    <w:bookmarkStart w:id="14"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r>
        <w:t xml:space="preserve"> </w:t>
      </w:r>
    </w:p>
    <w:p>
      <w:pPr>
        <w:pStyle w:val="Compact"/>
        <w:numPr>
          <w:ilvl w:val="0"/>
          <w:numId w:val="1001"/>
        </w:numPr>
      </w:pPr>
      <w:r>
        <w:t xml:space="preserve">Bayesian model yields full probability distributions, not just point estimates</w:t>
      </w:r>
      <w:r>
        <w:t xml:space="preserve"> </w:t>
      </w:r>
    </w:p>
    <w:p>
      <w:pPr>
        <w:pStyle w:val="Compact"/>
        <w:numPr>
          <w:ilvl w:val="0"/>
          <w:numId w:val="1001"/>
        </w:numPr>
      </w:pPr>
      <w:r>
        <w:t xml:space="preserve">Results underscore health risk of lead exposure, even in low concentration</w:t>
      </w:r>
    </w:p>
    <w:bookmarkEnd w:id="14"/>
    <w:bookmarkStart w:id="18" w:name="graphical-abstract"/>
    <w:p>
      <w:pPr>
        <w:pStyle w:val="Heading1"/>
      </w:pPr>
      <w:r>
        <w:t xml:space="preserve">Graphical abstract</w:t>
      </w:r>
    </w:p>
    <w:p>
      <w:pPr>
        <w:pStyle w:val="FirstParagraph"/>
      </w:pPr>
      <w:r>
        <w:drawing>
          <wp:inline>
            <wp:extent cx="5943600" cy="3530498"/>
            <wp:effectExtent b="0" l="0" r="0" t="0"/>
            <wp:docPr descr="" title="" id="16" name="Picture"/>
            <a:graphic>
              <a:graphicData uri="http://schemas.openxmlformats.org/drawingml/2006/picture">
                <pic:pic>
                  <pic:nvPicPr>
                    <pic:cNvPr descr="tables_figures/main/graphical_abstract.png" id="17" name="Picture"/>
                    <pic:cNvPicPr>
                      <a:picLocks noChangeArrowheads="1" noChangeAspect="1"/>
                    </pic:cNvPicPr>
                  </pic:nvPicPr>
                  <pic:blipFill>
                    <a:blip r:embed="rId15"/>
                    <a:stretch>
                      <a:fillRect/>
                    </a:stretch>
                  </pic:blipFill>
                  <pic:spPr bwMode="auto">
                    <a:xfrm>
                      <a:off x="0" y="0"/>
                      <a:ext cx="5943600" cy="3530498"/>
                    </a:xfrm>
                    <a:prstGeom prst="rect">
                      <a:avLst/>
                    </a:prstGeom>
                    <a:noFill/>
                    <a:ln w="9525">
                      <a:noFill/>
                      <a:headEnd/>
                      <a:tailEnd/>
                    </a:ln>
                  </pic:spPr>
                </pic:pic>
              </a:graphicData>
            </a:graphic>
          </wp:inline>
        </w:drawing>
      </w:r>
    </w:p>
    <w:bookmarkEnd w:id="18"/>
    <w:bookmarkStart w:id="19"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19"/>
    <w:bookmarkStart w:id="20"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w:t>
      </w:r>
      <w:r>
        <w:t xml:space="preserve">Lacerda et al.</w:t>
      </w:r>
      <w:r>
        <w:t xml:space="preserve">,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0"/>
    <w:bookmarkStart w:id="33" w:name="methods"/>
    <w:p>
      <w:pPr>
        <w:pStyle w:val="Heading1"/>
      </w:pPr>
      <w:r>
        <w:t xml:space="preserve">2. Methods</w:t>
      </w:r>
    </w:p>
    <w:bookmarkStart w:id="22"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1">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(NTP OHAT, 2019)</w:t>
      </w:r>
      <w:r>
        <w:t xml:space="preserve">.</w:t>
      </w:r>
      <w:r>
        <w:t xml:space="preserve"> </w:t>
      </w:r>
      <w:r>
        <w:t xml:space="preserve">For all included studies, effect estimates from the most-adjusted model were extracted and the adjustment set was recorded.</w:t>
      </w:r>
    </w:p>
    <w:bookmarkEnd w:id="22"/>
    <w:bookmarkStart w:id="23"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3"/>
    <w:bookmarkStart w:id="25"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24"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4"/>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5"/>
    <w:bookmarkStart w:id="31"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26">
        <w:r>
          <w:rPr>
            <w:rStyle w:val="Hyperlink"/>
          </w:rPr>
          <w:t xml:space="preserve">github.com/PaulinaSell/lead-IQ_meta-analysis</w:t>
        </w:r>
      </w:hyperlink>
      <w:r>
        <w:t xml:space="preserve">.</w:t>
      </w:r>
    </w:p>
    <w:bookmarkStart w:id="29"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7"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7"/>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8"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8"/>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9"/>
    <w:bookmarkStart w:id="30"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(Wolfgang 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0"/>
    <w:bookmarkEnd w:id="31"/>
    <w:bookmarkStart w:id="3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32"/>
    <w:bookmarkEnd w:id="33"/>
    <w:bookmarkStart w:id="44" w:name="results"/>
    <w:p>
      <w:pPr>
        <w:pStyle w:val="Heading1"/>
      </w:pPr>
      <w:r>
        <w:t xml:space="preserve">3. Results</w:t>
      </w:r>
    </w:p>
    <w:bookmarkStart w:id="37"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257586"/>
            <wp:effectExtent b="0" l="0" r="0" t="0"/>
            <wp:docPr descr="Fig. 1: PRISMA flow diagram. BLL, blood lead level; Pb, lead; Hg, mercury" title="" id="35" name="Picture"/>
            <a:graphic>
              <a:graphicData uri="http://schemas.openxmlformats.org/drawingml/2006/picture">
                <pic:pic>
                  <pic:nvPicPr>
                    <pic:cNvPr descr="tables_figures/main/figure1.png" id="36" name="Picture"/>
                    <pic:cNvPicPr>
                      <a:picLocks noChangeArrowheads="1" noChangeAspect="1"/>
                    </pic:cNvPicPr>
                  </pic:nvPicPr>
                  <pic:blipFill>
                    <a:blip r:embed="rId34"/>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7"/>
    <w:bookmarkStart w:id="38"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38"/>
    <w:bookmarkStart w:id="42"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0" name="Picture"/>
            <a:graphic>
              <a:graphicData uri="http://schemas.openxmlformats.org/drawingml/2006/picture">
                <pic:pic>
                  <pic:nvPicPr>
                    <pic:cNvPr descr="tables_figures/main/figure2.png" id="41" name="Picture"/>
                    <pic:cNvPicPr>
                      <a:picLocks noChangeArrowheads="1" noChangeAspect="1"/>
                    </pic:cNvPicPr>
                  </pic:nvPicPr>
                  <pic:blipFill>
                    <a:blip r:embed="rId39"/>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42"/>
    <w:bookmarkStart w:id="43"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w:t>
      </w:r>
    </w:p>
    <w:bookmarkEnd w:id="43"/>
    <w:bookmarkEnd w:id="44"/>
    <w:bookmarkStart w:id="45"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as the results of individual studies with large uncertainty are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45"/>
    <w:bookmarkStart w:id="46"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6"/>
    <w:bookmarkStart w:id="47"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7"/>
    <w:bookmarkStart w:id="48"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48"/>
    <w:bookmarkStart w:id="49"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9"/>
    <w:bookmarkStart w:id="50"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0"/>
    <w:bookmarkStart w:id="5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the large language model Claude Sonnet 4.6 (Anthropic) in order to assist in the risk of bias assessment of the studies included in the literature review and assess language and grammar throughout the manuscript.</w:t>
      </w:r>
      <w:r>
        <w:t xml:space="preserve"> </w:t>
      </w:r>
      <w:r>
        <w:t xml:space="preserve">After using this tool, the authors reviewed and edited the content as needed and take full responsibility for the content of the published article.</w:t>
      </w:r>
    </w:p>
    <w:bookmarkEnd w:id="51"/>
    <w:bookmarkStart w:id="175" w:name="bibliography"/>
    <w:p>
      <w:pPr>
        <w:pStyle w:val="Heading1"/>
      </w:pPr>
      <w:r>
        <w:t xml:space="preserve">References</w:t>
      </w:r>
    </w:p>
    <w:bookmarkStart w:id="174" w:name="refs"/>
    <w:bookmarkStart w:id="53"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2">
        <w:r>
          <w:rPr>
            <w:rStyle w:val="Hyperlink"/>
          </w:rPr>
          <w:t xml:space="preserve">https://doi.org/10.1056/NEJM199210293271805</w:t>
        </w:r>
      </w:hyperlink>
    </w:p>
    <w:bookmarkEnd w:id="53"/>
    <w:bookmarkStart w:id="55" w:name="ref-bauer2020AssociationsMetalMixture"/>
    <w:p>
      <w:pPr>
        <w:pStyle w:val="Bibliography"/>
      </w:pPr>
      <w:r>
        <w:t xml:space="preserve">Bauer, J.A., Devick, K.L., Bobb, J.F., Coull, B.A., Bellinger, D., Benedetti, C., Cagna, G., Fedrighi, C., Guazzetti, S., Oppini, M., et al.,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54">
        <w:r>
          <w:rPr>
            <w:rStyle w:val="Hyperlink"/>
          </w:rPr>
          <w:t xml:space="preserve">https://doi.org/doi:10.1289/EHP6803</w:t>
        </w:r>
      </w:hyperlink>
    </w:p>
    <w:bookmarkEnd w:id="55"/>
    <w:bookmarkStart w:id="57"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56">
        <w:r>
          <w:rPr>
            <w:rStyle w:val="Hyperlink"/>
          </w:rPr>
          <w:t xml:space="preserve">https://doi.org/10.1542/peds.90.6.855</w:t>
        </w:r>
      </w:hyperlink>
    </w:p>
    <w:bookmarkEnd w:id="57"/>
    <w:bookmarkStart w:id="59"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58">
        <w:r>
          <w:rPr>
            <w:rStyle w:val="Hyperlink"/>
          </w:rPr>
          <w:t xml:space="preserve">https://doi.org/10.18637/jss.v080.i01</w:t>
        </w:r>
      </w:hyperlink>
    </w:p>
    <w:bookmarkEnd w:id="59"/>
    <w:bookmarkStart w:id="61"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0">
        <w:r>
          <w:rPr>
            <w:rStyle w:val="Hyperlink"/>
          </w:rPr>
          <w:t xml:space="preserve">https://doi.org/10.47102/annals-acadmedsg.2025104</w:t>
        </w:r>
      </w:hyperlink>
    </w:p>
    <w:bookmarkEnd w:id="61"/>
    <w:bookmarkStart w:id="63"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62">
        <w:r>
          <w:rPr>
            <w:rStyle w:val="Hyperlink"/>
          </w:rPr>
          <w:t xml:space="preserve">https://doi.org/10.1056/NEJMoa022848</w:t>
        </w:r>
      </w:hyperlink>
    </w:p>
    <w:bookmarkEnd w:id="63"/>
    <w:bookmarkStart w:id="65"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64">
        <w:r>
          <w:rPr>
            <w:rStyle w:val="Hyperlink"/>
          </w:rPr>
          <w:t xml:space="preserve">https://doi.org/10.1016/j.envres.2019.02.023</w:t>
        </w:r>
      </w:hyperlink>
    </w:p>
    <w:bookmarkEnd w:id="65"/>
    <w:bookmarkStart w:id="67"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66">
        <w:r>
          <w:rPr>
            <w:rStyle w:val="Hyperlink"/>
          </w:rPr>
          <w:t xml:space="preserve">https://doi.org/10.1016/j.envres.2005.10.004</w:t>
        </w:r>
      </w:hyperlink>
    </w:p>
    <w:bookmarkEnd w:id="67"/>
    <w:bookmarkStart w:id="69"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68">
        <w:r>
          <w:rPr>
            <w:rStyle w:val="Hyperlink"/>
          </w:rPr>
          <w:t xml:space="preserve">https://doi.org/doi:10.1289/ehp.7625</w:t>
        </w:r>
      </w:hyperlink>
    </w:p>
    <w:bookmarkEnd w:id="69"/>
    <w:bookmarkStart w:id="71"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0">
        <w:r>
          <w:rPr>
            <w:rStyle w:val="Hyperlink"/>
          </w:rPr>
          <w:t xml:space="preserve">https://doi.org/10.3109/10408444.2013.832726</w:t>
        </w:r>
      </w:hyperlink>
    </w:p>
    <w:bookmarkEnd w:id="71"/>
    <w:bookmarkStart w:id="73"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72">
        <w:r>
          <w:rPr>
            <w:rStyle w:val="Hyperlink"/>
          </w:rPr>
          <w:t xml:space="preserve">https://doi.org/10.1016/j.scitotenv.2019.134519</w:t>
        </w:r>
      </w:hyperlink>
    </w:p>
    <w:bookmarkEnd w:id="73"/>
    <w:bookmarkStart w:id="75" w:name="X6bc65313eadd1b86059eb4ba10c8cf9d91be17d"/>
    <w:p>
      <w:pPr>
        <w:pStyle w:val="Bibliography"/>
      </w:pPr>
      <w:r>
        <w:t xml:space="preserve">Desrochers-Couture, M., Oulhote, Y., Arbuckle, T.E., Fraser, W.D., Séguin, J.R., Ouellet, E., Forget-Dubois, N., Ayotte, P., Boivin, M., Lanphear, B.P., et al.,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74">
        <w:r>
          <w:rPr>
            <w:rStyle w:val="Hyperlink"/>
          </w:rPr>
          <w:t xml:space="preserve">https://doi.org/10.1016/j.envint.2018.10.043</w:t>
        </w:r>
      </w:hyperlink>
    </w:p>
    <w:bookmarkEnd w:id="75"/>
    <w:bookmarkStart w:id="77" w:name="Xadfdab0209e4a364d9fdcffecfddb00700d2db9"/>
    <w:p>
      <w:pPr>
        <w:pStyle w:val="Bibliography"/>
      </w:pPr>
      <w:r>
        <w:t xml:space="preserve">Dimitrov, L.V., Kaminski, J.W., Holbrook, J.R., Bitsko, R.H., Yeh, M., Courtney, J.G., O’Masta, B., Maher, B., Cerles, A., McGowan, K., et al.,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76">
        <w:r>
          <w:rPr>
            <w:rStyle w:val="Hyperlink"/>
          </w:rPr>
          <w:t xml:space="preserve">https://doi.org/10.1007/s11121-023-01601-6</w:t>
        </w:r>
      </w:hyperlink>
    </w:p>
    <w:bookmarkEnd w:id="77"/>
    <w:bookmarkStart w:id="79"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78">
        <w:r>
          <w:rPr>
            <w:rStyle w:val="Hyperlink"/>
          </w:rPr>
          <w:t xml:space="preserve">https://doi.org/10.1111/ajpy.12096</w:t>
        </w:r>
      </w:hyperlink>
    </w:p>
    <w:bookmarkEnd w:id="79"/>
    <w:bookmarkStart w:id="81"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0">
        <w:r>
          <w:rPr>
            <w:rStyle w:val="Hyperlink"/>
          </w:rPr>
          <w:t xml:space="preserve">https://doi.org/10.2903/j.efsa.2012.2831</w:t>
        </w:r>
      </w:hyperlink>
    </w:p>
    <w:bookmarkEnd w:id="81"/>
    <w:bookmarkStart w:id="83"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82">
        <w:r>
          <w:rPr>
            <w:rStyle w:val="Hyperlink"/>
          </w:rPr>
          <w:t xml:space="preserve">https://doi.org/10.2903/j.efsa.2010.1570</w:t>
        </w:r>
      </w:hyperlink>
    </w:p>
    <w:bookmarkEnd w:id="83"/>
    <w:bookmarkStart w:id="85" w:name="ref-figueroa2024LossCognitiveFunction"/>
    <w:p>
      <w:pPr>
        <w:pStyle w:val="Bibliography"/>
      </w:pPr>
      <w:r>
        <w:t xml:space="preserve">Figueroa, J.L., Rodríguez-Atristain, A., Bautista-Arredondo, L.F., Treviño, C.L., Martínez, M.R., Valdivia, B.T., Avalos-Alvarez, S.V., Sánchez-Morales, J.E., Fuller, R., Bautista-Arredondo, S., et al.,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84">
        <w:r>
          <w:rPr>
            <w:rStyle w:val="Hyperlink"/>
          </w:rPr>
          <w:t xml:space="preserve">https://doi.org/10.1016/j.envres.2024.120013</w:t>
        </w:r>
      </w:hyperlink>
    </w:p>
    <w:bookmarkEnd w:id="85"/>
    <w:bookmarkStart w:id="86"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86"/>
    <w:bookmarkStart w:id="88"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87">
        <w:r>
          <w:rPr>
            <w:rStyle w:val="Hyperlink"/>
          </w:rPr>
          <w:t xml:space="preserve">https://doi.org/10.1201/b16018</w:t>
        </w:r>
      </w:hyperlink>
    </w:p>
    <w:bookmarkEnd w:id="88"/>
    <w:bookmarkStart w:id="90"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89">
        <w:r>
          <w:rPr>
            <w:rStyle w:val="Hyperlink"/>
          </w:rPr>
          <w:t xml:space="preserve">https://doi.org/10.48550/ARXIV.2011.01808</w:t>
        </w:r>
      </w:hyperlink>
    </w:p>
    <w:bookmarkEnd w:id="90"/>
    <w:bookmarkStart w:id="92"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91">
        <w:r>
          <w:rPr>
            <w:rStyle w:val="Hyperlink"/>
          </w:rPr>
          <w:t xml:space="preserve">https://doi.org/10.1186/s12940-023-01029-z</w:t>
        </w:r>
      </w:hyperlink>
    </w:p>
    <w:bookmarkEnd w:id="92"/>
    <w:bookmarkStart w:id="94"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93">
        <w:r>
          <w:rPr>
            <w:rStyle w:val="Hyperlink"/>
          </w:rPr>
          <w:t xml:space="preserve">https://doi.org/10.1201/9781003375821</w:t>
        </w:r>
      </w:hyperlink>
    </w:p>
    <w:bookmarkEnd w:id="94"/>
    <w:bookmarkStart w:id="96"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95">
        <w:r>
          <w:rPr>
            <w:rStyle w:val="Hyperlink"/>
          </w:rPr>
          <w:t xml:space="preserve">https://doi.org/10.1038/s41370-022-00450-9</w:t>
        </w:r>
      </w:hyperlink>
    </w:p>
    <w:bookmarkEnd w:id="96"/>
    <w:bookmarkStart w:id="98" w:name="ref-harari2018BloodLeadLevels"/>
    <w:p>
      <w:pPr>
        <w:pStyle w:val="Bibliography"/>
      </w:pPr>
      <w:r>
        <w:t xml:space="preserve">Harari, F., Sallsten, G., Christensson, A., Petkovic, M., Hedblad, B., Forsgard, N., Melander, O., Nilsson, P.M., Borné, Y., Engström, G., et al.,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97">
        <w:r>
          <w:rPr>
            <w:rStyle w:val="Hyperlink"/>
          </w:rPr>
          <w:t xml:space="preserve">https://doi.org/10.1053/j.ajkd.2018.02.358</w:t>
        </w:r>
      </w:hyperlink>
    </w:p>
    <w:bookmarkEnd w:id="98"/>
    <w:bookmarkStart w:id="100"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99">
        <w:r>
          <w:rPr>
            <w:rStyle w:val="Hyperlink"/>
          </w:rPr>
          <w:t xml:space="preserve">https://doi.org/10.1007/978-3-319-19425-7</w:t>
        </w:r>
      </w:hyperlink>
    </w:p>
    <w:bookmarkEnd w:id="100"/>
    <w:bookmarkStart w:id="102" w:name="ref-hay2025Burden375Diseases"/>
    <w:p>
      <w:pPr>
        <w:pStyle w:val="Bibliography"/>
      </w:pPr>
      <w:r>
        <w:t xml:space="preserve">Hay, S.I., Ong, K.L., Santomauro, D.F., A, B., Aalipour, M.A., Aalruz, H., Ababneh, H.S., Abaraogu, U.O., Abate, B.B., Abbafati, C., et al.,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The Lancet 406, 1873–1922.</w:t>
      </w:r>
      <w:r>
        <w:t xml:space="preserve"> </w:t>
      </w:r>
      <w:hyperlink r:id="rId101">
        <w:r>
          <w:rPr>
            <w:rStyle w:val="Hyperlink"/>
          </w:rPr>
          <w:t xml:space="preserve">https://doi.org/10.1016/S0140-6736(25)01637-X</w:t>
        </w:r>
      </w:hyperlink>
    </w:p>
    <w:bookmarkEnd w:id="102"/>
    <w:bookmarkStart w:id="104"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03">
        <w:r>
          <w:rPr>
            <w:rStyle w:val="Hyperlink"/>
          </w:rPr>
          <w:t xml:space="preserve">https://doi.org/10.1186/s13643-022-01963-y</w:t>
        </w:r>
      </w:hyperlink>
    </w:p>
    <w:bookmarkEnd w:id="104"/>
    <w:bookmarkStart w:id="106"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05">
        <w:r>
          <w:rPr>
            <w:rStyle w:val="Hyperlink"/>
          </w:rPr>
          <w:t xml:space="preserve">https://doi.org/10.3758/s13423-013-0572-3</w:t>
        </w:r>
      </w:hyperlink>
    </w:p>
    <w:bookmarkEnd w:id="106"/>
    <w:bookmarkStart w:id="108"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07">
        <w:r>
          <w:rPr>
            <w:rStyle w:val="Hyperlink"/>
          </w:rPr>
          <w:t xml:space="preserve">https://doi.org/10.1177/0272989X13481110</w:t>
        </w:r>
      </w:hyperlink>
    </w:p>
    <w:bookmarkEnd w:id="108"/>
    <w:bookmarkStart w:id="110" w:name="ref-hong2015EnvironmentalLeadExposure"/>
    <w:p>
      <w:pPr>
        <w:pStyle w:val="Bibliography"/>
      </w:pPr>
      <w:r>
        <w:t xml:space="preserve">Hong, S.-B., Im, M.-H., Kim, J.-W., Park, E.-J., Shin, M.-S., Kim, B.-N., Yoo, H.-J., Cho, I.-H., Bhang, S.-Y., Hong, Y.-C., et al.,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09">
        <w:r>
          <w:rPr>
            <w:rStyle w:val="Hyperlink"/>
          </w:rPr>
          <w:t xml:space="preserve">https://doi.org/doi:10.1289/ehp.1307420</w:t>
        </w:r>
      </w:hyperlink>
    </w:p>
    <w:bookmarkEnd w:id="110"/>
    <w:bookmarkStart w:id="112"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1">
        <w:r>
          <w:rPr>
            <w:rStyle w:val="Hyperlink"/>
          </w:rPr>
          <w:t xml:space="preserve">https://doi.org/10.1007/s13193-025-02314-8</w:t>
        </w:r>
      </w:hyperlink>
    </w:p>
    <w:bookmarkEnd w:id="112"/>
    <w:bookmarkStart w:id="114"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13">
        <w:r>
          <w:rPr>
            <w:rStyle w:val="Hyperlink"/>
          </w:rPr>
          <w:t xml:space="preserve">https://doi.org/10.1038/s41562-021-01177-7</w:t>
        </w:r>
      </w:hyperlink>
    </w:p>
    <w:bookmarkEnd w:id="114"/>
    <w:bookmarkStart w:id="116" w:name="ref-lacerda2023GlobalDecreaseBlood"/>
    <w:p>
      <w:pPr>
        <w:pStyle w:val="Bibliography"/>
      </w:pPr>
      <w:r>
        <w:t xml:space="preserve">Lacerda, D., Pestana, I.A., Santos Vergilio, C.D., de Rezende, C.E.</w:t>
      </w:r>
      <w:r>
        <w:t xml:space="preserve">, 2023. Global decrease in blood lead concentrations due to the removal of leaded gasoline. Chemosphere 324, 138207.</w:t>
      </w:r>
      <w:r>
        <w:t xml:space="preserve"> </w:t>
      </w:r>
      <w:hyperlink r:id="rId115">
        <w:r>
          <w:rPr>
            <w:rStyle w:val="Hyperlink"/>
          </w:rPr>
          <w:t xml:space="preserve">https://doi.org/10.1016/j.chemosphere.2023.138207</w:t>
        </w:r>
      </w:hyperlink>
    </w:p>
    <w:bookmarkEnd w:id="116"/>
    <w:bookmarkStart w:id="118" w:name="X33f03e29791f20cdbbbbf0729c723b16e55ed16"/>
    <w:p>
      <w:pPr>
        <w:pStyle w:val="Bibliography"/>
      </w:pPr>
      <w:r>
        <w:t xml:space="preserve">Lanphear, B.P., Hornung, R., Khoury, J., Yolton, K., Baghurst, P., Bellinger, D.C., Canfield, R.L., Dietrich, K.N., Bornschein, R., Greene, T., et al.,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17">
        <w:r>
          <w:rPr>
            <w:rStyle w:val="Hyperlink"/>
          </w:rPr>
          <w:t xml:space="preserve">https://doi.org/10.1289/EHP5685</w:t>
        </w:r>
      </w:hyperlink>
    </w:p>
    <w:bookmarkEnd w:id="118"/>
    <w:bookmarkStart w:id="120" w:name="X9a8bad0b78f43066cb333fdedcdcad5d7017900"/>
    <w:p>
      <w:pPr>
        <w:pStyle w:val="Bibliography"/>
      </w:pPr>
      <w:r>
        <w:t xml:space="preserve">Lanphear, B.P., Hornung, R., Khoury, J., Yolton, K., Baghurst, P., Bellinger, D.C., Canfield, R.L., Dietrich, K.N., Bornschein, R., Greene, T., et al.,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19">
        <w:r>
          <w:rPr>
            <w:rStyle w:val="Hyperlink"/>
          </w:rPr>
          <w:t xml:space="preserve">https://doi.org/doi:10.1289/ehp.7688</w:t>
        </w:r>
      </w:hyperlink>
    </w:p>
    <w:bookmarkEnd w:id="120"/>
    <w:bookmarkStart w:id="122"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1">
        <w:r>
          <w:rPr>
            <w:rStyle w:val="Hyperlink"/>
          </w:rPr>
          <w:t xml:space="preserve">https://doi.org/10.1016/S2468-2667(18)30025-2</w:t>
        </w:r>
      </w:hyperlink>
    </w:p>
    <w:bookmarkEnd w:id="122"/>
    <w:bookmarkStart w:id="124"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23">
        <w:r>
          <w:rPr>
            <w:rStyle w:val="Hyperlink"/>
          </w:rPr>
          <w:t xml:space="preserve">https://doi.org/10.1016/S2542-5196(23)00166-3</w:t>
        </w:r>
      </w:hyperlink>
    </w:p>
    <w:bookmarkEnd w:id="124"/>
    <w:bookmarkStart w:id="126" w:name="ref-lee2021PrenatalPostnatalExposures"/>
    <w:p>
      <w:pPr>
        <w:pStyle w:val="Bibliography"/>
      </w:pPr>
      <w:r>
        <w:t xml:space="preserve">Lee, K.-S., Kim, K.-N., Ahn, Y.D., Choi, Y.-J., Cho, J., Jang, Y., Lim, Y.-H., Kim, J.I., Shin, C.H., Lee, Y.A., et al.,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25">
        <w:r>
          <w:rPr>
            <w:rStyle w:val="Hyperlink"/>
          </w:rPr>
          <w:t xml:space="preserve">https://doi.org/10.1016/j.envint.2021.106798</w:t>
        </w:r>
      </w:hyperlink>
    </w:p>
    <w:bookmarkEnd w:id="126"/>
    <w:bookmarkStart w:id="128" w:name="X716dc31ca13dac7355fea3a0f7dea95779ecabb"/>
    <w:p>
      <w:pPr>
        <w:pStyle w:val="Bibliography"/>
      </w:pPr>
      <w:r>
        <w:t xml:space="preserve">Lucchini, R.G., Guazzetti, S., Renzetti, S., Conversano, M., Cagna, G., Fedrighi, C., Giorgino, A., Peli, M., Placidi, D., Zoni, S., et al.,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27">
        <w:r>
          <w:rPr>
            <w:rStyle w:val="Hyperlink"/>
          </w:rPr>
          <w:t xml:space="preserve">https://doi.org/10.1186/s12940-019-0505-3</w:t>
        </w:r>
      </w:hyperlink>
    </w:p>
    <w:bookmarkEnd w:id="128"/>
    <w:bookmarkStart w:id="130"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29">
        <w:r>
          <w:rPr>
            <w:rStyle w:val="Hyperlink"/>
          </w:rPr>
          <w:t xml:space="preserve">https://doi.org/10.1016/j.envres.2012.08.003</w:t>
        </w:r>
      </w:hyperlink>
    </w:p>
    <w:bookmarkEnd w:id="130"/>
    <w:bookmarkStart w:id="132"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1">
        <w:r>
          <w:rPr>
            <w:rStyle w:val="Hyperlink"/>
          </w:rPr>
          <w:t xml:space="preserve">https://doi.org/10.1073/pnas.2118631119</w:t>
        </w:r>
      </w:hyperlink>
    </w:p>
    <w:bookmarkEnd w:id="132"/>
    <w:bookmarkStart w:id="133" w:name="X33fe7de6e8b65c86af337dbdb8d7cc8651c48a8"/>
    <w:p>
      <w:pPr>
        <w:pStyle w:val="Bibliography"/>
      </w:pPr>
      <w:r>
        <w:t xml:space="preserve">Menezes-Filho, J.A., Carvalho, C.F., Rodrigues, J.L.G., Araújo, C.F.S., Dos Santos, N.R., Lima, C.S., Bandeira, M.J., Marques, B.L. de S., Anjos, A.L.S., Bah, H.A.F., et al.,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33"/>
    <w:bookmarkStart w:id="135"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34">
        <w:r>
          <w:rPr>
            <w:rStyle w:val="Hyperlink"/>
          </w:rPr>
          <w:t xml:space="preserve">https://doi.org/10.1001/jama.1990.03440050067035</w:t>
        </w:r>
      </w:hyperlink>
    </w:p>
    <w:bookmarkEnd w:id="135"/>
    <w:bookmarkStart w:id="136"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36"/>
    <w:bookmarkStart w:id="138" w:name="ref-page2021PRISMA2020Statement"/>
    <w:p>
      <w:pPr>
        <w:pStyle w:val="Bibliography"/>
      </w:pPr>
      <w:r>
        <w:t xml:space="preserve">Page, M.J., McKenzie, J.E., Bossuyt, P.M., Boutron, I., Hoffmann, T.C., Mulrow, C.D., Shamseer, L., Tetzlaff, J.M., Akl, E.A., Brennan, S.E., et al., 2021. The</w:t>
      </w:r>
      <w:r>
        <w:t xml:space="preserve"> </w:t>
      </w:r>
      <w:r>
        <w:t xml:space="preserve">PRISMA</w:t>
      </w:r>
      <w:r>
        <w:t xml:space="preserve"> </w:t>
      </w:r>
      <w:r>
        <w:t xml:space="preserve">2020 statement: An updated guideline for reporting systematic reviews. BMJ n71.</w:t>
      </w:r>
      <w:r>
        <w:t xml:space="preserve"> </w:t>
      </w:r>
      <w:hyperlink r:id="rId137">
        <w:r>
          <w:rPr>
            <w:rStyle w:val="Hyperlink"/>
          </w:rPr>
          <w:t xml:space="preserve">https://doi.org/10.1136/bmj.n71</w:t>
        </w:r>
      </w:hyperlink>
    </w:p>
    <w:bookmarkEnd w:id="138"/>
    <w:bookmarkStart w:id="140"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39">
        <w:r>
          <w:rPr>
            <w:rStyle w:val="Hyperlink"/>
          </w:rPr>
          <w:t xml:space="preserve">https://doi.org/10.2903/sp.efsa.2024.EN-8925</w:t>
        </w:r>
      </w:hyperlink>
    </w:p>
    <w:bookmarkEnd w:id="140"/>
    <w:bookmarkStart w:id="142"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1">
        <w:r>
          <w:rPr>
            <w:rStyle w:val="Hyperlink"/>
          </w:rPr>
          <w:t xml:space="preserve">https://doi.org/10.1136/bmj.309.6963.1189</w:t>
        </w:r>
      </w:hyperlink>
    </w:p>
    <w:bookmarkEnd w:id="142"/>
    <w:bookmarkStart w:id="143"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43"/>
    <w:bookmarkStart w:id="144"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44"/>
    <w:bookmarkStart w:id="146"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45">
        <w:r>
          <w:rPr>
            <w:rStyle w:val="Hyperlink"/>
          </w:rPr>
          <w:t xml:space="preserve">https://doi.org/10.1161/JAHA.124.037633</w:t>
        </w:r>
      </w:hyperlink>
    </w:p>
    <w:bookmarkEnd w:id="146"/>
    <w:bookmarkStart w:id="148"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47">
        <w:r>
          <w:rPr>
            <w:rStyle w:val="Hyperlink"/>
          </w:rPr>
          <w:t xml:space="preserve">https://doi.org/10.1016/j.neuro.2013.05.005</w:t>
        </w:r>
      </w:hyperlink>
    </w:p>
    <w:bookmarkEnd w:id="148"/>
    <w:bookmarkStart w:id="150"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49">
        <w:r>
          <w:rPr>
            <w:rStyle w:val="Hyperlink"/>
          </w:rPr>
          <w:t xml:space="preserve">https://doi.org/10.1136/bmjebm-2022-111928</w:t>
        </w:r>
      </w:hyperlink>
    </w:p>
    <w:bookmarkEnd w:id="150"/>
    <w:bookmarkStart w:id="152" w:name="Xe38019c88c6d2792bb296bad7dc0a4dd55f1319"/>
    <w:p>
      <w:pPr>
        <w:pStyle w:val="Bibliography"/>
      </w:pPr>
      <w:r>
        <w:t xml:space="preserve">Salamanca-Fernández, E., Peinado, F.M., Esteban-López, M., Puklova, V., Poyatos, R.M., Govarts, E., Laeremans, M., Leermakers, M., Den Hond, E., Schoeters, G., et al.,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1">
        <w:r>
          <w:rPr>
            <w:rStyle w:val="Hyperlink"/>
          </w:rPr>
          <w:t xml:space="preserve">https://doi.org/10.1038/s41598-025-17943-w</w:t>
        </w:r>
      </w:hyperlink>
    </w:p>
    <w:bookmarkEnd w:id="152"/>
    <w:bookmarkStart w:id="154"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53">
        <w:r>
          <w:rPr>
            <w:rStyle w:val="Hyperlink"/>
          </w:rPr>
          <w:t xml:space="preserve">https://doi.org/10.1289/ehp.8552</w:t>
        </w:r>
      </w:hyperlink>
    </w:p>
    <w:bookmarkEnd w:id="154"/>
    <w:bookmarkStart w:id="156"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55">
        <w:r>
          <w:rPr>
            <w:rStyle w:val="Hyperlink"/>
          </w:rPr>
          <w:t xml:space="preserve">https://doi.org/10.1006/enrs.1994.1020</w:t>
        </w:r>
      </w:hyperlink>
    </w:p>
    <w:bookmarkEnd w:id="156"/>
    <w:bookmarkStart w:id="158"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57">
        <w:r>
          <w:rPr>
            <w:rStyle w:val="Hyperlink"/>
          </w:rPr>
          <w:t xml:space="preserve">https://doi.org/10.1002/jrsm.1397</w:t>
        </w:r>
      </w:hyperlink>
    </w:p>
    <w:bookmarkEnd w:id="158"/>
    <w:bookmarkStart w:id="160" w:name="ref-shaffer2025LeadExposureAntisocial"/>
    <w:p>
      <w:pPr>
        <w:pStyle w:val="Bibliography"/>
      </w:pPr>
      <w:r>
        <w:t xml:space="preserve">Shaffer, R.M., Carlson, L.M., Hester, K., Kim, H., Duffney, P., Forsyth, J.E., Ferraro, G., Till, C., Haddock, A., Strawbridge, J., et al.,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59">
        <w:r>
          <w:rPr>
            <w:rStyle w:val="Hyperlink"/>
          </w:rPr>
          <w:t xml:space="preserve">https://doi.org/10.1016/j.envint.2025.109786</w:t>
        </w:r>
      </w:hyperlink>
    </w:p>
    <w:bookmarkEnd w:id="160"/>
    <w:bookmarkStart w:id="162" w:name="ref-smith2018StepAwayStepwise"/>
    <w:p>
      <w:pPr>
        <w:pStyle w:val="Bibliography"/>
      </w:pPr>
      <w:r>
        <w:t xml:space="preserve">Smith, G., 2018. Step away from stepwise. J Big Data 5, 32.</w:t>
      </w:r>
      <w:r>
        <w:t xml:space="preserve"> </w:t>
      </w:r>
      <w:hyperlink r:id="rId161">
        <w:r>
          <w:rPr>
            <w:rStyle w:val="Hyperlink"/>
          </w:rPr>
          <w:t xml:space="preserve">https://doi.org/10.1186/s40537-018-0143-6</w:t>
        </w:r>
      </w:hyperlink>
    </w:p>
    <w:bookmarkEnd w:id="162"/>
    <w:bookmarkStart w:id="164"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63">
        <w:r>
          <w:rPr>
            <w:rStyle w:val="Hyperlink"/>
          </w:rPr>
          <w:t xml:space="preserve">https://doi.org/10.1007/s12403-023-00535-2</w:t>
        </w:r>
      </w:hyperlink>
    </w:p>
    <w:bookmarkEnd w:id="164"/>
    <w:bookmarkStart w:id="165"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65"/>
    <w:bookmarkStart w:id="167"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66">
        <w:r>
          <w:rPr>
            <w:rStyle w:val="Hyperlink"/>
          </w:rPr>
          <w:t xml:space="preserve">https://doi.org/10.1177/0013164495055004001</w:t>
        </w:r>
      </w:hyperlink>
    </w:p>
    <w:bookmarkEnd w:id="167"/>
    <w:bookmarkStart w:id="169"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68">
        <w:r>
          <w:rPr>
            <w:rStyle w:val="Hyperlink"/>
          </w:rPr>
          <w:t xml:space="preserve">https://doi.org/10.1016/j.ecoenv.2022.113257</w:t>
        </w:r>
      </w:hyperlink>
    </w:p>
    <w:bookmarkEnd w:id="169"/>
    <w:bookmarkStart w:id="171" w:name="X111bb06244f8f2a1a6d0d2f1f41c24b71f248e6"/>
    <w:p>
      <w:pPr>
        <w:pStyle w:val="Bibliography"/>
      </w:pPr>
      <w:r>
        <w:t xml:space="preserve">Wolfgang Viechtbauer,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70">
        <w:r>
          <w:rPr>
            <w:rStyle w:val="Hyperlink"/>
          </w:rPr>
          <w:t xml:space="preserve">https://doi.org/10.18637/jss.v036.i03</w:t>
        </w:r>
      </w:hyperlink>
    </w:p>
    <w:bookmarkEnd w:id="171"/>
    <w:bookmarkStart w:id="173"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2">
        <w:r>
          <w:rPr>
            <w:rStyle w:val="Hyperlink"/>
          </w:rPr>
          <w:t xml:space="preserve">https://doi.org/10.1186/s12874-025-02664-5</w:t>
        </w:r>
      </w:hyperlink>
    </w:p>
    <w:bookmarkEnd w:id="173"/>
    <w:bookmarkEnd w:id="174"/>
    <w:bookmarkEnd w:id="175"/>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15" Target="media/rId15.png" /><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68"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70"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68"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70"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2026-04-15T09:05:58Z</dcterms:created>
  <dcterms:modified xsi:type="dcterms:W3CDTF">2026-04-15T09:05:58Z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15 April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