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Bayesian Meta Analysis on Lead Exposure &amp; IQ Loss</w:t>
      </w:r>
    </w:p>
    <w:p>
      <w:pPr>
        <w:pStyle w:val="Author"/>
      </w:pPr>
      <w:r>
        <w:rPr>
          <w:rtl w:val="0"/>
          <w:lang w:val="en-US"/>
        </w:rPr>
        <w:t>Paulina Sell</w:t>
      </w:r>
    </w:p>
    <w:p>
      <w:pPr>
        <w:pStyle w:val="Date"/>
      </w:pPr>
      <w:r>
        <w:rPr>
          <w:rtl w:val="0"/>
        </w:rPr>
        <w:t>2025-08-25</w:t>
      </w:r>
    </w:p>
    <w:p>
      <w:pPr>
        <w:pStyle w:val="TOC Heading"/>
      </w:pPr>
      <w:bookmarkStart w:name="_Toc" w:id="0"/>
      <w:r>
        <w:rPr>
          <w:rFonts w:cs="Arial Unicode MS" w:eastAsia="Arial Unicode MS"/>
          <w:rtl w:val="0"/>
          <w:lang w:val="en-US"/>
        </w:rPr>
        <w:t>Table of contents</w:t>
      </w:r>
      <w:bookmarkEnd w:id="0"/>
    </w:p>
    <w:p>
      <w:pPr>
        <w:pStyle w:val="Body"/>
      </w:pPr>
      <w:r>
        <w:rPr/>
        <w:fldChar w:fldCharType="begin" w:fldLock="0"/>
      </w:r>
      <w:r>
        <w:instrText xml:space="preserve"> TOC \o 1-3 \t "TOC Heading, 1"</w:instrText>
      </w:r>
      <w:r>
        <w:rPr/>
        <w:fldChar w:fldCharType="separate" w:fldLock="0"/>
      </w:r>
    </w:p>
    <w:p>
      <w:pPr>
        <w:pStyle w:val="TOC 1"/>
      </w:pPr>
      <w:r>
        <w:rPr>
          <w:rFonts w:cs="Arial Unicode MS" w:eastAsia="Arial Unicode MS"/>
          <w:rtl w:val="0"/>
          <w:lang w:val="en-US"/>
        </w:rPr>
        <w:t>Table of contents</w:t>
        <w:tab/>
      </w:r>
      <w:r>
        <w:rPr/>
        <w:fldChar w:fldCharType="begin" w:fldLock="0"/>
      </w:r>
      <w:r>
        <w:instrText xml:space="preserve"> PAGEREF _Toc \h </w:instrText>
      </w:r>
      <w:r>
        <w:rPr/>
        <w:fldChar w:fldCharType="separate" w:fldLock="0"/>
      </w:r>
      <w:r>
        <w:rPr>
          <w:rFonts w:cs="Arial Unicode MS" w:eastAsia="Arial Unicode MS"/>
          <w:rtl w:val="0"/>
        </w:rPr>
        <w:t>1</w:t>
      </w:r>
      <w:r>
        <w:rPr/>
        <w:fldChar w:fldCharType="end" w:fldLock="0"/>
      </w:r>
    </w:p>
    <w:p>
      <w:pPr>
        <w:pStyle w:val="TOC 1"/>
      </w:pPr>
      <w:r>
        <w:rPr>
          <w:rFonts w:cs="Arial Unicode MS" w:eastAsia="Arial Unicode MS"/>
          <w:rtl w:val="0"/>
          <w:lang w:val="fr-FR"/>
        </w:rPr>
        <w:t>Introduction</w:t>
        <w:tab/>
      </w:r>
      <w:r>
        <w:rPr/>
        <w:fldChar w:fldCharType="begin" w:fldLock="0"/>
      </w:r>
      <w:r>
        <w:instrText xml:space="preserve"> PAGEREF _Toc1 \h </w:instrText>
      </w:r>
      <w:r>
        <w:rPr/>
        <w:fldChar w:fldCharType="separate" w:fldLock="0"/>
      </w:r>
      <w:r>
        <w:rPr>
          <w:rFonts w:cs="Arial Unicode MS" w:eastAsia="Arial Unicode MS"/>
          <w:rtl w:val="0"/>
        </w:rPr>
        <w:t>2</w:t>
      </w:r>
      <w:r>
        <w:rPr/>
        <w:fldChar w:fldCharType="end" w:fldLock="0"/>
      </w:r>
    </w:p>
    <w:p>
      <w:pPr>
        <w:pStyle w:val="TOC 1"/>
      </w:pPr>
      <w:r>
        <w:rPr>
          <w:rFonts w:cs="Arial Unicode MS" w:eastAsia="Arial Unicode MS"/>
          <w:rtl w:val="0"/>
          <w:lang w:val="en-US"/>
        </w:rPr>
        <w:t>Step 1: Standardizing Effect Estimates</w:t>
        <w:tab/>
      </w:r>
      <w:r>
        <w:rPr/>
        <w:fldChar w:fldCharType="begin" w:fldLock="0"/>
      </w:r>
      <w:r>
        <w:instrText xml:space="preserve"> PAGEREF _Toc2 \h </w:instrText>
      </w:r>
      <w:r>
        <w:rPr/>
        <w:fldChar w:fldCharType="separate" w:fldLock="0"/>
      </w:r>
      <w:r>
        <w:rPr>
          <w:rFonts w:cs="Arial Unicode MS" w:eastAsia="Arial Unicode MS"/>
          <w:rtl w:val="0"/>
        </w:rPr>
        <w:t>2</w:t>
      </w:r>
      <w:r>
        <w:rPr/>
        <w:fldChar w:fldCharType="end" w:fldLock="0"/>
      </w:r>
    </w:p>
    <w:p>
      <w:pPr>
        <w:pStyle w:val="TOC 2"/>
      </w:pPr>
      <w:r>
        <w:rPr>
          <w:rFonts w:cs="Arial Unicode MS" w:eastAsia="Arial Unicode MS"/>
          <w:rtl w:val="0"/>
          <w:lang w:val="en-US"/>
        </w:rPr>
        <w:t>Visually Checking Transformations</w:t>
        <w:tab/>
      </w:r>
      <w:r>
        <w:rPr/>
        <w:fldChar w:fldCharType="begin" w:fldLock="0"/>
      </w:r>
      <w:r>
        <w:instrText xml:space="preserve"> PAGEREF _Toc3 \h </w:instrText>
      </w:r>
      <w:r>
        <w:rPr/>
        <w:fldChar w:fldCharType="separate" w:fldLock="0"/>
      </w:r>
      <w:r>
        <w:rPr>
          <w:rFonts w:cs="Arial Unicode MS" w:eastAsia="Arial Unicode MS"/>
          <w:rtl w:val="0"/>
        </w:rPr>
        <w:t>3</w:t>
      </w:r>
      <w:r>
        <w:rPr/>
        <w:fldChar w:fldCharType="end" w:fldLock="0"/>
      </w:r>
    </w:p>
    <w:p>
      <w:pPr>
        <w:pStyle w:val="TOC 2"/>
      </w:pPr>
      <w:r>
        <w:rPr>
          <w:rFonts w:cs="Arial Unicode MS" w:eastAsia="Arial Unicode MS"/>
          <w:rtl w:val="0"/>
          <w:lang w:val="en-US"/>
        </w:rPr>
        <w:t>Transforming Estimates to ln(BLL)</w:t>
        <w:tab/>
      </w:r>
      <w:r>
        <w:rPr/>
        <w:fldChar w:fldCharType="begin" w:fldLock="0"/>
      </w:r>
      <w:r>
        <w:instrText xml:space="preserve"> PAGEREF _Toc4 \h </w:instrText>
      </w:r>
      <w:r>
        <w:rPr/>
        <w:fldChar w:fldCharType="separate" w:fldLock="0"/>
      </w:r>
      <w:r>
        <w:rPr>
          <w:rFonts w:cs="Arial Unicode MS" w:eastAsia="Arial Unicode MS"/>
          <w:rtl w:val="0"/>
        </w:rPr>
        <w:t>3</w:t>
      </w:r>
      <w:r>
        <w:rPr/>
        <w:fldChar w:fldCharType="end" w:fldLock="0"/>
      </w:r>
    </w:p>
    <w:p>
      <w:pPr>
        <w:pStyle w:val="TOC 3"/>
      </w:pPr>
      <w:r>
        <w:rPr>
          <w:rFonts w:cs="Arial Unicode MS" w:eastAsia="Arial Unicode MS"/>
          <w:rtl w:val="0"/>
        </w:rPr>
        <w:t>Case 1: log10(BLL) -&gt; ln(BLL): Dantzer et al. 2020</w:t>
        <w:tab/>
      </w:r>
      <w:r>
        <w:rPr/>
        <w:fldChar w:fldCharType="begin" w:fldLock="0"/>
      </w:r>
      <w:r>
        <w:instrText xml:space="preserve"> PAGEREF _Toc5 \h </w:instrText>
      </w:r>
      <w:r>
        <w:rPr/>
        <w:fldChar w:fldCharType="separate" w:fldLock="0"/>
      </w:r>
      <w:r>
        <w:rPr>
          <w:rFonts w:cs="Arial Unicode MS" w:eastAsia="Arial Unicode MS"/>
          <w:rtl w:val="0"/>
        </w:rPr>
        <w:t>4</w:t>
      </w:r>
      <w:r>
        <w:rPr/>
        <w:fldChar w:fldCharType="end" w:fldLock="0"/>
      </w:r>
    </w:p>
    <w:p>
      <w:pPr>
        <w:pStyle w:val="TOC 3"/>
      </w:pPr>
      <w:r>
        <w:rPr>
          <w:rFonts w:cs="Arial Unicode MS" w:eastAsia="Arial Unicode MS"/>
          <w:rtl w:val="0"/>
          <w:lang w:val="fr-FR"/>
        </w:rPr>
        <w:t>Case 2: log2(BLL) -&gt; ln(BLL): Desrochers-Couture et al. 2018</w:t>
        <w:tab/>
      </w:r>
      <w:r>
        <w:rPr/>
        <w:fldChar w:fldCharType="begin" w:fldLock="0"/>
      </w:r>
      <w:r>
        <w:instrText xml:space="preserve"> PAGEREF _Toc6 \h </w:instrText>
      </w:r>
      <w:r>
        <w:rPr/>
        <w:fldChar w:fldCharType="separate" w:fldLock="0"/>
      </w:r>
      <w:r>
        <w:rPr>
          <w:rFonts w:cs="Arial Unicode MS" w:eastAsia="Arial Unicode MS"/>
          <w:rtl w:val="0"/>
        </w:rPr>
        <w:t>5</w:t>
      </w:r>
      <w:r>
        <w:rPr/>
        <w:fldChar w:fldCharType="end" w:fldLock="0"/>
      </w:r>
    </w:p>
    <w:p>
      <w:pPr>
        <w:pStyle w:val="TOC 3"/>
      </w:pPr>
      <w:r>
        <w:rPr>
          <w:rFonts w:cs="Arial Unicode MS" w:eastAsia="Arial Unicode MS"/>
          <w:rtl w:val="0"/>
          <w:lang w:val="es-ES_tradnl"/>
        </w:rPr>
        <w:t>Case 3: linear(BLL) -&gt; ln(BLL): Iglesias et al. 2011</w:t>
        <w:tab/>
      </w:r>
      <w:r>
        <w:rPr/>
        <w:fldChar w:fldCharType="begin" w:fldLock="0"/>
      </w:r>
      <w:r>
        <w:instrText xml:space="preserve"> PAGEREF _Toc7 \h </w:instrText>
      </w:r>
      <w:r>
        <w:rPr/>
        <w:fldChar w:fldCharType="separate" w:fldLock="0"/>
      </w:r>
      <w:r>
        <w:rPr>
          <w:rFonts w:cs="Arial Unicode MS" w:eastAsia="Arial Unicode MS"/>
          <w:rtl w:val="0"/>
        </w:rPr>
        <w:t>5</w:t>
      </w:r>
      <w:r>
        <w:rPr/>
        <w:fldChar w:fldCharType="end" w:fldLock="0"/>
      </w:r>
    </w:p>
    <w:p>
      <w:pPr>
        <w:pStyle w:val="TOC 1"/>
      </w:pPr>
      <w:r>
        <w:rPr>
          <w:rFonts w:cs="Arial Unicode MS" w:eastAsia="Arial Unicode MS"/>
          <w:rtl w:val="0"/>
          <w:lang w:val="en-US"/>
        </w:rPr>
        <w:t>Step 2: Meta Analysis</w:t>
        <w:tab/>
      </w:r>
      <w:r>
        <w:rPr/>
        <w:fldChar w:fldCharType="begin" w:fldLock="0"/>
      </w:r>
      <w:r>
        <w:instrText xml:space="preserve"> PAGEREF _Toc8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lang w:val="en-US"/>
        </w:rPr>
        <w:t>Setting Priors</w:t>
        <w:tab/>
      </w:r>
      <w:r>
        <w:rPr/>
        <w:fldChar w:fldCharType="begin" w:fldLock="0"/>
      </w:r>
      <w:r>
        <w:instrText xml:space="preserve"> PAGEREF _Toc9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lang w:val="en-US"/>
        </w:rPr>
        <w:t>Fitting the model</w:t>
        <w:tab/>
      </w:r>
      <w:r>
        <w:rPr/>
        <w:fldChar w:fldCharType="begin" w:fldLock="0"/>
      </w:r>
      <w:r>
        <w:instrText xml:space="preserve"> PAGEREF _Toc10 \h </w:instrText>
      </w:r>
      <w:r>
        <w:rPr/>
        <w:fldChar w:fldCharType="separate" w:fldLock="0"/>
      </w:r>
      <w:r>
        <w:rPr>
          <w:rFonts w:cs="Arial Unicode MS" w:eastAsia="Arial Unicode MS"/>
          <w:rtl w:val="0"/>
        </w:rPr>
        <w:t>9</w:t>
      </w:r>
      <w:r>
        <w:rPr/>
        <w:fldChar w:fldCharType="end" w:fldLock="0"/>
      </w:r>
    </w:p>
    <w:p>
      <w:pPr>
        <w:pStyle w:val="TOC 2"/>
      </w:pPr>
      <w:r>
        <w:rPr>
          <w:rFonts w:cs="Arial Unicode MS" w:eastAsia="Arial Unicode MS"/>
          <w:rtl w:val="0"/>
          <w:lang w:val="en-US"/>
        </w:rPr>
        <w:t>Assessing Convergence &amp; Model Validity</w:t>
        <w:tab/>
      </w:r>
      <w:r>
        <w:rPr/>
        <w:fldChar w:fldCharType="begin" w:fldLock="0"/>
      </w:r>
      <w:r>
        <w:instrText xml:space="preserve"> PAGEREF _Toc11 \h </w:instrText>
      </w:r>
      <w:r>
        <w:rPr/>
        <w:fldChar w:fldCharType="separate" w:fldLock="0"/>
      </w:r>
      <w:r>
        <w:rPr>
          <w:rFonts w:cs="Arial Unicode MS" w:eastAsia="Arial Unicode MS"/>
          <w:rtl w:val="0"/>
        </w:rPr>
        <w:t>9</w:t>
      </w:r>
      <w:r>
        <w:rPr/>
        <w:fldChar w:fldCharType="end" w:fldLock="0"/>
      </w:r>
    </w:p>
    <w:p>
      <w:pPr>
        <w:pStyle w:val="TOC 2"/>
      </w:pPr>
      <w:r>
        <w:rPr>
          <w:rFonts w:cs="Arial Unicode MS" w:eastAsia="Arial Unicode MS"/>
          <w:rtl w:val="0"/>
          <w:lang w:val="en-US"/>
        </w:rPr>
        <w:t>Interpreting the Results</w:t>
        <w:tab/>
      </w:r>
      <w:r>
        <w:rPr/>
        <w:fldChar w:fldCharType="begin" w:fldLock="0"/>
      </w:r>
      <w:r>
        <w:instrText xml:space="preserve"> PAGEREF _Toc12 \h </w:instrText>
      </w:r>
      <w:r>
        <w:rPr/>
        <w:fldChar w:fldCharType="separate" w:fldLock="0"/>
      </w:r>
      <w:r>
        <w:rPr>
          <w:rFonts w:cs="Arial Unicode MS" w:eastAsia="Arial Unicode MS"/>
          <w:rtl w:val="0"/>
        </w:rPr>
        <w:t>13</w:t>
      </w:r>
      <w:r>
        <w:rPr/>
        <w:fldChar w:fldCharType="end" w:fldLock="0"/>
      </w:r>
    </w:p>
    <w:p>
      <w:pPr>
        <w:pStyle w:val="Body"/>
      </w:pPr>
      <w:r>
        <w:rPr/>
        <w:fldChar w:fldCharType="end" w:fldLock="0"/>
      </w:r>
    </w:p>
    <w:p>
      <w:pPr>
        <w:pStyle w:val="Body"/>
      </w:pPr>
      <w:r>
        <w:rPr>
          <w:rFonts w:ascii="Arial Unicode MS" w:cs="Arial Unicode MS" w:hAnsi="Arial Unicode MS" w:eastAsia="Arial Unicode MS"/>
          <w:b w:val="0"/>
          <w:bCs w:val="0"/>
          <w:i w:val="0"/>
          <w:iCs w:val="0"/>
        </w:rPr>
        <w:br w:type="page"/>
      </w:r>
    </w:p>
    <w:p>
      <w:pPr>
        <w:pStyle w:val="Heading 1"/>
      </w:pPr>
      <w:bookmarkStart w:name="_Toc1" w:id="1"/>
      <w:bookmarkStart w:name="introduction" w:id="2"/>
      <w:r>
        <w:rPr>
          <w:rFonts w:cs="Arial Unicode MS" w:eastAsia="Arial Unicode MS"/>
          <w:rtl w:val="0"/>
          <w:lang w:val="fr-FR"/>
        </w:rPr>
        <w:t>Introduction</w:t>
      </w:r>
      <w:bookmarkEnd w:id="1"/>
    </w:p>
    <w:p>
      <w:pPr>
        <w:pStyle w:val="First Paragraph"/>
      </w:pPr>
      <w:r>
        <w:rPr>
          <w:rtl w:val="0"/>
          <w:lang w:val="en-US"/>
        </w:rPr>
        <w:t>The aim of this project is to estimate the environmental burden of disease (EBD) attributable to lead exposure in Germany. Our focus will be on the neurodevelopmental effects of lead; therefore, the health outcome will be IQ point loss in children and adolescents. In order to estimate these population health effects, we must find solid evidence for exactly how lead exposure is related to IQ loss. The exposure data we are working with is based on whole blood samples from 720 children and adolescents (ages 3 - 17) in Germany, collected as part of the German Environmental Survey (</w:t>
      </w:r>
      <w:r>
        <w:rPr>
          <w:rStyle w:val="Hyperlink.0"/>
        </w:rPr>
        <w:fldChar w:fldCharType="begin" w:fldLock="0"/>
      </w:r>
      <w:r>
        <w:rPr>
          <w:rStyle w:val="Hyperlink.0"/>
        </w:rPr>
        <w:instrText xml:space="preserve"> HYPERLINK "https://www.umweltbundesamt.de/en/topics/health/assessing-environmentally-related-health-risks/german-environmental-surveys/german-environmental-survey-2014-2017-geres-v%23undefined"</w:instrText>
      </w:r>
      <w:r>
        <w:rPr>
          <w:rStyle w:val="Hyperlink.0"/>
        </w:rPr>
        <w:fldChar w:fldCharType="separate" w:fldLock="0"/>
      </w:r>
      <w:r>
        <w:rPr>
          <w:rStyle w:val="Hyperlink.0"/>
          <w:rtl w:val="0"/>
        </w:rPr>
        <w:t>GerES V</w:t>
      </w:r>
      <w:r>
        <w:rPr/>
        <w:fldChar w:fldCharType="end" w:fldLock="0"/>
      </w:r>
      <w:r>
        <w:rPr>
          <w:rtl w:val="0"/>
          <w:lang w:val="en-US"/>
        </w:rPr>
        <w:t>) between 2014 and 2017.</w:t>
      </w:r>
      <w:r>
        <w:br w:type="textWrapping"/>
        <w:br w:type="textWrapping"/>
      </w:r>
      <w:r>
        <w:rPr>
          <w:rtl w:val="0"/>
          <w:lang w:val="en-US"/>
        </w:rPr>
        <w:t>In order to quantify exactly how lead exposure is related to IQ loss, we turn to the epidemiological literature. Many studies have been published focusing on the neurodevelopmental effects of lead. Rather than selecting an estimate from a single study for our EBD analysis, we will pool estimates from multiple studies in order to gather and strengthen the evidence we base our analysis on. And since uncertainty plays an important role in the final burden of disease results, we will use a Bayesian approach. This approach allows us to easily model uncertainty and obtain a full posterior distribution of the pooled effect (rather than a mean and a hard-to-interpret confidence interval). Later, we will be able to directly use the posterior distribution in our EBD analysis! But first, let</w:t>
      </w:r>
      <w:r>
        <w:rPr>
          <w:rtl w:val="0"/>
          <w:lang w:val="en-US"/>
        </w:rPr>
        <w:t>’</w:t>
      </w:r>
      <w:r>
        <w:rPr>
          <w:rtl w:val="0"/>
          <w:lang w:val="en-US"/>
        </w:rPr>
        <w:t>s meta-analyze some epi studies.</w:t>
      </w:r>
      <w:r>
        <w:br w:type="textWrapping"/>
      </w:r>
      <w:r>
        <w:rPr>
          <w:rtl w:val="0"/>
          <w:lang w:val="en-US"/>
        </w:rPr>
        <w:t xml:space="preserve">I found help and inspiration in multiple sources and have (hopefully) linked them all. I especially found this hands-on guide from </w:t>
      </w:r>
      <w:r>
        <w:rPr>
          <w:rStyle w:val="Hyperlink.0"/>
        </w:rPr>
        <w:fldChar w:fldCharType="begin" w:fldLock="0"/>
      </w:r>
      <w:r>
        <w:rPr>
          <w:rStyle w:val="Hyperlink.0"/>
        </w:rPr>
        <w:instrText xml:space="preserve"> HYPERLINK "https://bookdown.org/MathiasHarrer/Doing_Meta_Analysis_in_R/bayesian-ma.html%23bayesian-ma"</w:instrText>
      </w:r>
      <w:r>
        <w:rPr>
          <w:rStyle w:val="Hyperlink.0"/>
        </w:rPr>
        <w:fldChar w:fldCharType="separate" w:fldLock="0"/>
      </w:r>
      <w:r>
        <w:rPr>
          <w:rStyle w:val="Hyperlink.0"/>
          <w:rtl w:val="0"/>
        </w:rPr>
        <w:t>Harrer et al.</w:t>
      </w:r>
      <w:r>
        <w:rPr>
          <w:rStyle w:val="Hyperlink.0"/>
          <w:rtl w:val="0"/>
        </w:rPr>
        <w:t> </w:t>
      </w:r>
      <w:r>
        <w:rPr>
          <w:rStyle w:val="Hyperlink.0"/>
          <w:rtl w:val="0"/>
        </w:rPr>
        <w:t>2021</w:t>
      </w:r>
      <w:r>
        <w:rPr/>
        <w:fldChar w:fldCharType="end" w:fldLock="0"/>
      </w:r>
      <w:r>
        <w:rPr>
          <w:rtl w:val="0"/>
          <w:lang w:val="en-US"/>
        </w:rPr>
        <w:t xml:space="preserve"> very helpful.</w:t>
      </w:r>
      <w:bookmarkEnd w:id="2"/>
    </w:p>
    <w:p>
      <w:pPr>
        <w:pStyle w:val="Heading 1"/>
      </w:pPr>
      <w:bookmarkStart w:name="_Toc2" w:id="3"/>
      <w:bookmarkStart w:name="step1standardizingeffectestimates" w:id="4"/>
      <w:r>
        <w:rPr>
          <w:rFonts w:cs="Arial Unicode MS" w:eastAsia="Arial Unicode MS"/>
          <w:rtl w:val="0"/>
          <w:lang w:val="en-US"/>
        </w:rPr>
        <w:t>Step 1: Standardizing Effect Estimates</w:t>
      </w:r>
      <w:bookmarkEnd w:id="3"/>
    </w:p>
    <w:p>
      <w:pPr>
        <w:pStyle w:val="First Paragraph"/>
      </w:pPr>
      <w:r>
        <w:rPr>
          <w:rtl w:val="0"/>
          <w:lang w:val="en-US"/>
        </w:rPr>
        <w:t>We first need to search for and identify relevant studies and extract the data necessary for our analysis. This was already done by Philippe Palmont and his team at ANSES.</w:t>
      </w:r>
      <w:r>
        <w:br w:type="textWrapping"/>
      </w:r>
      <w:r>
        <w:rPr>
          <w:rtl w:val="0"/>
          <w:lang w:val="en-US"/>
        </w:rPr>
        <w:t>Next, we need to harmonize / standardize the effect estimates before we can pool them. Most of the studies transformed their blood lead level (BLL) data to a logarithmic scale in order to fulfil the assumption of a linear relationship between BLL (exposure) and IQ points (outcome) in their regression analyses. Unfortunately, they did not always use the same log base. Some used log</w:t>
      </w:r>
      <w:r>
        <w:rPr>
          <w:vertAlign w:val="subscript"/>
          <w:rtl w:val="0"/>
          <w:lang w:val="en-US"/>
        </w:rPr>
        <w:t>10</w:t>
      </w:r>
      <w:r>
        <w:rPr>
          <w:rtl w:val="0"/>
          <w:lang w:val="en-US"/>
        </w:rPr>
        <w:t>, some ln, and some used log</w:t>
      </w:r>
      <w:r>
        <w:rPr>
          <w:vertAlign w:val="subscript"/>
          <w:rtl w:val="0"/>
          <w:lang w:val="en-US"/>
        </w:rPr>
        <w:t>2</w:t>
      </w:r>
      <w:r>
        <w:rPr>
          <w:rtl w:val="0"/>
          <w:lang w:val="en-US"/>
        </w:rPr>
        <w:t>. Also, 3 of the 13 included studies did not transform their BLL at all, so it</w:t>
      </w:r>
      <w:r>
        <w:rPr>
          <w:rtl w:val="0"/>
          <w:lang w:val="en-US"/>
        </w:rPr>
        <w:t>’</w:t>
      </w:r>
      <w:r>
        <w:rPr>
          <w:rtl w:val="0"/>
          <w:lang w:val="en-US"/>
        </w:rPr>
        <w:t xml:space="preserve">s on a linear scale. In their analysis, Philippe Palmont and his team standardized all estimates to linear increments of BLL, using the template proposed by </w:t>
      </w:r>
      <w:r>
        <w:rPr>
          <w:rStyle w:val="Hyperlink.0"/>
        </w:rPr>
        <w:fldChar w:fldCharType="begin" w:fldLock="0"/>
      </w:r>
      <w:r>
        <w:rPr>
          <w:rStyle w:val="Hyperlink.0"/>
        </w:rPr>
        <w:instrText xml:space="preserve"> HYPERLINK "https://doi.org/10.1186/s12874-017-0322-8"</w:instrText>
      </w:r>
      <w:r>
        <w:rPr>
          <w:rStyle w:val="Hyperlink.0"/>
        </w:rPr>
        <w:fldChar w:fldCharType="separate" w:fldLock="0"/>
      </w:r>
      <w:r>
        <w:rPr>
          <w:rStyle w:val="Hyperlink.0"/>
          <w:rtl w:val="0"/>
        </w:rPr>
        <w:t>Rodriguez Barranco 2017</w:t>
      </w:r>
      <w:r>
        <w:rPr/>
        <w:fldChar w:fldCharType="end" w:fldLock="0"/>
      </w:r>
      <w:r>
        <w:rPr>
          <w:rtl w:val="0"/>
          <w:lang w:val="en-US"/>
        </w:rPr>
        <w:t>. What happens to the effect estimates, if we transform them in this way?</w:t>
      </w:r>
      <w:r>
        <w:br w:type="textWrapping"/>
      </w:r>
      <w:bookmarkEnd w:id="4"/>
    </w:p>
    <w:p>
      <w:pPr>
        <w:pStyle w:val="Heading 2"/>
      </w:pPr>
      <w:bookmarkStart w:name="_Toc3" w:id="5"/>
      <w:bookmarkStart w:name="visuallycheckingtransformations" w:id="6"/>
      <w:r>
        <w:rPr>
          <w:rFonts w:cs="Arial Unicode MS" w:eastAsia="Arial Unicode MS"/>
          <w:rtl w:val="0"/>
          <w:lang w:val="en-US"/>
        </w:rPr>
        <w:t>Visually Checking Transformations</w:t>
      </w:r>
      <w:bookmarkEnd w:id="5"/>
    </w:p>
    <w:p>
      <w:pPr>
        <w:pStyle w:val="First Paragraph"/>
      </w:pPr>
      <w:r>
        <w:rPr>
          <w:rtl w:val="0"/>
          <w:lang w:val="en-US"/>
        </w:rPr>
        <w:t>Let</w:t>
      </w:r>
      <w:r>
        <w:rPr>
          <w:rtl w:val="0"/>
          <w:lang w:val="en-US"/>
        </w:rPr>
        <w:t>’</w:t>
      </w:r>
      <w:r>
        <w:rPr>
          <w:rtl w:val="0"/>
          <w:lang w:val="en-US"/>
        </w:rPr>
        <w:t xml:space="preserve">s compare an original beta coefficient from </w:t>
      </w:r>
      <w:r>
        <w:rPr>
          <w:rStyle w:val="Hyperlink.0"/>
        </w:rPr>
        <w:fldChar w:fldCharType="begin" w:fldLock="0"/>
      </w:r>
      <w:r>
        <w:rPr>
          <w:rStyle w:val="Hyperlink.0"/>
        </w:rPr>
        <w:instrText xml:space="preserve"> HYPERLINK "https://doi.org/10.3109/10408444.2013.832726"</w:instrText>
      </w:r>
      <w:r>
        <w:rPr>
          <w:rStyle w:val="Hyperlink.0"/>
        </w:rPr>
        <w:fldChar w:fldCharType="separate" w:fldLock="0"/>
      </w:r>
      <w:r>
        <w:rPr>
          <w:rStyle w:val="Hyperlink.0"/>
          <w:rtl w:val="0"/>
        </w:rPr>
        <w:t>Crump et al.</w:t>
      </w:r>
      <w:r>
        <w:rPr>
          <w:rStyle w:val="Hyperlink.0"/>
          <w:rtl w:val="0"/>
        </w:rPr>
        <w:t> </w:t>
      </w:r>
      <w:r>
        <w:rPr>
          <w:rStyle w:val="Hyperlink.0"/>
          <w:rtl w:val="0"/>
        </w:rPr>
        <w:t>2013</w:t>
      </w:r>
      <w:r>
        <w:rPr/>
        <w:fldChar w:fldCharType="end" w:fldLock="0"/>
      </w:r>
      <w:r>
        <w:rPr>
          <w:rtl w:val="0"/>
          <w:lang w:val="en-US"/>
        </w:rPr>
        <w:t xml:space="preserve"> (</w:t>
      </w:r>
      <w:r>
        <w:rPr>
          <w:rtl w:val="0"/>
          <w:lang w:val="en-US"/>
        </w:rPr>
        <w:t xml:space="preserve">ß </w:t>
      </w:r>
      <w:r>
        <w:rPr>
          <w:rtl w:val="0"/>
          <w:lang w:val="en-US"/>
        </w:rPr>
        <w:t>= -2.65) for ln(BLL) to the transformed one (</w:t>
      </w:r>
      <w:r>
        <w:rPr>
          <w:rtl w:val="0"/>
          <w:lang w:val="en-US"/>
        </w:rPr>
        <w:t xml:space="preserve">ß </w:t>
      </w:r>
      <w:r>
        <w:rPr>
          <w:rtl w:val="0"/>
          <w:lang w:val="en-US"/>
        </w:rPr>
        <w:t>= -0.277), which can now be used for linear BLL.</w:t>
      </w:r>
    </w:p>
    <w:p>
      <w:pPr>
        <w:pStyle w:val="Body Text"/>
      </w:pPr>
      <w:r>
        <w:drawing xmlns:a="http://schemas.openxmlformats.org/drawingml/2006/main">
          <wp:inline distT="0" distB="0" distL="0" distR="0">
            <wp:extent cx="5943600" cy="3200400"/>
            <wp:effectExtent l="0" t="0" r="0" b="0"/>
            <wp:docPr id="1073741825" name="officeArt object" descr="rId25.png"/>
            <wp:cNvGraphicFramePr/>
            <a:graphic xmlns:a="http://schemas.openxmlformats.org/drawingml/2006/main">
              <a:graphicData uri="http://schemas.openxmlformats.org/drawingml/2006/picture">
                <pic:pic xmlns:pic="http://schemas.openxmlformats.org/drawingml/2006/picture">
                  <pic:nvPicPr>
                    <pic:cNvPr id="1073741825" name="rId25.png" descr="rId25.png"/>
                    <pic:cNvPicPr>
                      <a:picLocks noChangeAspect="1"/>
                    </pic:cNvPicPr>
                  </pic:nvPicPr>
                  <pic:blipFill>
                    <a:blip r:embed="rId4">
                      <a:extLst/>
                    </a:blip>
                    <a:stretch>
                      <a:fillRect/>
                    </a:stretch>
                  </pic:blipFill>
                  <pic:spPr>
                    <a:xfrm>
                      <a:off x="0" y="0"/>
                      <a:ext cx="5943600" cy="3200400"/>
                    </a:xfrm>
                    <a:prstGeom prst="rect">
                      <a:avLst/>
                    </a:prstGeom>
                    <a:ln w="12700" cap="flat">
                      <a:noFill/>
                      <a:miter lim="400000"/>
                    </a:ln>
                    <a:effectLst/>
                  </pic:spPr>
                </pic:pic>
              </a:graphicData>
            </a:graphic>
          </wp:inline>
        </w:drawing>
      </w:r>
    </w:p>
    <w:p>
      <w:pPr>
        <w:pStyle w:val="Body Text"/>
      </w:pPr>
      <w:r>
        <w:rPr>
          <w:rtl w:val="0"/>
          <w:lang w:val="en-US"/>
        </w:rPr>
        <w:t xml:space="preserve">It appears that we would heavily underestimate the effects of lower BLL and overestimate the effects of higher BLL. Since today, BLL are often found to be much lower than even 30 </w:t>
      </w:r>
      <w:r>
        <w:rPr>
          <w:rtl w:val="0"/>
          <w:lang w:val="en-US"/>
        </w:rPr>
        <w:t>µ</w:t>
      </w:r>
      <w:r>
        <w:rPr>
          <w:rtl w:val="0"/>
          <w:lang w:val="en-US"/>
        </w:rPr>
        <w:t xml:space="preserve">g/dL (in our sample, the range is approximately 0.04 to 4.5 </w:t>
      </w:r>
      <w:r>
        <w:rPr>
          <w:rtl w:val="0"/>
          <w:lang w:val="en-US"/>
        </w:rPr>
        <w:t>µ</w:t>
      </w:r>
      <w:r>
        <w:rPr>
          <w:rtl w:val="0"/>
          <w:lang w:val="en-US"/>
        </w:rPr>
        <w:t>g/dL), we would likely underestimate the population health effects of BLL on IQ in children.</w:t>
      </w:r>
      <w:r>
        <w:br w:type="textWrapping"/>
      </w:r>
      <w:r>
        <w:rPr>
          <w:rtl w:val="0"/>
          <w:lang w:val="en-US"/>
        </w:rPr>
        <w:t>Therefore, transforming log estimates to linear seems to be problematic in our case.</w:t>
      </w:r>
      <w:bookmarkEnd w:id="6"/>
    </w:p>
    <w:p>
      <w:pPr>
        <w:pStyle w:val="Heading 2"/>
      </w:pPr>
      <w:bookmarkStart w:name="_Toc4" w:id="7"/>
      <w:bookmarkStart w:name="transformingestimatestolnbll" w:id="8"/>
      <w:r>
        <w:rPr>
          <w:rFonts w:cs="Arial Unicode MS" w:eastAsia="Arial Unicode MS"/>
          <w:rtl w:val="0"/>
          <w:lang w:val="en-US"/>
        </w:rPr>
        <w:t>Transforming Estimates to ln(BLL)</w:t>
      </w:r>
      <w:bookmarkEnd w:id="7"/>
    </w:p>
    <w:p>
      <w:pPr>
        <w:pStyle w:val="First Paragraph"/>
      </w:pPr>
      <w:r>
        <w:rPr>
          <w:rtl w:val="0"/>
          <w:lang w:val="en-US"/>
        </w:rPr>
        <w:t>In order to preserve the correct exposure-response curves and harmonize the effect estimates for the meta analysis, we could try to transform all estimates to ln(BLL), as this is closer to the original estimates reported by the studies, which mostly just used different bases for their logarithmic transformations.</w:t>
      </w:r>
    </w:p>
    <w:p>
      <w:pPr>
        <w:pStyle w:val="Body Text"/>
      </w:pPr>
      <w:r>
        <w:rPr>
          <w:rtl w:val="0"/>
          <w:lang w:val="en-US"/>
        </w:rPr>
        <w:t>These are the formulas I used to transform the different estimates to ln(BLL):</w:t>
      </w:r>
      <w:r>
        <w:br w:type="textWrapping"/>
      </w:r>
    </w:p>
    <w:p>
      <w:pPr>
        <w:pStyle w:val="Body Text"/>
        <w:jc w:val="center"/>
        <w:rPr>
          <w:color w:val="000000"/>
          <w:sz w:val="24"/>
        </w:rPr>
      </w:pPr>
      <m:oMathPara>
        <m:oMathParaPr>
          <m:jc m:val="center"/>
        </m:oMathParaPr>
        <m:oMath>
          <m:sSub>
            <m:e>
              <m:r>
                <w:rPr xmlns:w="http://schemas.openxmlformats.org/wordprocessingml/2006/main">
                  <w:rFonts w:ascii="Cambria Math" w:hAnsi="Cambria Math"/>
                  <w:i/>
                  <w:color w:val="000000"/>
                  <w:sz w:val="28"/>
                  <w:szCs w:val="28"/>
                </w:rPr>
                <m:t>β</m:t>
              </m:r>
            </m:e>
            <m:sub>
              <m:r>
                <w:rPr xmlns:w="http://schemas.openxmlformats.org/wordprocessingml/2006/main">
                  <w:rFonts w:ascii="Cambria Math" w:hAnsi="Cambria Math"/>
                  <w:i/>
                  <w:color w:val="000000"/>
                  <w:sz w:val="28"/>
                  <w:szCs w:val="28"/>
                </w:rPr>
                <m:t>l</m:t>
              </m:r>
              <m:r>
                <w:rPr xmlns:w="http://schemas.openxmlformats.org/wordprocessingml/2006/main">
                  <w:rFonts w:ascii="Cambria Math" w:hAnsi="Cambria Math"/>
                  <w:i/>
                  <w:color w:val="000000"/>
                  <w:sz w:val="28"/>
                  <w:szCs w:val="28"/>
                </w:rPr>
                <m:t>n</m:t>
              </m:r>
            </m:sub>
          </m:sSub>
          <m:r>
            <w:rPr xmlns:w="http://schemas.openxmlformats.org/wordprocessingml/2006/main">
              <w:rFonts w:ascii="Cambria Math" w:hAnsi="Cambria Math"/>
              <w:i/>
              <w:color w:val="000000"/>
              <w:sz w:val="28"/>
              <w:szCs w:val="28"/>
            </w:rPr>
            <m:t>=</m:t>
          </m:r>
          <m:sSub>
            <m:e>
              <m:r>
                <w:rPr xmlns:w="http://schemas.openxmlformats.org/wordprocessingml/2006/main">
                  <w:rFonts w:ascii="Cambria Math" w:hAnsi="Cambria Math"/>
                  <w:i/>
                  <w:color w:val="000000"/>
                  <w:sz w:val="28"/>
                  <w:szCs w:val="28"/>
                </w:rPr>
                <m:t>β</m:t>
              </m:r>
            </m:e>
            <m:sub>
              <m:r>
                <w:rPr xmlns:w="http://schemas.openxmlformats.org/wordprocessingml/2006/main">
                  <w:rFonts w:ascii="Cambria Math" w:hAnsi="Cambria Math"/>
                  <w:i/>
                  <w:color w:val="000000"/>
                  <w:sz w:val="28"/>
                  <w:szCs w:val="28"/>
                </w:rPr>
                <m:t>l</m:t>
              </m:r>
              <m:r>
                <w:rPr xmlns:w="http://schemas.openxmlformats.org/wordprocessingml/2006/main">
                  <w:rFonts w:ascii="Cambria Math" w:hAnsi="Cambria Math"/>
                  <w:i/>
                  <w:color w:val="000000"/>
                  <w:sz w:val="28"/>
                  <w:szCs w:val="28"/>
                </w:rPr>
                <m:t>i</m:t>
              </m:r>
              <m:r>
                <w:rPr xmlns:w="http://schemas.openxmlformats.org/wordprocessingml/2006/main">
                  <w:rFonts w:ascii="Cambria Math" w:hAnsi="Cambria Math"/>
                  <w:i/>
                  <w:color w:val="000000"/>
                  <w:sz w:val="28"/>
                  <w:szCs w:val="28"/>
                </w:rPr>
                <m:t>n</m:t>
              </m:r>
              <m:r>
                <w:rPr xmlns:w="http://schemas.openxmlformats.org/wordprocessingml/2006/main">
                  <w:rFonts w:ascii="Cambria Math" w:hAnsi="Cambria Math"/>
                  <w:i/>
                  <w:color w:val="000000"/>
                  <w:sz w:val="28"/>
                  <w:szCs w:val="28"/>
                </w:rPr>
                <m:t>e</m:t>
              </m:r>
              <m:r>
                <w:rPr xmlns:w="http://schemas.openxmlformats.org/wordprocessingml/2006/main">
                  <w:rFonts w:ascii="Cambria Math" w:hAnsi="Cambria Math"/>
                  <w:i/>
                  <w:color w:val="000000"/>
                  <w:sz w:val="28"/>
                  <w:szCs w:val="28"/>
                </w:rPr>
                <m:t>a</m:t>
              </m:r>
              <m:r>
                <w:rPr xmlns:w="http://schemas.openxmlformats.org/wordprocessingml/2006/main">
                  <w:rFonts w:ascii="Cambria Math" w:hAnsi="Cambria Math"/>
                  <w:i/>
                  <w:color w:val="000000"/>
                  <w:sz w:val="28"/>
                  <w:szCs w:val="28"/>
                </w:rPr>
                <m:t>r</m:t>
              </m:r>
            </m:sub>
          </m:sSub>
          <m:r>
            <w:rPr xmlns:w="http://schemas.openxmlformats.org/wordprocessingml/2006/main">
              <w:rFonts w:ascii="Cambria Math" w:hAnsi="Cambria Math"/>
              <w:i/>
              <w:color w:val="000000"/>
              <w:sz w:val="28"/>
              <w:szCs w:val="28"/>
            </w:rPr>
            <m:t>×</m:t>
          </m:r>
          <m:sSub>
            <m:e>
              <m:r>
                <w:rPr xmlns:w="http://schemas.openxmlformats.org/wordprocessingml/2006/main">
                  <w:rFonts w:ascii="Cambria Math" w:hAnsi="Cambria Math"/>
                  <w:i/>
                  <w:color w:val="000000"/>
                  <w:sz w:val="28"/>
                  <w:szCs w:val="28"/>
                </w:rPr>
                <m:t>C</m:t>
              </m:r>
            </m:e>
            <m:sub>
              <m:r>
                <w:rPr xmlns:w="http://schemas.openxmlformats.org/wordprocessingml/2006/main">
                  <w:rFonts w:ascii="Cambria Math" w:hAnsi="Cambria Math"/>
                  <w:i/>
                  <w:color w:val="000000"/>
                  <w:sz w:val="28"/>
                  <w:szCs w:val="28"/>
                </w:rPr>
                <m:t>r</m:t>
              </m:r>
              <m:r>
                <w:rPr xmlns:w="http://schemas.openxmlformats.org/wordprocessingml/2006/main">
                  <w:rFonts w:ascii="Cambria Math" w:hAnsi="Cambria Math"/>
                  <w:i/>
                  <w:color w:val="000000"/>
                  <w:sz w:val="28"/>
                  <w:szCs w:val="28"/>
                </w:rPr>
                <m:t>e</m:t>
              </m:r>
              <m:r>
                <w:rPr xmlns:w="http://schemas.openxmlformats.org/wordprocessingml/2006/main">
                  <w:rFonts w:ascii="Cambria Math" w:hAnsi="Cambria Math"/>
                  <w:i/>
                  <w:color w:val="000000"/>
                  <w:sz w:val="28"/>
                  <w:szCs w:val="28"/>
                </w:rPr>
                <m:t>f</m:t>
              </m:r>
            </m:sub>
          </m:sSub>
          <m:r>
            <w:rPr xmlns:w="http://schemas.openxmlformats.org/wordprocessingml/2006/main">
              <w:rFonts w:ascii="Cambria Math" w:hAnsi="Cambria Math"/>
              <w:i/>
              <w:color w:val="000000"/>
              <w:sz w:val="28"/>
              <w:szCs w:val="28"/>
            </w:rPr>
            <m:t/>
          </m:r>
        </m:oMath>
      </m:oMathPara>
    </w:p>
    <w:p>
      <w:pPr>
        <w:pStyle w:val="First Paragraph"/>
        <w:jc w:val="center"/>
        <w:rPr>
          <w:color w:val="000000"/>
          <w:sz w:val="24"/>
        </w:rPr>
      </w:pPr>
      <m:oMathPara>
        <m:oMathParaPr>
          <m:jc m:val="center"/>
        </m:oMathParaPr>
        <m:oMath>
          <m:sSub>
            <m:e>
              <m:r>
                <w:rPr xmlns:w="http://schemas.openxmlformats.org/wordprocessingml/2006/main">
                  <w:rFonts w:ascii="Cambria Math" w:hAnsi="Cambria Math"/>
                  <w:i/>
                  <w:color w:val="000000"/>
                  <w:sz w:val="28"/>
                  <w:szCs w:val="28"/>
                </w:rPr>
                <m:t>β</m:t>
              </m:r>
            </m:e>
            <m:sub>
              <m:r>
                <w:rPr xmlns:w="http://schemas.openxmlformats.org/wordprocessingml/2006/main">
                  <w:rFonts w:ascii="Cambria Math" w:hAnsi="Cambria Math"/>
                  <w:i/>
                  <w:color w:val="000000"/>
                  <w:sz w:val="28"/>
                  <w:szCs w:val="28"/>
                </w:rPr>
                <m:t>l</m:t>
              </m:r>
              <m:r>
                <w:rPr xmlns:w="http://schemas.openxmlformats.org/wordprocessingml/2006/main">
                  <w:rFonts w:ascii="Cambria Math" w:hAnsi="Cambria Math"/>
                  <w:i/>
                  <w:color w:val="000000"/>
                  <w:sz w:val="28"/>
                  <w:szCs w:val="28"/>
                </w:rPr>
                <m:t>n</m:t>
              </m:r>
            </m:sub>
          </m:sSub>
          <m:r>
            <w:rPr xmlns:w="http://schemas.openxmlformats.org/wordprocessingml/2006/main">
              <w:rFonts w:ascii="Cambria Math" w:hAnsi="Cambria Math"/>
              <w:i/>
              <w:color w:val="000000"/>
              <w:sz w:val="28"/>
              <w:szCs w:val="28"/>
            </w:rPr>
            <m:t>=</m:t>
          </m:r>
          <m:f>
            <m:fPr>
              <m:ctrlPr>
                <w:rPr xmlns:w="http://schemas.openxmlformats.org/wordprocessingml/2006/main">
                  <w:rFonts w:ascii="Cambria Math" w:hAnsi="Cambria Math"/>
                  <w:i/>
                  <w:color w:val="000000"/>
                  <w:sz w:val="28"/>
                  <w:szCs w:val="28"/>
                </w:rPr>
              </m:ctrlPr>
              <m:type m:val="bar"/>
            </m:fPr>
            <m:num>
              <m:r>
                <w:rPr xmlns:w="http://schemas.openxmlformats.org/wordprocessingml/2006/main">
                  <w:rFonts w:ascii="Cambria Math" w:hAnsi="Cambria Math"/>
                  <w:i/>
                  <w:color w:val="000000"/>
                  <w:sz w:val="28"/>
                  <w:szCs w:val="28"/>
                </w:rPr>
                <m:t>b</m:t>
              </m:r>
              <m:r>
                <w:rPr xmlns:w="http://schemas.openxmlformats.org/wordprocessingml/2006/main">
                  <w:rFonts w:ascii="Cambria Math" w:hAnsi="Cambria Math"/>
                  <w:i/>
                  <w:color w:val="000000"/>
                  <w:sz w:val="28"/>
                  <w:szCs w:val="28"/>
                </w:rPr>
                <m:t>e</m:t>
              </m:r>
              <m:r>
                <w:rPr xmlns:w="http://schemas.openxmlformats.org/wordprocessingml/2006/main">
                  <w:rFonts w:ascii="Cambria Math" w:hAnsi="Cambria Math"/>
                  <w:i/>
                  <w:color w:val="000000"/>
                  <w:sz w:val="28"/>
                  <w:szCs w:val="28"/>
                </w:rPr>
                <m:t>t</m:t>
              </m:r>
              <m:sSub>
                <m:e>
                  <m:r>
                    <w:rPr xmlns:w="http://schemas.openxmlformats.org/wordprocessingml/2006/main">
                      <w:rFonts w:ascii="Cambria Math" w:hAnsi="Cambria Math"/>
                      <w:i/>
                      <w:color w:val="000000"/>
                      <w:sz w:val="28"/>
                      <w:szCs w:val="28"/>
                    </w:rPr>
                    <m:t>a</m:t>
                  </m:r>
                </m:e>
                <m:sub>
                  <m:r>
                    <w:rPr xmlns:w="http://schemas.openxmlformats.org/wordprocessingml/2006/main">
                      <w:rFonts w:ascii="Cambria Math" w:hAnsi="Cambria Math"/>
                      <w:i/>
                      <w:color w:val="000000"/>
                      <w:sz w:val="28"/>
                      <w:szCs w:val="28"/>
                    </w:rPr>
                    <m:t>l</m:t>
                  </m:r>
                  <m:r>
                    <w:rPr xmlns:w="http://schemas.openxmlformats.org/wordprocessingml/2006/main">
                      <w:rFonts w:ascii="Cambria Math" w:hAnsi="Cambria Math"/>
                      <w:i/>
                      <w:color w:val="000000"/>
                      <w:sz w:val="28"/>
                      <w:szCs w:val="28"/>
                    </w:rPr>
                    <m:t>o</m:t>
                  </m:r>
                  <m:sSub>
                    <m:e>
                      <m:r>
                        <w:rPr xmlns:w="http://schemas.openxmlformats.org/wordprocessingml/2006/main">
                          <w:rFonts w:ascii="Cambria Math" w:hAnsi="Cambria Math"/>
                          <w:i/>
                          <w:color w:val="000000"/>
                          <w:sz w:val="28"/>
                          <w:szCs w:val="28"/>
                        </w:rPr>
                        <m:t>g</m:t>
                      </m:r>
                    </m:e>
                    <m:sub>
                      <m:r>
                        <w:rPr xmlns:w="http://schemas.openxmlformats.org/wordprocessingml/2006/main">
                          <w:rFonts w:ascii="Cambria Math" w:hAnsi="Cambria Math"/>
                          <w:i/>
                          <w:color w:val="000000"/>
                          <w:sz w:val="28"/>
                          <w:szCs w:val="28"/>
                        </w:rPr>
                        <m:t>2</m:t>
                      </m:r>
                    </m:sub>
                  </m:sSub>
                </m:sub>
              </m:sSub>
            </m:num>
            <m:den>
              <m:r>
                <m:rPr>
                  <m:sty m:val="p"/>
                </m:rPr>
                <w:rPr xmlns:w="http://schemas.openxmlformats.org/wordprocessingml/2006/main">
                  <w:rFonts w:ascii="Cambria Math" w:hAnsi="Cambria Math"/>
                  <w:i/>
                  <w:color w:val="000000"/>
                  <w:sz w:val="28"/>
                  <w:szCs w:val="28"/>
                </w:rPr>
                <m:t>l</m:t>
              </m:r>
              <m:r>
                <m:rPr>
                  <m:sty m:val="p"/>
                </m:rPr>
                <w:rPr xmlns:w="http://schemas.openxmlformats.org/wordprocessingml/2006/main">
                  <w:rFonts w:ascii="Cambria Math" w:hAnsi="Cambria Math"/>
                  <w:i/>
                  <w:color w:val="000000"/>
                  <w:sz w:val="28"/>
                  <w:szCs w:val="28"/>
                </w:rPr>
                <m:t>n</m:t>
              </m:r>
              <m:d>
                <m:dPr>
                  <m:ctrlPr>
                    <w:rPr xmlns:w="http://schemas.openxmlformats.org/wordprocessingml/2006/main">
                      <w:rFonts w:ascii="Cambria Math" w:hAnsi="Cambria Math"/>
                      <w:i/>
                      <w:color w:val="000000"/>
                      <w:sz w:val="28"/>
                      <w:szCs w:val="28"/>
                    </w:rPr>
                  </m:ctrlPr>
                  <m:sepChr m:val=""/>
                </m:dPr>
                <m:e>
                  <m:r>
                    <w:rPr xmlns:w="http://schemas.openxmlformats.org/wordprocessingml/2006/main">
                      <w:rFonts w:ascii="Cambria Math" w:hAnsi="Cambria Math"/>
                      <w:i/>
                      <w:color w:val="000000"/>
                      <w:sz w:val="28"/>
                      <w:szCs w:val="28"/>
                    </w:rPr>
                    <m:t>2</m:t>
                  </m:r>
                </m:e>
              </m:d>
            </m:den>
          </m:f>
          <m:r>
            <w:rPr xmlns:w="http://schemas.openxmlformats.org/wordprocessingml/2006/main">
              <w:rFonts w:ascii="Cambria Math" w:hAnsi="Cambria Math"/>
              <w:i/>
              <w:color w:val="000000"/>
              <w:sz w:val="28"/>
              <w:szCs w:val="28"/>
            </w:rPr>
            <m:t/>
          </m:r>
        </m:oMath>
      </m:oMathPara>
    </w:p>
    <w:p>
      <w:pPr>
        <w:pStyle w:val="First Paragraph"/>
        <w:jc w:val="center"/>
        <w:rPr>
          <w:color w:val="000000"/>
          <w:sz w:val="24"/>
        </w:rPr>
      </w:pPr>
      <m:oMathPara>
        <m:oMathParaPr>
          <m:jc m:val="center"/>
        </m:oMathParaPr>
        <m:oMath>
          <m:sSub>
            <m:e>
              <m:r>
                <w:rPr xmlns:w="http://schemas.openxmlformats.org/wordprocessingml/2006/main">
                  <w:rFonts w:ascii="Cambria Math" w:hAnsi="Cambria Math"/>
                  <w:i/>
                  <w:color w:val="000000"/>
                  <w:sz w:val="28"/>
                  <w:szCs w:val="28"/>
                </w:rPr>
                <m:t>β</m:t>
              </m:r>
            </m:e>
            <m:sub>
              <m:r>
                <w:rPr xmlns:w="http://schemas.openxmlformats.org/wordprocessingml/2006/main">
                  <w:rFonts w:ascii="Cambria Math" w:hAnsi="Cambria Math"/>
                  <w:i/>
                  <w:color w:val="000000"/>
                  <w:sz w:val="28"/>
                  <w:szCs w:val="28"/>
                </w:rPr>
                <m:t>l</m:t>
              </m:r>
              <m:r>
                <w:rPr xmlns:w="http://schemas.openxmlformats.org/wordprocessingml/2006/main">
                  <w:rFonts w:ascii="Cambria Math" w:hAnsi="Cambria Math"/>
                  <w:i/>
                  <w:color w:val="000000"/>
                  <w:sz w:val="28"/>
                  <w:szCs w:val="28"/>
                </w:rPr>
                <m:t>n</m:t>
              </m:r>
            </m:sub>
          </m:sSub>
          <m:r>
            <w:rPr xmlns:w="http://schemas.openxmlformats.org/wordprocessingml/2006/main">
              <w:rFonts w:ascii="Cambria Math" w:hAnsi="Cambria Math"/>
              <w:i/>
              <w:color w:val="000000"/>
              <w:sz w:val="28"/>
              <w:szCs w:val="28"/>
            </w:rPr>
            <m:t>=</m:t>
          </m:r>
          <m:f>
            <m:fPr>
              <m:ctrlPr>
                <w:rPr xmlns:w="http://schemas.openxmlformats.org/wordprocessingml/2006/main">
                  <w:rFonts w:ascii="Cambria Math" w:hAnsi="Cambria Math"/>
                  <w:i/>
                  <w:color w:val="000000"/>
                  <w:sz w:val="28"/>
                  <w:szCs w:val="28"/>
                </w:rPr>
              </m:ctrlPr>
              <m:type m:val="bar"/>
            </m:fPr>
            <m:num>
              <m:r>
                <w:rPr xmlns:w="http://schemas.openxmlformats.org/wordprocessingml/2006/main">
                  <w:rFonts w:ascii="Cambria Math" w:hAnsi="Cambria Math"/>
                  <w:i/>
                  <w:color w:val="000000"/>
                  <w:sz w:val="28"/>
                  <w:szCs w:val="28"/>
                </w:rPr>
                <m:t>b</m:t>
              </m:r>
              <m:r>
                <w:rPr xmlns:w="http://schemas.openxmlformats.org/wordprocessingml/2006/main">
                  <w:rFonts w:ascii="Cambria Math" w:hAnsi="Cambria Math"/>
                  <w:i/>
                  <w:color w:val="000000"/>
                  <w:sz w:val="28"/>
                  <w:szCs w:val="28"/>
                </w:rPr>
                <m:t>e</m:t>
              </m:r>
              <m:r>
                <w:rPr xmlns:w="http://schemas.openxmlformats.org/wordprocessingml/2006/main">
                  <w:rFonts w:ascii="Cambria Math" w:hAnsi="Cambria Math"/>
                  <w:i/>
                  <w:color w:val="000000"/>
                  <w:sz w:val="28"/>
                  <w:szCs w:val="28"/>
                </w:rPr>
                <m:t>t</m:t>
              </m:r>
              <m:sSub>
                <m:e>
                  <m:r>
                    <w:rPr xmlns:w="http://schemas.openxmlformats.org/wordprocessingml/2006/main">
                      <w:rFonts w:ascii="Cambria Math" w:hAnsi="Cambria Math"/>
                      <w:i/>
                      <w:color w:val="000000"/>
                      <w:sz w:val="28"/>
                      <w:szCs w:val="28"/>
                    </w:rPr>
                    <m:t>a</m:t>
                  </m:r>
                </m:e>
                <m:sub>
                  <m:r>
                    <w:rPr xmlns:w="http://schemas.openxmlformats.org/wordprocessingml/2006/main">
                      <w:rFonts w:ascii="Cambria Math" w:hAnsi="Cambria Math"/>
                      <w:i/>
                      <w:color w:val="000000"/>
                      <w:sz w:val="28"/>
                      <w:szCs w:val="28"/>
                    </w:rPr>
                    <m:t>l</m:t>
                  </m:r>
                  <m:r>
                    <w:rPr xmlns:w="http://schemas.openxmlformats.org/wordprocessingml/2006/main">
                      <w:rFonts w:ascii="Cambria Math" w:hAnsi="Cambria Math"/>
                      <w:i/>
                      <w:color w:val="000000"/>
                      <w:sz w:val="28"/>
                      <w:szCs w:val="28"/>
                    </w:rPr>
                    <m:t>o</m:t>
                  </m:r>
                  <m:sSub>
                    <m:e>
                      <m:r>
                        <w:rPr xmlns:w="http://schemas.openxmlformats.org/wordprocessingml/2006/main">
                          <w:rFonts w:ascii="Cambria Math" w:hAnsi="Cambria Math"/>
                          <w:i/>
                          <w:color w:val="000000"/>
                          <w:sz w:val="28"/>
                          <w:szCs w:val="28"/>
                        </w:rPr>
                        <m:t>g</m:t>
                      </m:r>
                    </m:e>
                    <m:sub>
                      <m:r>
                        <w:rPr xmlns:w="http://schemas.openxmlformats.org/wordprocessingml/2006/main">
                          <w:rFonts w:ascii="Cambria Math" w:hAnsi="Cambria Math"/>
                          <w:i/>
                          <w:color w:val="000000"/>
                          <w:sz w:val="28"/>
                          <w:szCs w:val="28"/>
                        </w:rPr>
                        <m:t>10</m:t>
                      </m:r>
                    </m:sub>
                  </m:sSub>
                </m:sub>
              </m:sSub>
            </m:num>
            <m:den>
              <m:r>
                <m:rPr>
                  <m:sty m:val="p"/>
                </m:rPr>
                <w:rPr xmlns:w="http://schemas.openxmlformats.org/wordprocessingml/2006/main">
                  <w:rFonts w:ascii="Cambria Math" w:hAnsi="Cambria Math"/>
                  <w:i/>
                  <w:color w:val="000000"/>
                  <w:sz w:val="28"/>
                  <w:szCs w:val="28"/>
                </w:rPr>
                <m:t>l</m:t>
              </m:r>
              <m:r>
                <m:rPr>
                  <m:sty m:val="p"/>
                </m:rPr>
                <w:rPr xmlns:w="http://schemas.openxmlformats.org/wordprocessingml/2006/main">
                  <w:rFonts w:ascii="Cambria Math" w:hAnsi="Cambria Math"/>
                  <w:i/>
                  <w:color w:val="000000"/>
                  <w:sz w:val="28"/>
                  <w:szCs w:val="28"/>
                </w:rPr>
                <m:t>n</m:t>
              </m:r>
              <m:d>
                <m:dPr>
                  <m:ctrlPr>
                    <w:rPr xmlns:w="http://schemas.openxmlformats.org/wordprocessingml/2006/main">
                      <w:rFonts w:ascii="Cambria Math" w:hAnsi="Cambria Math"/>
                      <w:i/>
                      <w:color w:val="000000"/>
                      <w:sz w:val="28"/>
                      <w:szCs w:val="28"/>
                    </w:rPr>
                  </m:ctrlPr>
                  <m:sepChr m:val=""/>
                </m:dPr>
                <m:e>
                  <m:r>
                    <w:rPr xmlns:w="http://schemas.openxmlformats.org/wordprocessingml/2006/main">
                      <w:rFonts w:ascii="Cambria Math" w:hAnsi="Cambria Math"/>
                      <w:i/>
                      <w:color w:val="000000"/>
                      <w:sz w:val="28"/>
                      <w:szCs w:val="28"/>
                    </w:rPr>
                    <m:t>10</m:t>
                  </m:r>
                </m:e>
              </m:d>
            </m:den>
          </m:f>
          <m:r>
            <w:rPr xmlns:w="http://schemas.openxmlformats.org/wordprocessingml/2006/main">
              <w:rFonts w:ascii="Cambria Math" w:hAnsi="Cambria Math"/>
              <w:i/>
              <w:color w:val="000000"/>
              <w:sz w:val="28"/>
              <w:szCs w:val="28"/>
            </w:rPr>
            <m:t/>
          </m:r>
        </m:oMath>
      </m:oMathPara>
    </w:p>
    <w:p>
      <w:pPr>
        <w:pStyle w:val="First Paragraph"/>
        <w:rPr>
          <w:color w:val="000000"/>
          <w:sz w:val="24"/>
        </w:rPr>
      </w:pPr>
      <w:r>
        <w:rPr>
          <w:rtl w:val="0"/>
          <w:lang w:val="en-US"/>
        </w:rPr>
        <w:t>Where:</w:t>
      </w:r>
      <w:r>
        <w:br w:type="textWrapping"/>
      </w:r>
      <m:oMath>
        <m:sSub>
          <m:e>
            <m:r>
              <w:rPr xmlns:w="http://schemas.openxmlformats.org/wordprocessingml/2006/main">
                <w:rFonts w:ascii="Cambria Math" w:hAnsi="Cambria Math"/>
                <w:i/>
                <w:color w:val="000000"/>
                <w:sz w:val="28"/>
                <w:szCs w:val="28"/>
              </w:rPr>
              <m:t>β</m:t>
            </m:r>
          </m:e>
          <m:sub>
            <m:r>
              <w:rPr xmlns:w="http://schemas.openxmlformats.org/wordprocessingml/2006/main">
                <w:rFonts w:ascii="Cambria Math" w:hAnsi="Cambria Math"/>
                <w:i/>
                <w:color w:val="000000"/>
                <w:sz w:val="28"/>
                <w:szCs w:val="28"/>
              </w:rPr>
              <m:t>l</m:t>
            </m:r>
            <m:r>
              <w:rPr xmlns:w="http://schemas.openxmlformats.org/wordprocessingml/2006/main">
                <w:rFonts w:ascii="Cambria Math" w:hAnsi="Cambria Math"/>
                <w:i/>
                <w:color w:val="000000"/>
                <w:sz w:val="28"/>
                <w:szCs w:val="28"/>
              </w:rPr>
              <m:t>n</m:t>
            </m:r>
          </m:sub>
        </m:sSub>
      </m:oMath>
      <w:r>
        <w:rPr>
          <w:rtl w:val="0"/>
          <w:lang w:val="en-US"/>
        </w:rPr>
        <w:t xml:space="preserve"> = harmonized beta coefficient (natural logarithm)</w:t>
      </w:r>
      <w:r>
        <w:br w:type="textWrapping"/>
      </w:r>
      <m:oMath>
        <m:sSub>
          <m:e>
            <m:r>
              <w:rPr xmlns:w="http://schemas.openxmlformats.org/wordprocessingml/2006/main">
                <w:rFonts w:ascii="Cambria Math" w:hAnsi="Cambria Math"/>
                <w:i/>
                <w:color w:val="000000"/>
                <w:sz w:val="28"/>
                <w:szCs w:val="28"/>
              </w:rPr>
              <m:t>β</m:t>
            </m:r>
          </m:e>
          <m:sub>
            <m:r>
              <w:rPr xmlns:w="http://schemas.openxmlformats.org/wordprocessingml/2006/main">
                <w:rFonts w:ascii="Cambria Math" w:hAnsi="Cambria Math"/>
                <w:i/>
                <w:color w:val="000000"/>
                <w:sz w:val="28"/>
                <w:szCs w:val="28"/>
              </w:rPr>
              <m:t>l</m:t>
            </m:r>
            <m:r>
              <w:rPr xmlns:w="http://schemas.openxmlformats.org/wordprocessingml/2006/main">
                <w:rFonts w:ascii="Cambria Math" w:hAnsi="Cambria Math"/>
                <w:i/>
                <w:color w:val="000000"/>
                <w:sz w:val="28"/>
                <w:szCs w:val="28"/>
              </w:rPr>
              <m:t>i</m:t>
            </m:r>
            <m:r>
              <w:rPr xmlns:w="http://schemas.openxmlformats.org/wordprocessingml/2006/main">
                <w:rFonts w:ascii="Cambria Math" w:hAnsi="Cambria Math"/>
                <w:i/>
                <w:color w:val="000000"/>
                <w:sz w:val="28"/>
                <w:szCs w:val="28"/>
              </w:rPr>
              <m:t>n</m:t>
            </m:r>
            <m:r>
              <w:rPr xmlns:w="http://schemas.openxmlformats.org/wordprocessingml/2006/main">
                <w:rFonts w:ascii="Cambria Math" w:hAnsi="Cambria Math"/>
                <w:i/>
                <w:color w:val="000000"/>
                <w:sz w:val="28"/>
                <w:szCs w:val="28"/>
              </w:rPr>
              <m:t>e</m:t>
            </m:r>
            <m:r>
              <w:rPr xmlns:w="http://schemas.openxmlformats.org/wordprocessingml/2006/main">
                <w:rFonts w:ascii="Cambria Math" w:hAnsi="Cambria Math"/>
                <w:i/>
                <w:color w:val="000000"/>
                <w:sz w:val="28"/>
                <w:szCs w:val="28"/>
              </w:rPr>
              <m:t>a</m:t>
            </m:r>
            <m:r>
              <w:rPr xmlns:w="http://schemas.openxmlformats.org/wordprocessingml/2006/main">
                <w:rFonts w:ascii="Cambria Math" w:hAnsi="Cambria Math"/>
                <w:i/>
                <w:color w:val="000000"/>
                <w:sz w:val="28"/>
                <w:szCs w:val="28"/>
              </w:rPr>
              <m:t>r</m:t>
            </m:r>
          </m:sub>
        </m:sSub>
      </m:oMath>
      <w:r>
        <w:rPr>
          <w:rtl w:val="0"/>
          <w:lang w:val="en-US"/>
        </w:rPr>
        <w:t xml:space="preserve"> = beta coefficient for linear BLL</w:t>
      </w:r>
      <w:r>
        <w:br w:type="textWrapping"/>
      </w:r>
      <m:oMath>
        <m:sSub>
          <m:e>
            <m:r>
              <w:rPr xmlns:w="http://schemas.openxmlformats.org/wordprocessingml/2006/main">
                <w:rFonts w:ascii="Cambria Math" w:hAnsi="Cambria Math"/>
                <w:i/>
                <w:color w:val="000000"/>
                <w:sz w:val="28"/>
                <w:szCs w:val="28"/>
              </w:rPr>
              <m:t>β</m:t>
            </m:r>
          </m:e>
          <m:sub>
            <m:r>
              <w:rPr xmlns:w="http://schemas.openxmlformats.org/wordprocessingml/2006/main">
                <w:rFonts w:ascii="Cambria Math" w:hAnsi="Cambria Math"/>
                <w:i/>
                <w:color w:val="000000"/>
                <w:sz w:val="28"/>
                <w:szCs w:val="28"/>
              </w:rPr>
              <m:t>l</m:t>
            </m:r>
            <m:r>
              <w:rPr xmlns:w="http://schemas.openxmlformats.org/wordprocessingml/2006/main">
                <w:rFonts w:ascii="Cambria Math" w:hAnsi="Cambria Math"/>
                <w:i/>
                <w:color w:val="000000"/>
                <w:sz w:val="28"/>
                <w:szCs w:val="28"/>
              </w:rPr>
              <m:t>o</m:t>
            </m:r>
            <m:sSub>
              <m:e>
                <m:r>
                  <w:rPr xmlns:w="http://schemas.openxmlformats.org/wordprocessingml/2006/main">
                    <w:rFonts w:ascii="Cambria Math" w:hAnsi="Cambria Math"/>
                    <w:i/>
                    <w:color w:val="000000"/>
                    <w:sz w:val="28"/>
                    <w:szCs w:val="28"/>
                  </w:rPr>
                  <m:t>g</m:t>
                </m:r>
              </m:e>
              <m:sub>
                <m:r>
                  <w:rPr xmlns:w="http://schemas.openxmlformats.org/wordprocessingml/2006/main">
                    <w:rFonts w:ascii="Cambria Math" w:hAnsi="Cambria Math"/>
                    <w:i/>
                    <w:color w:val="000000"/>
                    <w:sz w:val="28"/>
                    <w:szCs w:val="28"/>
                  </w:rPr>
                  <m:t>2</m:t>
                </m:r>
              </m:sub>
            </m:sSub>
          </m:sub>
        </m:sSub>
      </m:oMath>
      <w:r>
        <w:rPr>
          <w:rtl w:val="0"/>
          <w:lang w:val="en-US"/>
        </w:rPr>
        <w:t xml:space="preserve"> = beta coefficient for log</w:t>
      </w:r>
      <w:r>
        <w:rPr>
          <w:rtl w:val="0"/>
          <w:lang w:val="en-US"/>
        </w:rPr>
        <w:t>₂</w:t>
      </w:r>
      <w:r>
        <w:rPr>
          <w:rtl w:val="0"/>
          <w:lang w:val="en-US"/>
        </w:rPr>
        <w:t>-transformed BLL</w:t>
      </w:r>
      <w:r>
        <w:br w:type="textWrapping"/>
      </w:r>
      <m:oMath>
        <m:sSub>
          <m:e>
            <m:r>
              <w:rPr xmlns:w="http://schemas.openxmlformats.org/wordprocessingml/2006/main">
                <w:rFonts w:ascii="Cambria Math" w:hAnsi="Cambria Math"/>
                <w:i/>
                <w:color w:val="000000"/>
                <w:sz w:val="28"/>
                <w:szCs w:val="28"/>
              </w:rPr>
              <m:t>β</m:t>
            </m:r>
          </m:e>
          <m:sub>
            <m:r>
              <w:rPr xmlns:w="http://schemas.openxmlformats.org/wordprocessingml/2006/main">
                <w:rFonts w:ascii="Cambria Math" w:hAnsi="Cambria Math"/>
                <w:i/>
                <w:color w:val="000000"/>
                <w:sz w:val="28"/>
                <w:szCs w:val="28"/>
              </w:rPr>
              <m:t>l</m:t>
            </m:r>
            <m:r>
              <w:rPr xmlns:w="http://schemas.openxmlformats.org/wordprocessingml/2006/main">
                <w:rFonts w:ascii="Cambria Math" w:hAnsi="Cambria Math"/>
                <w:i/>
                <w:color w:val="000000"/>
                <w:sz w:val="28"/>
                <w:szCs w:val="28"/>
              </w:rPr>
              <m:t>o</m:t>
            </m:r>
            <m:sSub>
              <m:e>
                <m:r>
                  <w:rPr xmlns:w="http://schemas.openxmlformats.org/wordprocessingml/2006/main">
                    <w:rFonts w:ascii="Cambria Math" w:hAnsi="Cambria Math"/>
                    <w:i/>
                    <w:color w:val="000000"/>
                    <w:sz w:val="28"/>
                    <w:szCs w:val="28"/>
                  </w:rPr>
                  <m:t>g</m:t>
                </m:r>
              </m:e>
              <m:sub>
                <m:r>
                  <w:rPr xmlns:w="http://schemas.openxmlformats.org/wordprocessingml/2006/main">
                    <w:rFonts w:ascii="Cambria Math" w:hAnsi="Cambria Math"/>
                    <w:i/>
                    <w:color w:val="000000"/>
                    <w:sz w:val="28"/>
                    <w:szCs w:val="28"/>
                  </w:rPr>
                  <m:t>10</m:t>
                </m:r>
              </m:sub>
            </m:sSub>
          </m:sub>
        </m:sSub>
      </m:oMath>
      <w:r>
        <w:rPr>
          <w:rtl w:val="0"/>
          <w:lang w:val="en-US"/>
        </w:rPr>
        <w:t xml:space="preserve"> = beta coefficient for log</w:t>
      </w:r>
      <w:r>
        <w:rPr>
          <w:rtl w:val="0"/>
          <w:lang w:val="en-US"/>
        </w:rPr>
        <w:t>₁₀</w:t>
      </w:r>
      <w:r>
        <w:rPr>
          <w:rtl w:val="0"/>
          <w:lang w:val="en-US"/>
        </w:rPr>
        <w:t>-transformed BLL</w:t>
      </w:r>
      <w:r>
        <w:br w:type="textWrapping"/>
      </w:r>
      <m:oMath>
        <m:sSub>
          <m:e>
            <m:r>
              <w:rPr xmlns:w="http://schemas.openxmlformats.org/wordprocessingml/2006/main">
                <w:rFonts w:ascii="Cambria Math" w:hAnsi="Cambria Math"/>
                <w:i/>
                <w:color w:val="000000"/>
                <w:sz w:val="28"/>
                <w:szCs w:val="28"/>
              </w:rPr>
              <m:t>C</m:t>
            </m:r>
          </m:e>
          <m:sub>
            <m:r>
              <w:rPr xmlns:w="http://schemas.openxmlformats.org/wordprocessingml/2006/main">
                <w:rFonts w:ascii="Cambria Math" w:hAnsi="Cambria Math"/>
                <w:i/>
                <w:color w:val="000000"/>
                <w:sz w:val="28"/>
                <w:szCs w:val="28"/>
              </w:rPr>
              <m:t>r</m:t>
            </m:r>
            <m:r>
              <w:rPr xmlns:w="http://schemas.openxmlformats.org/wordprocessingml/2006/main">
                <w:rFonts w:ascii="Cambria Math" w:hAnsi="Cambria Math"/>
                <w:i/>
                <w:color w:val="000000"/>
                <w:sz w:val="28"/>
                <w:szCs w:val="28"/>
              </w:rPr>
              <m:t>e</m:t>
            </m:r>
            <m:r>
              <w:rPr xmlns:w="http://schemas.openxmlformats.org/wordprocessingml/2006/main">
                <w:rFonts w:ascii="Cambria Math" w:hAnsi="Cambria Math"/>
                <w:i/>
                <w:color w:val="000000"/>
                <w:sz w:val="28"/>
                <w:szCs w:val="28"/>
              </w:rPr>
              <m:t>f</m:t>
            </m:r>
          </m:sub>
        </m:sSub>
      </m:oMath>
      <w:r>
        <w:rPr>
          <w:rtl w:val="0"/>
          <w:lang w:val="en-US"/>
        </w:rPr>
        <w:t xml:space="preserve"> = reference concentration for linear transformation</w:t>
      </w:r>
      <w:r>
        <w:br w:type="textWrapping"/>
      </w:r>
      <w:bookmarkEnd w:id="8"/>
    </w:p>
    <w:p>
      <w:pPr>
        <w:pStyle w:val="Heading 3"/>
      </w:pPr>
      <w:bookmarkStart w:name="_Toc5" w:id="9"/>
      <w:bookmarkStart w:name="X71046f5f926ade7e529f6cfe324b08463f4a176" w:id="10"/>
      <w:r>
        <w:rPr>
          <w:rFonts w:cs="Arial Unicode MS" w:eastAsia="Arial Unicode MS"/>
          <w:rtl w:val="0"/>
          <w:lang w:val="it-IT"/>
        </w:rPr>
        <w:t>Case 1: log</w:t>
      </w:r>
      <w:r>
        <w:rPr>
          <w:rFonts w:cs="Arial Unicode MS" w:eastAsia="Arial Unicode MS"/>
          <w:vertAlign w:val="subscript"/>
          <w:rtl w:val="0"/>
        </w:rPr>
        <w:t>10</w:t>
      </w:r>
      <w:r>
        <w:rPr>
          <w:rFonts w:cs="Arial Unicode MS" w:eastAsia="Arial Unicode MS"/>
          <w:rtl w:val="0"/>
          <w:lang w:val="da-DK"/>
        </w:rPr>
        <w:t xml:space="preserve">(BLL) -&gt; ln(BLL): </w:t>
      </w:r>
      <w:r>
        <w:rPr>
          <w:rStyle w:val="Hyperlink.0"/>
        </w:rPr>
        <w:fldChar w:fldCharType="begin" w:fldLock="0"/>
      </w:r>
      <w:r>
        <w:rPr>
          <w:rStyle w:val="Hyperlink.0"/>
        </w:rPr>
        <w:instrText xml:space="preserve"> HYPERLINK "https://doi.org/10.1016/j.scitotenv.2019.134519"</w:instrText>
      </w:r>
      <w:r>
        <w:rPr>
          <w:rStyle w:val="Hyperlink.0"/>
        </w:rPr>
        <w:fldChar w:fldCharType="separate" w:fldLock="0"/>
      </w:r>
      <w:r>
        <w:rPr>
          <w:rStyle w:val="Hyperlink.0"/>
          <w:rFonts w:cs="Arial Unicode MS" w:eastAsia="Arial Unicode MS"/>
          <w:rtl w:val="0"/>
        </w:rPr>
        <w:t>Dantzer et al.</w:t>
      </w:r>
      <w:r>
        <w:rPr>
          <w:rStyle w:val="Hyperlink.0"/>
          <w:rFonts w:cs="Arial Unicode MS" w:eastAsia="Arial Unicode MS" w:hint="default"/>
          <w:rtl w:val="0"/>
        </w:rPr>
        <w:t> </w:t>
      </w:r>
      <w:r>
        <w:rPr>
          <w:rStyle w:val="Hyperlink.0"/>
          <w:rFonts w:cs="Arial Unicode MS" w:eastAsia="Arial Unicode MS"/>
          <w:rtl w:val="0"/>
        </w:rPr>
        <w:t>2020</w:t>
      </w:r>
      <w:r>
        <w:rPr/>
        <w:fldChar w:fldCharType="end" w:fldLock="0"/>
      </w:r>
      <w:bookmarkEnd w:id="9"/>
    </w:p>
    <w:p>
      <w:pPr>
        <w:pStyle w:val="First Paragraph"/>
      </w:pPr>
      <w:r>
        <w:drawing xmlns:a="http://schemas.openxmlformats.org/drawingml/2006/main">
          <wp:inline distT="0" distB="0" distL="0" distR="0">
            <wp:extent cx="5943600" cy="3200400"/>
            <wp:effectExtent l="0" t="0" r="0" b="0"/>
            <wp:docPr id="1073741826" name="officeArt object" descr="rId30.png"/>
            <wp:cNvGraphicFramePr/>
            <a:graphic xmlns:a="http://schemas.openxmlformats.org/drawingml/2006/main">
              <a:graphicData uri="http://schemas.openxmlformats.org/drawingml/2006/picture">
                <pic:pic xmlns:pic="http://schemas.openxmlformats.org/drawingml/2006/picture">
                  <pic:nvPicPr>
                    <pic:cNvPr id="1073741826" name="rId30.png" descr="rId30.png"/>
                    <pic:cNvPicPr>
                      <a:picLocks noChangeAspect="1"/>
                    </pic:cNvPicPr>
                  </pic:nvPicPr>
                  <pic:blipFill>
                    <a:blip r:embed="rId5">
                      <a:extLst/>
                    </a:blip>
                    <a:stretch>
                      <a:fillRect/>
                    </a:stretch>
                  </pic:blipFill>
                  <pic:spPr>
                    <a:xfrm>
                      <a:off x="0" y="0"/>
                      <a:ext cx="5943600" cy="3200400"/>
                    </a:xfrm>
                    <a:prstGeom prst="rect">
                      <a:avLst/>
                    </a:prstGeom>
                    <a:ln w="12700" cap="flat">
                      <a:noFill/>
                      <a:miter lim="400000"/>
                    </a:ln>
                    <a:effectLst/>
                  </pic:spPr>
                </pic:pic>
              </a:graphicData>
            </a:graphic>
          </wp:inline>
        </w:drawing>
      </w:r>
    </w:p>
    <w:p>
      <w:pPr>
        <w:pStyle w:val="Body Text"/>
      </w:pPr>
      <w:r>
        <w:rPr>
          <w:rtl w:val="0"/>
          <w:lang w:val="en-US"/>
        </w:rPr>
        <w:t>We can</w:t>
      </w:r>
      <w:r>
        <w:rPr>
          <w:rtl w:val="0"/>
          <w:lang w:val="en-US"/>
        </w:rPr>
        <w:t>’</w:t>
      </w:r>
      <w:r>
        <w:rPr>
          <w:rtl w:val="0"/>
          <w:lang w:val="en-US"/>
        </w:rPr>
        <w:t>t even see the blue curve, so the transformation should be valid.</w:t>
      </w:r>
      <w:bookmarkEnd w:id="10"/>
    </w:p>
    <w:p>
      <w:pPr>
        <w:pStyle w:val="Heading 3"/>
      </w:pPr>
      <w:bookmarkStart w:name="_Toc6" w:id="11"/>
      <w:bookmarkStart w:name="X6f1b3d0de6dbc4aada814709e8676cef04380a0" w:id="12"/>
      <w:r>
        <w:rPr>
          <w:rFonts w:cs="Arial Unicode MS" w:eastAsia="Arial Unicode MS"/>
          <w:rtl w:val="0"/>
          <w:lang w:val="it-IT"/>
        </w:rPr>
        <w:t>Case 2: log</w:t>
      </w:r>
      <w:r>
        <w:rPr>
          <w:rFonts w:cs="Arial Unicode MS" w:eastAsia="Arial Unicode MS"/>
          <w:vertAlign w:val="subscript"/>
          <w:rtl w:val="0"/>
        </w:rPr>
        <w:t>2</w:t>
      </w:r>
      <w:r>
        <w:rPr>
          <w:rFonts w:cs="Arial Unicode MS" w:eastAsia="Arial Unicode MS"/>
          <w:rtl w:val="0"/>
          <w:lang w:val="da-DK"/>
        </w:rPr>
        <w:t xml:space="preserve">(BLL) -&gt; ln(BLL): </w:t>
      </w:r>
      <w:r>
        <w:rPr>
          <w:rStyle w:val="Hyperlink.0"/>
        </w:rPr>
        <w:fldChar w:fldCharType="begin" w:fldLock="0"/>
      </w:r>
      <w:r>
        <w:rPr>
          <w:rStyle w:val="Hyperlink.0"/>
        </w:rPr>
        <w:instrText xml:space="preserve"> HYPERLINK "https://doi.org/10.1016/j.envint.2018.10.043"</w:instrText>
      </w:r>
      <w:r>
        <w:rPr>
          <w:rStyle w:val="Hyperlink.0"/>
        </w:rPr>
        <w:fldChar w:fldCharType="separate" w:fldLock="0"/>
      </w:r>
      <w:r>
        <w:rPr>
          <w:rStyle w:val="Hyperlink.0"/>
          <w:rFonts w:cs="Arial Unicode MS" w:eastAsia="Arial Unicode MS"/>
          <w:rtl w:val="0"/>
          <w:lang w:val="fr-FR"/>
        </w:rPr>
        <w:t>Desrochers-Couture et al.</w:t>
      </w:r>
      <w:r>
        <w:rPr>
          <w:rStyle w:val="Hyperlink.0"/>
          <w:rFonts w:cs="Arial Unicode MS" w:eastAsia="Arial Unicode MS" w:hint="default"/>
          <w:rtl w:val="0"/>
        </w:rPr>
        <w:t> </w:t>
      </w:r>
      <w:r>
        <w:rPr>
          <w:rStyle w:val="Hyperlink.0"/>
          <w:rFonts w:cs="Arial Unicode MS" w:eastAsia="Arial Unicode MS"/>
          <w:rtl w:val="0"/>
        </w:rPr>
        <w:t>2018</w:t>
      </w:r>
      <w:r>
        <w:rPr/>
        <w:fldChar w:fldCharType="end" w:fldLock="0"/>
      </w:r>
      <w:bookmarkEnd w:id="11"/>
    </w:p>
    <w:p>
      <w:pPr>
        <w:pStyle w:val="First Paragraph"/>
      </w:pPr>
      <w:r>
        <w:drawing xmlns:a="http://schemas.openxmlformats.org/drawingml/2006/main">
          <wp:inline distT="0" distB="0" distL="0" distR="0">
            <wp:extent cx="5943600" cy="3200400"/>
            <wp:effectExtent l="0" t="0" r="0" b="0"/>
            <wp:docPr id="1073741827" name="officeArt object" descr="rId35.png"/>
            <wp:cNvGraphicFramePr/>
            <a:graphic xmlns:a="http://schemas.openxmlformats.org/drawingml/2006/main">
              <a:graphicData uri="http://schemas.openxmlformats.org/drawingml/2006/picture">
                <pic:pic xmlns:pic="http://schemas.openxmlformats.org/drawingml/2006/picture">
                  <pic:nvPicPr>
                    <pic:cNvPr id="1073741827" name="rId35.png" descr="rId35.png"/>
                    <pic:cNvPicPr>
                      <a:picLocks noChangeAspect="1"/>
                    </pic:cNvPicPr>
                  </pic:nvPicPr>
                  <pic:blipFill>
                    <a:blip r:embed="rId6">
                      <a:extLst/>
                    </a:blip>
                    <a:stretch>
                      <a:fillRect/>
                    </a:stretch>
                  </pic:blipFill>
                  <pic:spPr>
                    <a:xfrm>
                      <a:off x="0" y="0"/>
                      <a:ext cx="5943600" cy="3200400"/>
                    </a:xfrm>
                    <a:prstGeom prst="rect">
                      <a:avLst/>
                    </a:prstGeom>
                    <a:ln w="12700" cap="flat">
                      <a:noFill/>
                      <a:miter lim="400000"/>
                    </a:ln>
                    <a:effectLst/>
                  </pic:spPr>
                </pic:pic>
              </a:graphicData>
            </a:graphic>
          </wp:inline>
        </w:drawing>
      </w:r>
    </w:p>
    <w:p>
      <w:pPr>
        <w:pStyle w:val="Body Text"/>
      </w:pPr>
      <w:r>
        <w:rPr>
          <w:rtl w:val="0"/>
          <w:lang w:val="en-US"/>
        </w:rPr>
        <w:t>For the transformation from log</w:t>
      </w:r>
      <w:r>
        <w:rPr>
          <w:vertAlign w:val="subscript"/>
          <w:rtl w:val="0"/>
          <w:lang w:val="en-US"/>
        </w:rPr>
        <w:t>2</w:t>
      </w:r>
      <w:r>
        <w:rPr>
          <w:rtl w:val="0"/>
          <w:lang w:val="en-US"/>
        </w:rPr>
        <w:t xml:space="preserve"> to ln, we can see that at least in this concentration range, the transformed estimate is a good approximation of the original.</w:t>
      </w:r>
      <w:r>
        <w:br w:type="textWrapping"/>
      </w:r>
      <w:r>
        <w:rPr>
          <w:b w:val="1"/>
          <w:bCs w:val="1"/>
          <w:rtl w:val="0"/>
          <w:lang w:val="en-US"/>
        </w:rPr>
        <w:t>!</w:t>
      </w:r>
      <w:r>
        <w:rPr>
          <w:rtl w:val="0"/>
          <w:lang w:val="en-US"/>
        </w:rPr>
        <w:t xml:space="preserve"> Note that this study reported a small protective effect of lead exposure, this is why the curve is flipped.</w:t>
      </w:r>
      <w:bookmarkEnd w:id="12"/>
    </w:p>
    <w:p>
      <w:pPr>
        <w:pStyle w:val="Heading 3"/>
      </w:pPr>
      <w:bookmarkStart w:name="_Toc7" w:id="13"/>
      <w:bookmarkStart w:name="Xa0646f627ecd58d4575962a4e82268500cd7c95" w:id="14"/>
      <w:r>
        <w:rPr>
          <w:rFonts w:cs="Arial Unicode MS" w:eastAsia="Arial Unicode MS"/>
          <w:rtl w:val="0"/>
          <w:lang w:val="en-US"/>
        </w:rPr>
        <w:t xml:space="preserve">Case 3: linear(BLL) -&gt; ln(BLL): </w:t>
      </w:r>
      <w:r>
        <w:rPr>
          <w:rStyle w:val="Hyperlink.0"/>
        </w:rPr>
        <w:fldChar w:fldCharType="begin" w:fldLock="0"/>
      </w:r>
      <w:r>
        <w:rPr>
          <w:rStyle w:val="Hyperlink.0"/>
        </w:rPr>
        <w:instrText xml:space="preserve"> HYPERLINK "https://www.tandfonline.com/doi/10.1179/107735211799041841?url_ver=Z39.88-2003&amp;rfr_id=ori:rid:crossref.org&amp;rfr_dat=cr_pub%2520%25200pubmed"</w:instrText>
      </w:r>
      <w:r>
        <w:rPr>
          <w:rStyle w:val="Hyperlink.0"/>
        </w:rPr>
        <w:fldChar w:fldCharType="separate" w:fldLock="0"/>
      </w:r>
      <w:r>
        <w:rPr>
          <w:rStyle w:val="Hyperlink.0"/>
          <w:rFonts w:cs="Arial Unicode MS" w:eastAsia="Arial Unicode MS"/>
          <w:rtl w:val="0"/>
          <w:lang w:val="fr-FR"/>
        </w:rPr>
        <w:t>Iglesias et al.</w:t>
      </w:r>
      <w:r>
        <w:rPr>
          <w:rStyle w:val="Hyperlink.0"/>
          <w:rFonts w:cs="Arial Unicode MS" w:eastAsia="Arial Unicode MS" w:hint="default"/>
          <w:rtl w:val="0"/>
        </w:rPr>
        <w:t> </w:t>
      </w:r>
      <w:r>
        <w:rPr>
          <w:rStyle w:val="Hyperlink.0"/>
          <w:rFonts w:cs="Arial Unicode MS" w:eastAsia="Arial Unicode MS"/>
          <w:rtl w:val="0"/>
        </w:rPr>
        <w:t>2011</w:t>
      </w:r>
      <w:r>
        <w:rPr/>
        <w:fldChar w:fldCharType="end" w:fldLock="0"/>
      </w:r>
      <w:bookmarkEnd w:id="13"/>
    </w:p>
    <w:p>
      <w:pPr>
        <w:pStyle w:val="First Paragraph"/>
        <w:rPr>
          <w:color w:val="000000"/>
          <w:sz w:val="24"/>
        </w:rPr>
      </w:pPr>
      <w:r>
        <w:rPr>
          <w:rtl w:val="0"/>
          <w:lang w:val="en-US"/>
        </w:rPr>
        <w:t>In order to transform this estimate, we need to set a reference BLL (</w:t>
      </w:r>
      <m:oMath>
        <m:sSub>
          <m:e>
            <m:r>
              <w:rPr xmlns:w="http://schemas.openxmlformats.org/wordprocessingml/2006/main">
                <w:rFonts w:ascii="Cambria Math" w:hAnsi="Cambria Math"/>
                <w:i/>
                <w:color w:val="000000"/>
                <w:sz w:val="28"/>
                <w:szCs w:val="28"/>
              </w:rPr>
              <m:t>C</m:t>
            </m:r>
          </m:e>
          <m:sub>
            <m:r>
              <w:rPr xmlns:w="http://schemas.openxmlformats.org/wordprocessingml/2006/main">
                <w:rFonts w:ascii="Cambria Math" w:hAnsi="Cambria Math"/>
                <w:i/>
                <w:color w:val="000000"/>
                <w:sz w:val="28"/>
                <w:szCs w:val="28"/>
              </w:rPr>
              <m:t>r</m:t>
            </m:r>
            <m:r>
              <w:rPr xmlns:w="http://schemas.openxmlformats.org/wordprocessingml/2006/main">
                <w:rFonts w:ascii="Cambria Math" w:hAnsi="Cambria Math"/>
                <w:i/>
                <w:color w:val="000000"/>
                <w:sz w:val="28"/>
                <w:szCs w:val="28"/>
              </w:rPr>
              <m:t>e</m:t>
            </m:r>
            <m:r>
              <w:rPr xmlns:w="http://schemas.openxmlformats.org/wordprocessingml/2006/main">
                <w:rFonts w:ascii="Cambria Math" w:hAnsi="Cambria Math"/>
                <w:i/>
                <w:color w:val="000000"/>
                <w:sz w:val="28"/>
                <w:szCs w:val="28"/>
              </w:rPr>
              <m:t>f</m:t>
            </m:r>
          </m:sub>
        </m:sSub>
      </m:oMath>
      <w:r>
        <w:rPr>
          <w:rtl w:val="0"/>
          <w:lang w:val="en-US"/>
        </w:rPr>
        <w:t xml:space="preserve">). Here, I chose 2.2 </w:t>
      </w:r>
      <w:r>
        <w:rPr>
          <w:rtl w:val="0"/>
          <w:lang w:val="en-US"/>
        </w:rPr>
        <w:t>µ</w:t>
      </w:r>
      <w:r>
        <w:rPr>
          <w:rtl w:val="0"/>
          <w:lang w:val="en-US"/>
        </w:rPr>
        <w:t>g/dL.</w:t>
      </w:r>
    </w:p>
    <w:p>
      <w:pPr>
        <w:pStyle w:val="Body Text"/>
      </w:pPr>
      <w:r>
        <w:drawing xmlns:a="http://schemas.openxmlformats.org/drawingml/2006/main">
          <wp:inline distT="0" distB="0" distL="0" distR="0">
            <wp:extent cx="5943600" cy="3200400"/>
            <wp:effectExtent l="0" t="0" r="0" b="0"/>
            <wp:docPr id="1073741828" name="officeArt object" descr="rId40.png"/>
            <wp:cNvGraphicFramePr/>
            <a:graphic xmlns:a="http://schemas.openxmlformats.org/drawingml/2006/main">
              <a:graphicData uri="http://schemas.openxmlformats.org/drawingml/2006/picture">
                <pic:pic xmlns:pic="http://schemas.openxmlformats.org/drawingml/2006/picture">
                  <pic:nvPicPr>
                    <pic:cNvPr id="1073741828" name="rId40.png" descr="rId40.png"/>
                    <pic:cNvPicPr>
                      <a:picLocks noChangeAspect="1"/>
                    </pic:cNvPicPr>
                  </pic:nvPicPr>
                  <pic:blipFill>
                    <a:blip r:embed="rId7">
                      <a:extLst/>
                    </a:blip>
                    <a:stretch>
                      <a:fillRect/>
                    </a:stretch>
                  </pic:blipFill>
                  <pic:spPr>
                    <a:xfrm>
                      <a:off x="0" y="0"/>
                      <a:ext cx="5943600" cy="3200400"/>
                    </a:xfrm>
                    <a:prstGeom prst="rect">
                      <a:avLst/>
                    </a:prstGeom>
                    <a:ln w="12700" cap="flat">
                      <a:noFill/>
                      <a:miter lim="400000"/>
                    </a:ln>
                    <a:effectLst/>
                  </pic:spPr>
                </pic:pic>
              </a:graphicData>
            </a:graphic>
          </wp:inline>
        </w:drawing>
      </w:r>
    </w:p>
    <w:p>
      <w:pPr>
        <w:pStyle w:val="Body Text"/>
      </w:pPr>
      <w:r>
        <w:rPr>
          <w:rtl w:val="0"/>
          <w:lang w:val="en-US"/>
        </w:rPr>
        <w:t>This looks problematic</w:t>
      </w:r>
      <w:r>
        <w:rPr>
          <w:rtl w:val="0"/>
          <w:lang w:val="en-US"/>
        </w:rPr>
        <w:t xml:space="preserve">… </w:t>
      </w:r>
      <w:r>
        <w:rPr>
          <w:rtl w:val="0"/>
          <w:lang w:val="en-US"/>
        </w:rPr>
        <w:t>However, the concentration range is quite high in this plot, so let</w:t>
      </w:r>
      <w:r>
        <w:rPr>
          <w:rtl w:val="0"/>
          <w:lang w:val="en-US"/>
        </w:rPr>
        <w:t>’</w:t>
      </w:r>
      <w:r>
        <w:rPr>
          <w:rtl w:val="0"/>
          <w:lang w:val="en-US"/>
        </w:rPr>
        <w:t>s zoom in.</w:t>
      </w:r>
    </w:p>
    <w:p>
      <w:pPr>
        <w:pStyle w:val="Body Text"/>
      </w:pPr>
      <w:r>
        <w:drawing xmlns:a="http://schemas.openxmlformats.org/drawingml/2006/main">
          <wp:inline distT="0" distB="0" distL="0" distR="0">
            <wp:extent cx="5943600" cy="3200400"/>
            <wp:effectExtent l="0" t="0" r="0" b="0"/>
            <wp:docPr id="1073741829" name="officeArt object" descr="rId43.png"/>
            <wp:cNvGraphicFramePr/>
            <a:graphic xmlns:a="http://schemas.openxmlformats.org/drawingml/2006/main">
              <a:graphicData uri="http://schemas.openxmlformats.org/drawingml/2006/picture">
                <pic:pic xmlns:pic="http://schemas.openxmlformats.org/drawingml/2006/picture">
                  <pic:nvPicPr>
                    <pic:cNvPr id="1073741829" name="rId43.png" descr="rId43.png"/>
                    <pic:cNvPicPr>
                      <a:picLocks noChangeAspect="1"/>
                    </pic:cNvPicPr>
                  </pic:nvPicPr>
                  <pic:blipFill>
                    <a:blip r:embed="rId8">
                      <a:extLst/>
                    </a:blip>
                    <a:stretch>
                      <a:fillRect/>
                    </a:stretch>
                  </pic:blipFill>
                  <pic:spPr>
                    <a:xfrm>
                      <a:off x="0" y="0"/>
                      <a:ext cx="5943600" cy="3200400"/>
                    </a:xfrm>
                    <a:prstGeom prst="rect">
                      <a:avLst/>
                    </a:prstGeom>
                    <a:ln w="12700" cap="flat">
                      <a:noFill/>
                      <a:miter lim="400000"/>
                    </a:ln>
                    <a:effectLst/>
                  </pic:spPr>
                </pic:pic>
              </a:graphicData>
            </a:graphic>
          </wp:inline>
        </w:drawing>
      </w:r>
    </w:p>
    <w:p>
      <w:pPr>
        <w:pStyle w:val="Body Text"/>
      </w:pPr>
      <w:r>
        <w:rPr>
          <w:rtl w:val="0"/>
          <w:lang w:val="en-US"/>
        </w:rPr>
        <w:t>Even in the lower concentration range, it appears that the transformed estimate does not accurately approximate the original estimate. For my meta analysis, I therefore decided to exclude 3/13 studies with estimates for untransformed BLL data.</w:t>
      </w:r>
      <w:r>
        <w:br w:type="textWrapping"/>
      </w:r>
      <w:r>
        <w:rPr>
          <w:rtl w:val="0"/>
          <w:lang w:val="en-US"/>
        </w:rPr>
        <w:t>This leaves us with 10 harmonized effect estimates for the association of ln(BLL) and absolute IQ point loss.</w:t>
      </w:r>
      <w:r>
        <w:br w:type="textWrapping"/>
        <w:br w:type="textWrapping"/>
      </w:r>
      <w:r>
        <w:rPr>
          <w:rtl w:val="0"/>
          <w:lang w:val="en-US"/>
        </w:rPr>
        <w:t>These are the final studies and transformed effect estimates that we will be working with.</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82"/>
        <w:gridCol w:w="3520"/>
        <w:gridCol w:w="1242"/>
        <w:gridCol w:w="893"/>
        <w:gridCol w:w="823"/>
      </w:tblGrid>
      <w:tr>
        <w:tblPrEx>
          <w:shd w:val="clear" w:color="auto" w:fill="156082"/>
        </w:tblPrEx>
        <w:trPr>
          <w:trHeight w:val="374" w:hRule="atLeast"/>
          <w:tblHeader/>
        </w:trPr>
        <w:tc>
          <w:tcPr>
            <w:tcW w:type="dxa" w:w="2882"/>
            <w:tcBorders>
              <w:top w:val="single" w:color="666666" w:sz="12" w:space="0" w:shadow="0" w:frame="0"/>
              <w:left w:val="nil"/>
              <w:bottom w:val="single" w:color="666666" w:sz="12" w:space="0" w:shadow="0" w:frame="0"/>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center"/>
            </w:pPr>
            <w:r>
              <w:rPr>
                <w:rFonts w:ascii="Helvetica" w:hAnsi="Helvetica"/>
                <w:sz w:val="18"/>
                <w:szCs w:val="18"/>
                <w:shd w:val="nil" w:color="auto" w:fill="auto"/>
                <w:rtl w:val="0"/>
                <w:lang w:val="en-US"/>
              </w:rPr>
              <w:t>author_year</w:t>
            </w:r>
          </w:p>
        </w:tc>
        <w:tc>
          <w:tcPr>
            <w:tcW w:type="dxa" w:w="3519"/>
            <w:tcBorders>
              <w:top w:val="single" w:color="666666" w:sz="12" w:space="0" w:shadow="0" w:frame="0"/>
              <w:left w:val="nil"/>
              <w:bottom w:val="single" w:color="666666" w:sz="12" w:space="0" w:shadow="0" w:frame="0"/>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center"/>
            </w:pPr>
            <w:r>
              <w:rPr>
                <w:rFonts w:ascii="Helvetica" w:hAnsi="Helvetica"/>
                <w:sz w:val="18"/>
                <w:szCs w:val="18"/>
                <w:shd w:val="nil" w:color="auto" w:fill="auto"/>
                <w:rtl w:val="0"/>
                <w:lang w:val="en-US"/>
              </w:rPr>
              <w:t>doi</w:t>
            </w:r>
          </w:p>
        </w:tc>
        <w:tc>
          <w:tcPr>
            <w:tcW w:type="dxa" w:w="1241"/>
            <w:tcBorders>
              <w:top w:val="single" w:color="666666" w:sz="12" w:space="0" w:shadow="0" w:frame="0"/>
              <w:left w:val="nil"/>
              <w:bottom w:val="single" w:color="666666" w:sz="12" w:space="0" w:shadow="0" w:frame="0"/>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center"/>
            </w:pPr>
            <w:r>
              <w:rPr>
                <w:rFonts w:ascii="Helvetica" w:hAnsi="Helvetica"/>
                <w:sz w:val="18"/>
                <w:szCs w:val="18"/>
                <w:shd w:val="nil" w:color="auto" w:fill="auto"/>
                <w:rtl w:val="0"/>
                <w:lang w:val="en-US"/>
              </w:rPr>
              <w:t>N</w:t>
            </w:r>
          </w:p>
        </w:tc>
        <w:tc>
          <w:tcPr>
            <w:tcW w:type="dxa" w:w="893"/>
            <w:tcBorders>
              <w:top w:val="single" w:color="666666" w:sz="12" w:space="0" w:shadow="0" w:frame="0"/>
              <w:left w:val="nil"/>
              <w:bottom w:val="single" w:color="666666" w:sz="12" w:space="0" w:shadow="0" w:frame="0"/>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center"/>
            </w:pPr>
            <w:r>
              <w:rPr>
                <w:rFonts w:ascii="Helvetica" w:hAnsi="Helvetica"/>
                <w:sz w:val="18"/>
                <w:szCs w:val="18"/>
                <w:shd w:val="nil" w:color="auto" w:fill="auto"/>
                <w:rtl w:val="0"/>
                <w:lang w:val="en-US"/>
              </w:rPr>
              <w:t>beta</w:t>
            </w:r>
          </w:p>
        </w:tc>
        <w:tc>
          <w:tcPr>
            <w:tcW w:type="dxa" w:w="822"/>
            <w:tcBorders>
              <w:top w:val="single" w:color="666666" w:sz="12" w:space="0" w:shadow="0" w:frame="0"/>
              <w:left w:val="nil"/>
              <w:bottom w:val="single" w:color="666666" w:sz="12" w:space="0" w:shadow="0" w:frame="0"/>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center"/>
            </w:pPr>
            <w:r>
              <w:rPr>
                <w:rFonts w:ascii="Helvetica" w:hAnsi="Helvetica"/>
                <w:sz w:val="18"/>
                <w:szCs w:val="18"/>
                <w:shd w:val="nil" w:color="auto" w:fill="auto"/>
                <w:rtl w:val="0"/>
                <w:lang w:val="en-US"/>
              </w:rPr>
              <w:t>se</w:t>
            </w:r>
          </w:p>
        </w:tc>
      </w:tr>
      <w:tr>
        <w:tblPrEx>
          <w:shd w:val="clear" w:color="auto" w:fill="cad1d7"/>
        </w:tblPrEx>
        <w:trPr>
          <w:trHeight w:val="302" w:hRule="atLeast"/>
        </w:trPr>
        <w:tc>
          <w:tcPr>
            <w:tcW w:type="dxa" w:w="2882"/>
            <w:tcBorders>
              <w:top w:val="single" w:color="666666" w:sz="12" w:space="0" w:shadow="0" w:frame="0"/>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Bauer 2020</w:t>
            </w:r>
          </w:p>
        </w:tc>
        <w:tc>
          <w:tcPr>
            <w:tcW w:type="dxa" w:w="3519"/>
            <w:tcBorders>
              <w:top w:val="single" w:color="666666" w:sz="12" w:space="0" w:shadow="0" w:frame="0"/>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10.1289/EHP6803</w:t>
            </w:r>
          </w:p>
        </w:tc>
        <w:tc>
          <w:tcPr>
            <w:tcW w:type="dxa" w:w="1241"/>
            <w:tcBorders>
              <w:top w:val="single" w:color="666666" w:sz="12" w:space="0" w:shadow="0" w:frame="0"/>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635.00</w:t>
            </w:r>
          </w:p>
        </w:tc>
        <w:tc>
          <w:tcPr>
            <w:tcW w:type="dxa" w:w="893"/>
            <w:tcBorders>
              <w:top w:val="single" w:color="666666" w:sz="12" w:space="0" w:shadow="0" w:frame="0"/>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-0.10</w:t>
            </w:r>
          </w:p>
        </w:tc>
        <w:tc>
          <w:tcPr>
            <w:tcW w:type="dxa" w:w="822"/>
            <w:tcBorders>
              <w:top w:val="single" w:color="666666" w:sz="12" w:space="0" w:shadow="0" w:frame="0"/>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0.87</w:t>
            </w:r>
          </w:p>
        </w:tc>
      </w:tr>
      <w:tr>
        <w:tblPrEx>
          <w:shd w:val="clear" w:color="auto" w:fill="cad1d7"/>
        </w:tblPrEx>
        <w:trPr>
          <w:trHeight w:val="272" w:hRule="atLeast"/>
        </w:trPr>
        <w:tc>
          <w:tcPr>
            <w:tcW w:type="dxa" w:w="288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Crump 2013</w:t>
            </w:r>
          </w:p>
        </w:tc>
        <w:tc>
          <w:tcPr>
            <w:tcW w:type="dxa" w:w="3519"/>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10.3109/10408444.2013.832726</w:t>
            </w:r>
          </w:p>
        </w:tc>
        <w:tc>
          <w:tcPr>
            <w:tcW w:type="dxa" w:w="1241"/>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1,493.00</w:t>
            </w:r>
          </w:p>
        </w:tc>
        <w:tc>
          <w:tcPr>
            <w:tcW w:type="dxa" w:w="893"/>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-2.65</w:t>
            </w:r>
          </w:p>
        </w:tc>
        <w:tc>
          <w:tcPr>
            <w:tcW w:type="dxa" w:w="82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0.53</w:t>
            </w:r>
          </w:p>
        </w:tc>
      </w:tr>
      <w:tr>
        <w:tblPrEx>
          <w:shd w:val="clear" w:color="auto" w:fill="cad1d7"/>
        </w:tblPrEx>
        <w:trPr>
          <w:trHeight w:val="272" w:hRule="atLeast"/>
        </w:trPr>
        <w:tc>
          <w:tcPr>
            <w:tcW w:type="dxa" w:w="288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Dantzer 2020</w:t>
            </w:r>
          </w:p>
        </w:tc>
        <w:tc>
          <w:tcPr>
            <w:tcW w:type="dxa" w:w="3519"/>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10.1016/j.scitotenv.2019.134519</w:t>
            </w:r>
          </w:p>
        </w:tc>
        <w:tc>
          <w:tcPr>
            <w:tcW w:type="dxa" w:w="1241"/>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224.00</w:t>
            </w:r>
          </w:p>
        </w:tc>
        <w:tc>
          <w:tcPr>
            <w:tcW w:type="dxa" w:w="893"/>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-5.71</w:t>
            </w:r>
          </w:p>
        </w:tc>
        <w:tc>
          <w:tcPr>
            <w:tcW w:type="dxa" w:w="82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1.61</w:t>
            </w:r>
          </w:p>
        </w:tc>
      </w:tr>
      <w:tr>
        <w:tblPrEx>
          <w:shd w:val="clear" w:color="auto" w:fill="cad1d7"/>
        </w:tblPrEx>
        <w:trPr>
          <w:trHeight w:val="272" w:hRule="atLeast"/>
        </w:trPr>
        <w:tc>
          <w:tcPr>
            <w:tcW w:type="dxa" w:w="288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Desrochers-Couture 2018</w:t>
            </w:r>
          </w:p>
        </w:tc>
        <w:tc>
          <w:tcPr>
            <w:tcW w:type="dxa" w:w="3519"/>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10.1016/j.envint.2018.10.043</w:t>
            </w:r>
          </w:p>
        </w:tc>
        <w:tc>
          <w:tcPr>
            <w:tcW w:type="dxa" w:w="1241"/>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606.00</w:t>
            </w:r>
          </w:p>
        </w:tc>
        <w:tc>
          <w:tcPr>
            <w:tcW w:type="dxa" w:w="893"/>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0.02</w:t>
            </w:r>
          </w:p>
        </w:tc>
        <w:tc>
          <w:tcPr>
            <w:tcW w:type="dxa" w:w="82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0.06</w:t>
            </w:r>
          </w:p>
        </w:tc>
      </w:tr>
      <w:tr>
        <w:tblPrEx>
          <w:shd w:val="clear" w:color="auto" w:fill="cad1d7"/>
        </w:tblPrEx>
        <w:trPr>
          <w:trHeight w:val="272" w:hRule="atLeast"/>
        </w:trPr>
        <w:tc>
          <w:tcPr>
            <w:tcW w:type="dxa" w:w="288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Hong 2015</w:t>
            </w:r>
          </w:p>
        </w:tc>
        <w:tc>
          <w:tcPr>
            <w:tcW w:type="dxa" w:w="3519"/>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10.1289/ehp.1307420</w:t>
            </w:r>
          </w:p>
        </w:tc>
        <w:tc>
          <w:tcPr>
            <w:tcW w:type="dxa" w:w="1241"/>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839.00</w:t>
            </w:r>
          </w:p>
        </w:tc>
        <w:tc>
          <w:tcPr>
            <w:tcW w:type="dxa" w:w="893"/>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-3.14</w:t>
            </w:r>
          </w:p>
        </w:tc>
        <w:tc>
          <w:tcPr>
            <w:tcW w:type="dxa" w:w="82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1.36</w:t>
            </w:r>
          </w:p>
        </w:tc>
      </w:tr>
      <w:tr>
        <w:tblPrEx>
          <w:shd w:val="clear" w:color="auto" w:fill="cad1d7"/>
        </w:tblPrEx>
        <w:trPr>
          <w:trHeight w:val="272" w:hRule="atLeast"/>
        </w:trPr>
        <w:tc>
          <w:tcPr>
            <w:tcW w:type="dxa" w:w="288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Lee 2021</w:t>
            </w:r>
          </w:p>
        </w:tc>
        <w:tc>
          <w:tcPr>
            <w:tcW w:type="dxa" w:w="3519"/>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10.1016/j.envint.2021.106798</w:t>
            </w:r>
          </w:p>
        </w:tc>
        <w:tc>
          <w:tcPr>
            <w:tcW w:type="dxa" w:w="1241"/>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502.00</w:t>
            </w:r>
          </w:p>
        </w:tc>
        <w:tc>
          <w:tcPr>
            <w:tcW w:type="dxa" w:w="893"/>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-3.83</w:t>
            </w:r>
          </w:p>
        </w:tc>
        <w:tc>
          <w:tcPr>
            <w:tcW w:type="dxa" w:w="82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2.25</w:t>
            </w:r>
          </w:p>
        </w:tc>
      </w:tr>
      <w:tr>
        <w:tblPrEx>
          <w:shd w:val="clear" w:color="auto" w:fill="cad1d7"/>
        </w:tblPrEx>
        <w:trPr>
          <w:trHeight w:val="272" w:hRule="atLeast"/>
        </w:trPr>
        <w:tc>
          <w:tcPr>
            <w:tcW w:type="dxa" w:w="288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Lucchini 2019</w:t>
            </w:r>
          </w:p>
        </w:tc>
        <w:tc>
          <w:tcPr>
            <w:tcW w:type="dxa" w:w="3519"/>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10.1186/s12940-019-0505-3</w:t>
            </w:r>
          </w:p>
        </w:tc>
        <w:tc>
          <w:tcPr>
            <w:tcW w:type="dxa" w:w="1241"/>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299.00</w:t>
            </w:r>
          </w:p>
        </w:tc>
        <w:tc>
          <w:tcPr>
            <w:tcW w:type="dxa" w:w="893"/>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-0.11</w:t>
            </w:r>
          </w:p>
        </w:tc>
        <w:tc>
          <w:tcPr>
            <w:tcW w:type="dxa" w:w="82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0.08</w:t>
            </w:r>
          </w:p>
        </w:tc>
      </w:tr>
      <w:tr>
        <w:tblPrEx>
          <w:shd w:val="clear" w:color="auto" w:fill="cad1d7"/>
        </w:tblPrEx>
        <w:trPr>
          <w:trHeight w:val="272" w:hRule="atLeast"/>
        </w:trPr>
        <w:tc>
          <w:tcPr>
            <w:tcW w:type="dxa" w:w="288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Lucchini 2012</w:t>
            </w:r>
          </w:p>
        </w:tc>
        <w:tc>
          <w:tcPr>
            <w:tcW w:type="dxa" w:w="3519"/>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10.1016/j.envres.2012.08.003</w:t>
            </w:r>
          </w:p>
        </w:tc>
        <w:tc>
          <w:tcPr>
            <w:tcW w:type="dxa" w:w="1241"/>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299.00</w:t>
            </w:r>
          </w:p>
        </w:tc>
        <w:tc>
          <w:tcPr>
            <w:tcW w:type="dxa" w:w="893"/>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-3.48</w:t>
            </w:r>
          </w:p>
        </w:tc>
        <w:tc>
          <w:tcPr>
            <w:tcW w:type="dxa" w:w="82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1.48</w:t>
            </w:r>
          </w:p>
        </w:tc>
      </w:tr>
      <w:tr>
        <w:tblPrEx>
          <w:shd w:val="clear" w:color="auto" w:fill="cad1d7"/>
        </w:tblPrEx>
        <w:trPr>
          <w:trHeight w:val="272" w:hRule="atLeast"/>
        </w:trPr>
        <w:tc>
          <w:tcPr>
            <w:tcW w:type="dxa" w:w="288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Menezes-Filho 2018</w:t>
            </w:r>
          </w:p>
        </w:tc>
        <w:tc>
          <w:tcPr>
            <w:tcW w:type="dxa" w:w="3519"/>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10.3390/ijerph15112418</w:t>
            </w:r>
          </w:p>
        </w:tc>
        <w:tc>
          <w:tcPr>
            <w:tcW w:type="dxa" w:w="1241"/>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219.00</w:t>
            </w:r>
          </w:p>
        </w:tc>
        <w:tc>
          <w:tcPr>
            <w:tcW w:type="dxa" w:w="893"/>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-3.74</w:t>
            </w:r>
          </w:p>
        </w:tc>
        <w:tc>
          <w:tcPr>
            <w:tcW w:type="dxa" w:w="822"/>
            <w:tcBorders>
              <w:top w:val="nil"/>
              <w:left w:val="nil"/>
              <w:bottom w:val="nil"/>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1.29</w:t>
            </w:r>
          </w:p>
        </w:tc>
      </w:tr>
      <w:tr>
        <w:tblPrEx>
          <w:shd w:val="clear" w:color="auto" w:fill="cad1d7"/>
        </w:tblPrEx>
        <w:trPr>
          <w:trHeight w:val="272" w:hRule="atLeast"/>
        </w:trPr>
        <w:tc>
          <w:tcPr>
            <w:tcW w:type="dxa" w:w="2882"/>
            <w:tcBorders>
              <w:top w:val="nil"/>
              <w:left w:val="nil"/>
              <w:bottom w:val="single" w:color="666666" w:sz="12" w:space="0" w:shadow="0" w:frame="0"/>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Schnaas 2006</w:t>
            </w:r>
          </w:p>
        </w:tc>
        <w:tc>
          <w:tcPr>
            <w:tcW w:type="dxa" w:w="3519"/>
            <w:tcBorders>
              <w:top w:val="nil"/>
              <w:left w:val="nil"/>
              <w:bottom w:val="single" w:color="666666" w:sz="12" w:space="0" w:shadow="0" w:frame="0"/>
              <w:right w:val="nil"/>
            </w:tcBorders>
            <w:shd w:val="clear" w:color="auto" w:fill="ffffff"/>
            <w:tcMar>
              <w:top w:type="dxa" w:w="80"/>
              <w:left w:type="dxa" w:w="180"/>
              <w:bottom w:type="dxa" w:w="80"/>
              <w:right w:type="dxa" w:w="180"/>
            </w:tcMar>
            <w:vAlign w:val="center"/>
          </w:tcPr>
          <w:p>
            <w:pPr>
              <w:pStyle w:val="Body"/>
              <w:spacing w:before="10" w:after="10"/>
              <w:ind w:left="100" w:right="100" w:firstLine="0"/>
            </w:pPr>
            <w:r>
              <w:rPr>
                <w:rFonts w:ascii="Helvetica" w:hAnsi="Helvetica"/>
                <w:sz w:val="18"/>
                <w:szCs w:val="18"/>
                <w:shd w:val="nil" w:color="auto" w:fill="auto"/>
                <w:rtl w:val="0"/>
                <w:lang w:val="en-US"/>
              </w:rPr>
              <w:t>10.1289/ehp.8552</w:t>
            </w:r>
          </w:p>
        </w:tc>
        <w:tc>
          <w:tcPr>
            <w:tcW w:type="dxa" w:w="1241"/>
            <w:tcBorders>
              <w:top w:val="nil"/>
              <w:left w:val="nil"/>
              <w:bottom w:val="single" w:color="666666" w:sz="12" w:space="0" w:shadow="0" w:frame="0"/>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122.00</w:t>
            </w:r>
          </w:p>
        </w:tc>
        <w:tc>
          <w:tcPr>
            <w:tcW w:type="dxa" w:w="893"/>
            <w:tcBorders>
              <w:top w:val="nil"/>
              <w:left w:val="nil"/>
              <w:bottom w:val="single" w:color="666666" w:sz="12" w:space="0" w:shadow="0" w:frame="0"/>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0.21</w:t>
            </w:r>
          </w:p>
        </w:tc>
        <w:tc>
          <w:tcPr>
            <w:tcW w:type="dxa" w:w="822"/>
            <w:tcBorders>
              <w:top w:val="nil"/>
              <w:left w:val="nil"/>
              <w:bottom w:val="single" w:color="666666" w:sz="12" w:space="0" w:shadow="0" w:frame="0"/>
              <w:right w:val="nil"/>
            </w:tcBorders>
            <w:shd w:val="clear" w:color="auto" w:fill="ffffff"/>
            <w:tcMar>
              <w:top w:type="dxa" w:w="80"/>
              <w:left w:type="dxa" w:w="180"/>
              <w:bottom w:type="dxa" w:w="80"/>
              <w:right w:type="dxa" w:w="180"/>
            </w:tcMar>
            <w:vAlign w:val="center"/>
          </w:tcPr>
          <w:p>
            <w:pPr>
              <w:pStyle w:val="Body"/>
              <w:spacing w:before="10" w:after="10"/>
              <w:ind w:left="100" w:right="100" w:firstLine="0"/>
              <w:jc w:val="right"/>
            </w:pPr>
            <w:r>
              <w:rPr>
                <w:rFonts w:ascii="Helvetica" w:hAnsi="Helvetica"/>
                <w:sz w:val="18"/>
                <w:szCs w:val="18"/>
                <w:shd w:val="nil" w:color="auto" w:fill="auto"/>
                <w:rtl w:val="0"/>
                <w:lang w:val="en-US"/>
              </w:rPr>
              <w:t>0.85</w:t>
            </w:r>
          </w:p>
        </w:tc>
      </w:tr>
    </w:tbl>
    <w:p>
      <w:pPr>
        <w:pStyle w:val="Body Text"/>
        <w:widowControl w:val="0"/>
        <w:jc w:val="center"/>
      </w:pPr>
    </w:p>
    <w:p>
      <w:pPr>
        <w:pStyle w:val="Heading 1"/>
      </w:pPr>
      <w:bookmarkStart w:name="_Toc8" w:id="15"/>
      <w:bookmarkStart w:name="step2metaanalysis" w:id="16"/>
      <w:r>
        <w:rPr>
          <w:rFonts w:cs="Arial Unicode MS" w:eastAsia="Arial Unicode MS"/>
          <w:rtl w:val="0"/>
          <w:lang w:val="en-US"/>
        </w:rPr>
        <w:t>Step 2: Meta Analysis</w:t>
      </w:r>
      <w:bookmarkEnd w:id="15"/>
    </w:p>
    <w:p>
      <w:pPr>
        <w:pStyle w:val="First Paragraph"/>
      </w:pPr>
      <w:r>
        <w:rPr>
          <w:rtl w:val="0"/>
          <w:lang w:val="en-US"/>
        </w:rPr>
        <w:t>Now that we have collected our study data and harmonized the effect estimates, we can finally begin our meta analysis!</w:t>
      </w:r>
      <w:bookmarkEnd w:id="16"/>
      <w:bookmarkEnd w:id="14"/>
    </w:p>
    <w:p>
      <w:pPr>
        <w:pStyle w:val="Heading 2"/>
      </w:pPr>
      <w:bookmarkStart w:name="_Toc9" w:id="17"/>
      <w:bookmarkStart w:name="settingpriors" w:id="18"/>
      <w:r>
        <w:rPr>
          <w:rFonts w:cs="Arial Unicode MS" w:eastAsia="Arial Unicode MS"/>
          <w:rtl w:val="0"/>
          <w:lang w:val="en-US"/>
        </w:rPr>
        <w:t>Setting Priors</w:t>
      </w:r>
      <w:bookmarkEnd w:id="17"/>
    </w:p>
    <w:p>
      <w:pPr>
        <w:pStyle w:val="First Paragraph"/>
        <w:rPr>
          <w:color w:val="000000"/>
          <w:sz w:val="24"/>
        </w:rPr>
      </w:pPr>
      <w:r>
        <w:rPr>
          <w:rtl w:val="0"/>
          <w:lang w:val="en-US"/>
        </w:rPr>
        <w:t>First, we need to define the priors. In Bayesian statistics, a prior distribution represents our initial belief about an unknown parameter before observing any data. It</w:t>
      </w:r>
      <w:r>
        <w:rPr>
          <w:rtl w:val="0"/>
          <w:lang w:val="en-US"/>
        </w:rPr>
        <w:t>’</w:t>
      </w:r>
      <w:r>
        <w:rPr>
          <w:rtl w:val="0"/>
          <w:lang w:val="en-US"/>
        </w:rPr>
        <w:t>s a probability distribution reflecting our knowledge or assumptions about the parameter</w:t>
      </w:r>
      <w:r>
        <w:rPr>
          <w:rtl w:val="0"/>
          <w:lang w:val="en-US"/>
        </w:rPr>
        <w:t>’</w:t>
      </w:r>
      <w:r>
        <w:rPr>
          <w:rtl w:val="0"/>
          <w:lang w:val="en-US"/>
        </w:rPr>
        <w:t xml:space="preserve">s possible values. This prior distribution is then combined with the likelihood function (based on observed data) to produce a posterior distribution, which represents our updated belief after considering the data. You can read more about choosing prior distributions in Bayesian statistics in this </w:t>
      </w:r>
      <w:r>
        <w:rPr>
          <w:rStyle w:val="Hyperlink.0"/>
        </w:rPr>
        <w:fldChar w:fldCharType="begin" w:fldLock="0"/>
      </w:r>
      <w:r>
        <w:rPr>
          <w:rStyle w:val="Hyperlink.0"/>
        </w:rPr>
        <w:instrText xml:space="preserve"> HYPERLINK "https://bookdown.org/kevin_davisross/bayesian-reasoning-and-methods/prior.html%23prior"</w:instrText>
      </w:r>
      <w:r>
        <w:rPr>
          <w:rStyle w:val="Hyperlink.0"/>
        </w:rPr>
        <w:fldChar w:fldCharType="separate" w:fldLock="0"/>
      </w:r>
      <w:r>
        <w:rPr>
          <w:rStyle w:val="Hyperlink.0"/>
          <w:rtl w:val="0"/>
        </w:rPr>
        <w:t>book chapter</w:t>
      </w:r>
      <w:r>
        <w:rPr/>
        <w:fldChar w:fldCharType="end" w:fldLock="0"/>
      </w:r>
      <w:r>
        <w:rPr>
          <w:rtl w:val="0"/>
          <w:lang w:val="en-US"/>
        </w:rPr>
        <w:t>.</w:t>
      </w:r>
      <w:r>
        <w:br w:type="textWrapping"/>
        <w:br w:type="textWrapping"/>
      </w:r>
      <w:r>
        <w:rPr>
          <w:rtl w:val="0"/>
          <w:lang w:val="en-US"/>
        </w:rPr>
        <w:t>We will be conservative and use weakly informative priors. For the main effect (</w:t>
      </w:r>
      <m:oMath>
        <m:r>
          <w:rPr xmlns:w="http://schemas.openxmlformats.org/wordprocessingml/2006/main">
            <w:rFonts w:ascii="Cambria Math" w:hAnsi="Cambria Math"/>
            <w:i/>
            <w:color w:val="000000"/>
            <w:sz w:val="28"/>
            <w:szCs w:val="28"/>
          </w:rPr>
          <m:t>μ</m:t>
        </m:r>
      </m:oMath>
      <w:r>
        <w:rPr>
          <w:rtl w:val="0"/>
          <w:lang w:val="en-US"/>
        </w:rPr>
        <w:t xml:space="preserve">), I chose </w:t>
      </w:r>
      <m:oMath>
        <m:r>
          <w:rPr xmlns:w="http://schemas.openxmlformats.org/wordprocessingml/2006/main">
            <w:rFonts w:ascii="Cambria Math" w:hAnsi="Cambria Math"/>
            <w:i/>
            <w:color w:val="000000"/>
            <w:sz w:val="28"/>
            <w:szCs w:val="28"/>
          </w:rPr>
          <m:t>μ</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N</m:t>
        </m:r>
        <m:d>
          <m:dPr>
            <m:ctrlPr>
              <w:rPr xmlns:w="http://schemas.openxmlformats.org/wordprocessingml/2006/main">
                <w:rFonts w:ascii="Cambria Math" w:hAnsi="Cambria Math"/>
                <w:i/>
                <w:color w:val="000000"/>
                <w:sz w:val="28"/>
                <w:szCs w:val="28"/>
              </w:rPr>
            </m:ctrlPr>
            <m:sepChr m:val=""/>
          </m:dPr>
          <m:e>
            <m:r>
              <w:rPr xmlns:w="http://schemas.openxmlformats.org/wordprocessingml/2006/main">
                <w:rFonts w:ascii="Cambria Math" w:hAnsi="Cambria Math"/>
                <w:i/>
                <w:color w:val="000000"/>
                <w:sz w:val="28"/>
                <w:szCs w:val="28"/>
              </w:rPr>
              <m:t>0</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1</m:t>
            </m:r>
          </m:e>
        </m:d>
      </m:oMath>
      <w:r>
        <w:rPr>
          <w:rtl w:val="0"/>
          <w:lang w:val="en-US"/>
        </w:rPr>
        <w:t>. This means that we assume the main effect to lie between -2 and 2, with a 95.4% probability.</w:t>
      </w:r>
    </w:p>
    <w:p>
      <w:pPr>
        <w:pStyle w:val="Body Text"/>
      </w:pPr>
      <w:r>
        <w:drawing xmlns:a="http://schemas.openxmlformats.org/drawingml/2006/main">
          <wp:inline distT="0" distB="0" distL="0" distR="0">
            <wp:extent cx="3566160" cy="1920239"/>
            <wp:effectExtent l="0" t="0" r="0" b="0"/>
            <wp:docPr id="1073741830" name="officeArt object" descr="rId50.png"/>
            <wp:cNvGraphicFramePr/>
            <a:graphic xmlns:a="http://schemas.openxmlformats.org/drawingml/2006/main">
              <a:graphicData uri="http://schemas.openxmlformats.org/drawingml/2006/picture">
                <pic:pic xmlns:pic="http://schemas.openxmlformats.org/drawingml/2006/picture">
                  <pic:nvPicPr>
                    <pic:cNvPr id="1073741830" name="rId50.png" descr="rId50.png"/>
                    <pic:cNvPicPr>
                      <a:picLocks noChangeAspect="1"/>
                    </pic:cNvPicPr>
                  </pic:nvPicPr>
                  <pic:blipFill>
                    <a:blip r:embed="rId9">
                      <a:extLst/>
                    </a:blip>
                    <a:stretch>
                      <a:fillRect/>
                    </a:stretch>
                  </pic:blipFill>
                  <pic:spPr>
                    <a:xfrm>
                      <a:off x="0" y="0"/>
                      <a:ext cx="3566160" cy="1920239"/>
                    </a:xfrm>
                    <a:prstGeom prst="rect">
                      <a:avLst/>
                    </a:prstGeom>
                    <a:ln w="12700" cap="flat">
                      <a:noFill/>
                      <a:miter lim="400000"/>
                    </a:ln>
                    <a:effectLst/>
                  </pic:spPr>
                </pic:pic>
              </a:graphicData>
            </a:graphic>
          </wp:inline>
        </w:drawing>
      </w:r>
    </w:p>
    <w:p>
      <w:pPr>
        <w:pStyle w:val="Body Text"/>
        <w:rPr>
          <w:color w:val="000000"/>
          <w:sz w:val="24"/>
        </w:rPr>
      </w:pPr>
      <w:r>
        <w:rPr>
          <w:rtl w:val="0"/>
          <w:lang w:val="en-US"/>
        </w:rPr>
        <w:t>Setting the prior for heterogeneity (</w:t>
      </w:r>
      <m:oMath>
        <m:r>
          <w:rPr xmlns:w="http://schemas.openxmlformats.org/wordprocessingml/2006/main">
            <w:rFonts w:ascii="Cambria Math" w:hAnsi="Cambria Math"/>
            <w:i/>
            <w:color w:val="000000"/>
            <w:sz w:val="28"/>
            <w:szCs w:val="28"/>
          </w:rPr>
          <m:t>τ</m:t>
        </m:r>
      </m:oMath>
      <w:r>
        <w:rPr>
          <w:rtl w:val="0"/>
          <w:lang w:val="en-US"/>
        </w:rPr>
        <w:t xml:space="preserve">) is slightly more challenging since, by definition, it must be positive. Here, a half-Cauchy distribution can be useful. It is defined by two parameters: the location, which determines the center of the distribution, and the scale parameter, which controls the spread. We set the lower limit to zero (lb = 0) to make it </w:t>
      </w:r>
      <w:r>
        <w:rPr>
          <w:i w:val="1"/>
          <w:iCs w:val="1"/>
          <w:rtl w:val="0"/>
          <w:lang w:val="en-US"/>
        </w:rPr>
        <w:t>half</w:t>
      </w:r>
      <w:r>
        <w:rPr>
          <w:rtl w:val="0"/>
          <w:lang w:val="en-US"/>
        </w:rPr>
        <w:t xml:space="preserve">. For this model, I chose </w:t>
      </w:r>
      <m:oMath>
        <m:r>
          <w:rPr xmlns:w="http://schemas.openxmlformats.org/wordprocessingml/2006/main">
            <w:rFonts w:ascii="Cambria Math" w:hAnsi="Cambria Math"/>
            <w:i/>
            <w:color w:val="000000"/>
            <w:sz w:val="28"/>
            <w:szCs w:val="28"/>
          </w:rPr>
          <m:t>τ</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H</m:t>
        </m:r>
        <m:r>
          <w:rPr xmlns:w="http://schemas.openxmlformats.org/wordprocessingml/2006/main">
            <w:rFonts w:ascii="Cambria Math" w:hAnsi="Cambria Math"/>
            <w:i/>
            <w:color w:val="000000"/>
            <w:sz w:val="28"/>
            <w:szCs w:val="28"/>
          </w:rPr>
          <m:t>C</m:t>
        </m:r>
        <m:d>
          <m:dPr>
            <m:ctrlPr>
              <w:rPr xmlns:w="http://schemas.openxmlformats.org/wordprocessingml/2006/main">
                <w:rFonts w:ascii="Cambria Math" w:hAnsi="Cambria Math"/>
                <w:i/>
                <w:color w:val="000000"/>
                <w:sz w:val="28"/>
                <w:szCs w:val="28"/>
              </w:rPr>
            </m:ctrlPr>
            <m:sepChr m:val=""/>
          </m:dPr>
          <m:e>
            <m:r>
              <w:rPr xmlns:w="http://schemas.openxmlformats.org/wordprocessingml/2006/main">
                <w:rFonts w:ascii="Cambria Math" w:hAnsi="Cambria Math"/>
                <w:i/>
                <w:color w:val="000000"/>
                <w:sz w:val="28"/>
                <w:szCs w:val="28"/>
              </w:rPr>
              <m:t>0</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0.5</m:t>
            </m:r>
          </m:e>
        </m:d>
      </m:oMath>
      <w:r>
        <w:rPr>
          <w:rtl w:val="0"/>
          <w:lang w:val="en-US"/>
        </w:rPr>
        <w:t>.</w:t>
      </w:r>
    </w:p>
    <w:p>
      <w:pPr>
        <w:pStyle w:val="Body Text"/>
      </w:pPr>
      <w:r>
        <w:drawing xmlns:a="http://schemas.openxmlformats.org/drawingml/2006/main">
          <wp:inline distT="0" distB="0" distL="0" distR="0">
            <wp:extent cx="3566160" cy="1920239"/>
            <wp:effectExtent l="0" t="0" r="0" b="0"/>
            <wp:docPr id="1073741831" name="officeArt object" descr="rId53.png"/>
            <wp:cNvGraphicFramePr/>
            <a:graphic xmlns:a="http://schemas.openxmlformats.org/drawingml/2006/main">
              <a:graphicData uri="http://schemas.openxmlformats.org/drawingml/2006/picture">
                <pic:pic xmlns:pic="http://schemas.openxmlformats.org/drawingml/2006/picture">
                  <pic:nvPicPr>
                    <pic:cNvPr id="1073741831" name="rId53.png" descr="rId53.png"/>
                    <pic:cNvPicPr>
                      <a:picLocks noChangeAspect="1"/>
                    </pic:cNvPicPr>
                  </pic:nvPicPr>
                  <pic:blipFill>
                    <a:blip r:embed="rId10">
                      <a:extLst/>
                    </a:blip>
                    <a:stretch>
                      <a:fillRect/>
                    </a:stretch>
                  </pic:blipFill>
                  <pic:spPr>
                    <a:xfrm>
                      <a:off x="0" y="0"/>
                      <a:ext cx="3566160" cy="1920239"/>
                    </a:xfrm>
                    <a:prstGeom prst="rect">
                      <a:avLst/>
                    </a:prstGeom>
                    <a:ln w="12700" cap="flat">
                      <a:noFill/>
                      <a:miter lim="400000"/>
                    </a:ln>
                    <a:effectLst/>
                  </pic:spPr>
                </pic:pic>
              </a:graphicData>
            </a:graphic>
          </wp:inline>
        </w:drawing>
      </w:r>
    </w:p>
    <w:p>
      <w:pPr>
        <w:pStyle w:val="Body Text"/>
      </w:pPr>
      <w:r>
        <w:rPr>
          <w:rtl w:val="0"/>
          <w:lang w:val="en-US"/>
        </w:rPr>
        <w:t>As you can see, we assign a fairly high probability (20.48%) to the heterogeneity being higher than 1.5. Considering that the median standard error extracted from our included studies is 1.08, this prior is weakly informative.</w:t>
      </w:r>
    </w:p>
    <w:p>
      <w:pPr>
        <w:pStyle w:val="Body Text"/>
      </w:pPr>
      <w:r>
        <w:rPr>
          <w:rtl w:val="0"/>
          <w:lang w:val="en-US"/>
        </w:rPr>
        <w:t>This is how we set our priors:</w:t>
      </w:r>
    </w:p>
    <w:p>
      <w:pPr>
        <w:pStyle w:val="Source Code"/>
      </w:pPr>
      <w:r>
        <w:rPr>
          <w:rStyle w:val="NormalTok"/>
          <w:rtl w:val="0"/>
          <w:lang w:val="en-US"/>
        </w:rPr>
        <w:t xml:space="preserve">priors &lt;- </w:t>
      </w:r>
      <w:r>
        <w:rPr>
          <w:outline w:val="0"/>
          <w:color w:val="4758ab"/>
          <w:u w:color="4758ab"/>
          <w:shd w:val="clear" w:color="auto" w:fill="f1f3f5"/>
          <w:rtl w:val="0"/>
          <w:lang w:val="en-US"/>
          <w14:textFill>
            <w14:solidFill>
              <w14:srgbClr w14:val="4758AB"/>
            </w14:solidFill>
          </w14:textFill>
        </w:rPr>
        <w:t>c</w:t>
      </w:r>
      <w:r>
        <w:rPr>
          <w:rStyle w:val="NormalTok"/>
          <w:rtl w:val="0"/>
          <w:lang w:val="en-US"/>
        </w:rPr>
        <w:t>(</w:t>
      </w:r>
      <w:r>
        <w:rPr>
          <w:outline w:val="0"/>
          <w:color w:val="4758ab"/>
          <w:u w:color="4758ab"/>
          <w:shd w:val="clear" w:color="auto" w:fill="f1f3f5"/>
          <w:rtl w:val="0"/>
          <w:lang w:val="en-US"/>
          <w14:textFill>
            <w14:solidFill>
              <w14:srgbClr w14:val="4758AB"/>
            </w14:solidFill>
          </w14:textFill>
        </w:rPr>
        <w:t>prior</w:t>
      </w:r>
      <w:r>
        <w:rPr>
          <w:rStyle w:val="NormalTok"/>
          <w:rtl w:val="0"/>
          <w:lang w:val="en-US"/>
        </w:rPr>
        <w:t>(</w:t>
      </w:r>
      <w:r>
        <w:rPr>
          <w:outline w:val="0"/>
          <w:color w:val="4758ab"/>
          <w:u w:color="4758ab"/>
          <w:shd w:val="clear" w:color="auto" w:fill="f1f3f5"/>
          <w:rtl w:val="0"/>
          <w:lang w:val="en-US"/>
          <w14:textFill>
            <w14:solidFill>
              <w14:srgbClr w14:val="4758AB"/>
            </w14:solidFill>
          </w14:textFill>
        </w:rPr>
        <w:t>normal</w:t>
      </w:r>
      <w:r>
        <w:rPr>
          <w:rStyle w:val="NormalTok"/>
          <w:rtl w:val="0"/>
          <w:lang w:val="en-US"/>
        </w:rPr>
        <w:t>(</w:t>
      </w:r>
      <w:r>
        <w:rPr>
          <w:rStyle w:val="DecValTok"/>
          <w:rtl w:val="0"/>
          <w:lang w:val="en-US"/>
        </w:rPr>
        <w:t>0</w:t>
      </w:r>
      <w:r>
        <w:rPr>
          <w:rStyle w:val="NormalTok"/>
          <w:rtl w:val="0"/>
          <w:lang w:val="en-US"/>
        </w:rPr>
        <w:t>,</w:t>
      </w:r>
      <w:r>
        <w:rPr>
          <w:rStyle w:val="DecValTok"/>
          <w:rtl w:val="0"/>
          <w:lang w:val="en-US"/>
        </w:rPr>
        <w:t>1</w:t>
      </w:r>
      <w:r>
        <w:rPr>
          <w:rStyle w:val="NormalTok"/>
          <w:rtl w:val="0"/>
          <w:lang w:val="en-US"/>
        </w:rPr>
        <w:t xml:space="preserve">), </w:t>
      </w:r>
      <w:r>
        <w:rPr>
          <w:outline w:val="0"/>
          <w:color w:val="657422"/>
          <w:u w:color="657422"/>
          <w:shd w:val="clear" w:color="auto" w:fill="f1f3f5"/>
          <w:rtl w:val="0"/>
          <w:lang w:val="en-US"/>
          <w14:textFill>
            <w14:solidFill>
              <w14:srgbClr w14:val="657422"/>
            </w14:solidFill>
          </w14:textFill>
        </w:rPr>
        <w:t>class =</w:t>
      </w:r>
      <w:r>
        <w:rPr>
          <w:rStyle w:val="NormalTok"/>
          <w:rtl w:val="0"/>
          <w:lang w:val="en-US"/>
        </w:rPr>
        <w:t xml:space="preserve"> Intercept), </w:t>
      </w:r>
      <w:r>
        <w:br w:type="textWrapping"/>
      </w:r>
      <w:r>
        <w:rPr>
          <w:rStyle w:val="NormalTok"/>
          <w:rtl w:val="0"/>
          <w:lang w:val="en-US"/>
        </w:rPr>
        <w:t xml:space="preserve">            </w:t>
      </w:r>
      <w:r>
        <w:rPr>
          <w:outline w:val="0"/>
          <w:color w:val="4758ab"/>
          <w:u w:color="4758ab"/>
          <w:shd w:val="clear" w:color="auto" w:fill="f1f3f5"/>
          <w:rtl w:val="0"/>
          <w:lang w:val="en-US"/>
          <w14:textFill>
            <w14:solidFill>
              <w14:srgbClr w14:val="4758AB"/>
            </w14:solidFill>
          </w14:textFill>
        </w:rPr>
        <w:t>prior</w:t>
      </w:r>
      <w:r>
        <w:rPr>
          <w:rStyle w:val="NormalTok"/>
          <w:rtl w:val="0"/>
          <w:lang w:val="en-US"/>
        </w:rPr>
        <w:t>(</w:t>
      </w:r>
      <w:r>
        <w:rPr>
          <w:outline w:val="0"/>
          <w:color w:val="4758ab"/>
          <w:u w:color="4758ab"/>
          <w:shd w:val="clear" w:color="auto" w:fill="f1f3f5"/>
          <w:rtl w:val="0"/>
          <w:lang w:val="en-US"/>
          <w14:textFill>
            <w14:solidFill>
              <w14:srgbClr w14:val="4758AB"/>
            </w14:solidFill>
          </w14:textFill>
        </w:rPr>
        <w:t>cauchy</w:t>
      </w:r>
      <w:r>
        <w:rPr>
          <w:rStyle w:val="NormalTok"/>
          <w:rtl w:val="0"/>
          <w:lang w:val="en-US"/>
        </w:rPr>
        <w:t>(</w:t>
      </w:r>
      <w:r>
        <w:rPr>
          <w:rStyle w:val="DecValTok"/>
          <w:rtl w:val="0"/>
          <w:lang w:val="en-US"/>
        </w:rPr>
        <w:t>0</w:t>
      </w:r>
      <w:r>
        <w:rPr>
          <w:rStyle w:val="NormalTok"/>
          <w:rtl w:val="0"/>
          <w:lang w:val="en-US"/>
        </w:rPr>
        <w:t>,</w:t>
      </w:r>
      <w:r>
        <w:rPr>
          <w:rStyle w:val="DecValTok"/>
          <w:rtl w:val="0"/>
          <w:lang w:val="en-US"/>
        </w:rPr>
        <w:t>0.5</w:t>
      </w:r>
      <w:r>
        <w:rPr>
          <w:rStyle w:val="NormalTok"/>
          <w:rtl w:val="0"/>
          <w:lang w:val="en-US"/>
        </w:rPr>
        <w:t xml:space="preserve">), </w:t>
      </w:r>
      <w:r>
        <w:rPr>
          <w:outline w:val="0"/>
          <w:color w:val="657422"/>
          <w:u w:color="657422"/>
          <w:shd w:val="clear" w:color="auto" w:fill="f1f3f5"/>
          <w:rtl w:val="0"/>
          <w:lang w:val="en-US"/>
          <w14:textFill>
            <w14:solidFill>
              <w14:srgbClr w14:val="657422"/>
            </w14:solidFill>
          </w14:textFill>
        </w:rPr>
        <w:t>class =</w:t>
      </w:r>
      <w:r>
        <w:rPr>
          <w:rStyle w:val="NormalTok"/>
          <w:rtl w:val="0"/>
          <w:lang w:val="en-US"/>
        </w:rPr>
        <w:t xml:space="preserve"> sd, </w:t>
      </w:r>
      <w:r>
        <w:rPr>
          <w:outline w:val="0"/>
          <w:color w:val="657422"/>
          <w:u w:color="657422"/>
          <w:shd w:val="clear" w:color="auto" w:fill="f1f3f5"/>
          <w:rtl w:val="0"/>
          <w:lang w:val="en-US"/>
          <w14:textFill>
            <w14:solidFill>
              <w14:srgbClr w14:val="657422"/>
            </w14:solidFill>
          </w14:textFill>
        </w:rPr>
        <w:t>lb =</w:t>
      </w:r>
      <w:r>
        <w:rPr>
          <w:rStyle w:val="NormalTok"/>
          <w:rtl w:val="0"/>
          <w:lang w:val="en-US"/>
        </w:rPr>
        <w:t xml:space="preserve"> </w:t>
      </w:r>
      <w:r>
        <w:rPr>
          <w:rStyle w:val="DecValTok"/>
          <w:rtl w:val="0"/>
          <w:lang w:val="en-US"/>
        </w:rPr>
        <w:t>0</w:t>
      </w:r>
      <w:r>
        <w:rPr>
          <w:rStyle w:val="NormalTok"/>
          <w:rtl w:val="0"/>
          <w:lang w:val="en-US"/>
        </w:rPr>
        <w:t>))</w:t>
      </w:r>
      <w:bookmarkEnd w:id="18"/>
    </w:p>
    <w:p>
      <w:pPr>
        <w:pStyle w:val="Heading 2"/>
      </w:pPr>
      <w:bookmarkStart w:name="_Toc10" w:id="19"/>
      <w:bookmarkStart w:name="fittingthemodel" w:id="20"/>
      <w:r>
        <w:rPr>
          <w:rFonts w:cs="Arial Unicode MS" w:eastAsia="Arial Unicode MS"/>
          <w:rtl w:val="0"/>
          <w:lang w:val="en-US"/>
        </w:rPr>
        <w:t>Fitting the model</w:t>
      </w:r>
      <w:bookmarkEnd w:id="19"/>
    </w:p>
    <w:p>
      <w:pPr>
        <w:pStyle w:val="First Paragraph"/>
      </w:pPr>
      <w:r>
        <w:rPr>
          <w:rtl w:val="0"/>
          <w:lang w:val="en-US"/>
        </w:rPr>
        <w:t xml:space="preserve">We can now write and fit the model, using the package </w:t>
      </w:r>
      <w:r>
        <w:rPr>
          <w:i w:val="1"/>
          <w:iCs w:val="1"/>
          <w:rtl w:val="0"/>
          <w:lang w:val="en-US"/>
        </w:rPr>
        <w:t>brms</w:t>
      </w:r>
      <w:r>
        <w:rPr>
          <w:rtl w:val="0"/>
          <w:lang w:val="en-US"/>
        </w:rPr>
        <w:t xml:space="preserve"> by </w:t>
      </w:r>
      <w:r>
        <w:rPr>
          <w:rStyle w:val="Hyperlink.0"/>
        </w:rPr>
        <w:fldChar w:fldCharType="begin" w:fldLock="0"/>
      </w:r>
      <w:r>
        <w:rPr>
          <w:rStyle w:val="Hyperlink.0"/>
        </w:rPr>
        <w:instrText xml:space="preserve"> HYPERLINK "https://doi.org/10.18637/jss.v080.i01"</w:instrText>
      </w:r>
      <w:r>
        <w:rPr>
          <w:rStyle w:val="Hyperlink.0"/>
        </w:rPr>
        <w:fldChar w:fldCharType="separate" w:fldLock="0"/>
      </w:r>
      <w:r>
        <w:rPr>
          <w:rStyle w:val="Hyperlink.0"/>
          <w:rtl w:val="0"/>
        </w:rPr>
        <w:t>B</w:t>
      </w:r>
      <w:r>
        <w:rPr>
          <w:rStyle w:val="Hyperlink.0"/>
          <w:rtl w:val="0"/>
        </w:rPr>
        <w:t>ü</w:t>
      </w:r>
      <w:r>
        <w:rPr>
          <w:rStyle w:val="Hyperlink.0"/>
          <w:rtl w:val="0"/>
        </w:rPr>
        <w:t>rkner 2017</w:t>
      </w:r>
      <w:r>
        <w:rPr/>
        <w:fldChar w:fldCharType="end" w:fldLock="0"/>
      </w:r>
      <w:r>
        <w:rPr>
          <w:rtl w:val="0"/>
          <w:lang w:val="en-US"/>
        </w:rPr>
        <w:t>. In the second line, we specify our model. We set adapt_delta to 0.99 to decrease the step size that the sampling algorithm explores the posterior distribution with. If we don</w:t>
      </w:r>
      <w:r>
        <w:rPr>
          <w:rtl w:val="0"/>
          <w:lang w:val="en-US"/>
        </w:rPr>
        <w:t>’</w:t>
      </w:r>
      <w:r>
        <w:rPr>
          <w:rtl w:val="0"/>
          <w:lang w:val="en-US"/>
        </w:rPr>
        <w:t>t do this, adapt_delta will default to 0.8 and we get something like Warning: There were 5 divergent transitions after warmup. This means that the algorithm is having difficulty exploring the posterior distribution.</w:t>
      </w:r>
    </w:p>
    <w:p>
      <w:pPr>
        <w:pStyle w:val="Source Code"/>
      </w:pPr>
      <w:r>
        <w:rPr>
          <w:rStyle w:val="NormalTok"/>
          <w:rtl w:val="0"/>
          <w:lang w:val="en-US"/>
        </w:rPr>
        <w:t xml:space="preserve">m.brm &lt;- </w:t>
      </w:r>
      <w:r>
        <w:rPr>
          <w:outline w:val="0"/>
          <w:color w:val="4758ab"/>
          <w:u w:color="4758ab"/>
          <w:shd w:val="clear" w:color="auto" w:fill="f1f3f5"/>
          <w:rtl w:val="0"/>
          <w:lang w:val="en-US"/>
          <w14:textFill>
            <w14:solidFill>
              <w14:srgbClr w14:val="4758AB"/>
            </w14:solidFill>
          </w14:textFill>
        </w:rPr>
        <w:t>brm</w:t>
      </w:r>
      <w:r>
        <w:rPr>
          <w:rStyle w:val="NormalTok"/>
          <w:rtl w:val="0"/>
          <w:lang w:val="en-US"/>
        </w:rPr>
        <w:t>(</w:t>
      </w:r>
      <w:r>
        <w:br w:type="textWrapping"/>
      </w:r>
      <w:r>
        <w:rPr>
          <w:rStyle w:val="NormalTok"/>
          <w:rtl w:val="0"/>
          <w:lang w:val="en-US"/>
        </w:rPr>
        <w:t xml:space="preserve">  beta_ln</w:t>
      </w:r>
      <w:r>
        <w:rPr>
          <w:outline w:val="0"/>
          <w:color w:val="5e5e5e"/>
          <w:u w:color="5e5e5e"/>
          <w:shd w:val="clear" w:color="auto" w:fill="f1f3f5"/>
          <w:rtl w:val="0"/>
          <w:lang w:val="en-US"/>
          <w14:textFill>
            <w14:solidFill>
              <w14:srgbClr w14:val="5E5E5E"/>
            </w14:solidFill>
          </w14:textFill>
        </w:rPr>
        <w:t>|</w:t>
      </w:r>
      <w:r>
        <w:rPr>
          <w:outline w:val="0"/>
          <w:color w:val="4758ab"/>
          <w:u w:color="4758ab"/>
          <w:shd w:val="clear" w:color="auto" w:fill="f1f3f5"/>
          <w:rtl w:val="0"/>
          <w:lang w:val="en-US"/>
          <w14:textFill>
            <w14:solidFill>
              <w14:srgbClr w14:val="4758AB"/>
            </w14:solidFill>
          </w14:textFill>
        </w:rPr>
        <w:t>se</w:t>
      </w:r>
      <w:r>
        <w:rPr>
          <w:rStyle w:val="NormalTok"/>
          <w:rtl w:val="0"/>
          <w:lang w:val="en-US"/>
        </w:rPr>
        <w:t xml:space="preserve">(se_beta_ln) </w:t>
      </w:r>
      <w:r>
        <w:rPr>
          <w:outline w:val="0"/>
          <w:color w:val="5e5e5e"/>
          <w:u w:color="5e5e5e"/>
          <w:shd w:val="clear" w:color="auto" w:fill="f1f3f5"/>
          <w:rtl w:val="0"/>
          <w:lang w:val="en-US"/>
          <w14:textFill>
            <w14:solidFill>
              <w14:srgbClr w14:val="5E5E5E"/>
            </w14:solidFill>
          </w14:textFill>
        </w:rPr>
        <w:t>~</w:t>
      </w:r>
      <w:r>
        <w:rPr>
          <w:rStyle w:val="NormalTok"/>
          <w:rtl w:val="0"/>
          <w:lang w:val="en-US"/>
        </w:rPr>
        <w:t xml:space="preserve"> </w:t>
      </w:r>
      <w:r>
        <w:rPr>
          <w:rStyle w:val="DecValTok"/>
          <w:rtl w:val="0"/>
          <w:lang w:val="en-US"/>
        </w:rPr>
        <w:t>1</w:t>
      </w:r>
      <w:r>
        <w:rPr>
          <w:rStyle w:val="NormalTok"/>
          <w:rtl w:val="0"/>
          <w:lang w:val="en-US"/>
        </w:rPr>
        <w:t xml:space="preserve"> </w:t>
      </w:r>
      <w:r>
        <w:rPr>
          <w:outline w:val="0"/>
          <w:color w:val="5e5e5e"/>
          <w:u w:color="5e5e5e"/>
          <w:shd w:val="clear" w:color="auto" w:fill="f1f3f5"/>
          <w:rtl w:val="0"/>
          <w:lang w:val="en-US"/>
          <w14:textFill>
            <w14:solidFill>
              <w14:srgbClr w14:val="5E5E5E"/>
            </w14:solidFill>
          </w14:textFill>
        </w:rPr>
        <w:t>+</w:t>
      </w:r>
      <w:r>
        <w:rPr>
          <w:rStyle w:val="NormalTok"/>
          <w:rtl w:val="0"/>
          <w:lang w:val="en-US"/>
        </w:rPr>
        <w:t xml:space="preserve"> (</w:t>
      </w:r>
      <w:r>
        <w:rPr>
          <w:rStyle w:val="DecValTok"/>
          <w:rtl w:val="0"/>
          <w:lang w:val="en-US"/>
        </w:rPr>
        <w:t>1</w:t>
      </w:r>
      <w:r>
        <w:rPr>
          <w:outline w:val="0"/>
          <w:color w:val="5e5e5e"/>
          <w:u w:color="5e5e5e"/>
          <w:shd w:val="clear" w:color="auto" w:fill="f1f3f5"/>
          <w:rtl w:val="0"/>
          <w:lang w:val="en-US"/>
          <w14:textFill>
            <w14:solidFill>
              <w14:srgbClr w14:val="5E5E5E"/>
            </w14:solidFill>
          </w14:textFill>
        </w:rPr>
        <w:t>|</w:t>
      </w:r>
      <w:r>
        <w:rPr>
          <w:rStyle w:val="NormalTok"/>
          <w:rtl w:val="0"/>
          <w:lang w:val="en-US"/>
        </w:rPr>
        <w:t>author_year),</w:t>
      </w:r>
      <w:r>
        <w:br w:type="textWrapping"/>
      </w:r>
      <w:r>
        <w:rPr>
          <w:rStyle w:val="NormalTok"/>
          <w:rtl w:val="0"/>
          <w:lang w:val="en-US"/>
        </w:rPr>
        <w:t xml:space="preserve">  </w:t>
      </w:r>
      <w:r>
        <w:rPr>
          <w:outline w:val="0"/>
          <w:color w:val="657422"/>
          <w:u w:color="657422"/>
          <w:shd w:val="clear" w:color="auto" w:fill="f1f3f5"/>
          <w:rtl w:val="0"/>
          <w:lang w:val="en-US"/>
          <w14:textFill>
            <w14:solidFill>
              <w14:srgbClr w14:val="657422"/>
            </w14:solidFill>
          </w14:textFill>
        </w:rPr>
        <w:t>data =</w:t>
      </w:r>
      <w:r>
        <w:rPr>
          <w:rStyle w:val="NormalTok"/>
          <w:rtl w:val="0"/>
          <w:lang w:val="en-US"/>
        </w:rPr>
        <w:t xml:space="preserve"> data,</w:t>
      </w:r>
      <w:r>
        <w:br w:type="textWrapping"/>
      </w:r>
      <w:r>
        <w:rPr>
          <w:rStyle w:val="NormalTok"/>
          <w:rtl w:val="0"/>
          <w:lang w:val="en-US"/>
        </w:rPr>
        <w:t xml:space="preserve">  </w:t>
      </w:r>
      <w:r>
        <w:rPr>
          <w:outline w:val="0"/>
          <w:color w:val="657422"/>
          <w:u w:color="657422"/>
          <w:shd w:val="clear" w:color="auto" w:fill="f1f3f5"/>
          <w:rtl w:val="0"/>
          <w:lang w:val="en-US"/>
          <w14:textFill>
            <w14:solidFill>
              <w14:srgbClr w14:val="657422"/>
            </w14:solidFill>
          </w14:textFill>
        </w:rPr>
        <w:t>prior =</w:t>
      </w:r>
      <w:r>
        <w:rPr>
          <w:rStyle w:val="NormalTok"/>
          <w:rtl w:val="0"/>
          <w:lang w:val="en-US"/>
        </w:rPr>
        <w:t xml:space="preserve"> priors,</w:t>
      </w:r>
      <w:r>
        <w:br w:type="textWrapping"/>
      </w:r>
      <w:r>
        <w:rPr>
          <w:rStyle w:val="NormalTok"/>
          <w:rtl w:val="0"/>
          <w:lang w:val="en-US"/>
        </w:rPr>
        <w:t xml:space="preserve">  </w:t>
      </w:r>
      <w:r>
        <w:rPr>
          <w:outline w:val="0"/>
          <w:color w:val="657422"/>
          <w:u w:color="657422"/>
          <w:shd w:val="clear" w:color="auto" w:fill="f1f3f5"/>
          <w:rtl w:val="0"/>
          <w:lang w:val="en-US"/>
          <w14:textFill>
            <w14:solidFill>
              <w14:srgbClr w14:val="657422"/>
            </w14:solidFill>
          </w14:textFill>
        </w:rPr>
        <w:t>control =</w:t>
      </w:r>
      <w:r>
        <w:rPr>
          <w:rStyle w:val="NormalTok"/>
          <w:rtl w:val="0"/>
          <w:lang w:val="en-US"/>
        </w:rPr>
        <w:t xml:space="preserve"> </w:t>
      </w:r>
      <w:r>
        <w:rPr>
          <w:outline w:val="0"/>
          <w:color w:val="4758ab"/>
          <w:u w:color="4758ab"/>
          <w:shd w:val="clear" w:color="auto" w:fill="f1f3f5"/>
          <w:rtl w:val="0"/>
          <w:lang w:val="en-US"/>
          <w14:textFill>
            <w14:solidFill>
              <w14:srgbClr w14:val="4758AB"/>
            </w14:solidFill>
          </w14:textFill>
        </w:rPr>
        <w:t>list</w:t>
      </w:r>
      <w:r>
        <w:rPr>
          <w:rStyle w:val="NormalTok"/>
          <w:rtl w:val="0"/>
          <w:lang w:val="en-US"/>
        </w:rPr>
        <w:t>(</w:t>
      </w:r>
      <w:r>
        <w:rPr>
          <w:outline w:val="0"/>
          <w:color w:val="657422"/>
          <w:u w:color="657422"/>
          <w:shd w:val="clear" w:color="auto" w:fill="f1f3f5"/>
          <w:rtl w:val="0"/>
          <w:lang w:val="en-US"/>
          <w14:textFill>
            <w14:solidFill>
              <w14:srgbClr w14:val="657422"/>
            </w14:solidFill>
          </w14:textFill>
        </w:rPr>
        <w:t>adapt_delta =</w:t>
      </w:r>
      <w:r>
        <w:rPr>
          <w:rStyle w:val="NormalTok"/>
          <w:rtl w:val="0"/>
          <w:lang w:val="en-US"/>
        </w:rPr>
        <w:t xml:space="preserve"> </w:t>
      </w:r>
      <w:r>
        <w:rPr>
          <w:rStyle w:val="DecValTok"/>
          <w:rtl w:val="0"/>
          <w:lang w:val="en-US"/>
        </w:rPr>
        <w:t>0.99</w:t>
      </w:r>
      <w:r>
        <w:rPr>
          <w:rStyle w:val="NormalTok"/>
          <w:rtl w:val="0"/>
          <w:lang w:val="en-US"/>
        </w:rPr>
        <w:t>),</w:t>
      </w:r>
      <w:r>
        <w:br w:type="textWrapping"/>
      </w:r>
      <w:r>
        <w:rPr>
          <w:rStyle w:val="NormalTok"/>
          <w:rtl w:val="0"/>
          <w:lang w:val="en-US"/>
        </w:rPr>
        <w:t xml:space="preserve">  </w:t>
      </w:r>
      <w:r>
        <w:rPr>
          <w:outline w:val="0"/>
          <w:color w:val="657422"/>
          <w:u w:color="657422"/>
          <w:shd w:val="clear" w:color="auto" w:fill="f1f3f5"/>
          <w:rtl w:val="0"/>
          <w:lang w:val="en-US"/>
          <w14:textFill>
            <w14:solidFill>
              <w14:srgbClr w14:val="657422"/>
            </w14:solidFill>
          </w14:textFill>
        </w:rPr>
        <w:t>save_pars =</w:t>
      </w:r>
      <w:r>
        <w:rPr>
          <w:rStyle w:val="NormalTok"/>
          <w:rtl w:val="0"/>
          <w:lang w:val="en-US"/>
        </w:rPr>
        <w:t xml:space="preserve"> </w:t>
      </w:r>
      <w:r>
        <w:rPr>
          <w:outline w:val="0"/>
          <w:color w:val="4758ab"/>
          <w:u w:color="4758ab"/>
          <w:shd w:val="clear" w:color="auto" w:fill="f1f3f5"/>
          <w:rtl w:val="0"/>
          <w:lang w:val="en-US"/>
          <w14:textFill>
            <w14:solidFill>
              <w14:srgbClr w14:val="4758AB"/>
            </w14:solidFill>
          </w14:textFill>
        </w:rPr>
        <w:t>save_pars</w:t>
      </w:r>
      <w:r>
        <w:rPr>
          <w:rStyle w:val="NormalTok"/>
          <w:rtl w:val="0"/>
          <w:lang w:val="en-US"/>
        </w:rPr>
        <w:t>(</w:t>
      </w:r>
      <w:r>
        <w:rPr>
          <w:outline w:val="0"/>
          <w:color w:val="657422"/>
          <w:u w:color="657422"/>
          <w:shd w:val="clear" w:color="auto" w:fill="f1f3f5"/>
          <w:rtl w:val="0"/>
          <w:lang w:val="en-US"/>
          <w14:textFill>
            <w14:solidFill>
              <w14:srgbClr w14:val="657422"/>
            </w14:solidFill>
          </w14:textFill>
        </w:rPr>
        <w:t>all =</w:t>
      </w:r>
      <w:r>
        <w:rPr>
          <w:rStyle w:val="NormalTok"/>
          <w:rtl w:val="0"/>
          <w:lang w:val="en-US"/>
        </w:rPr>
        <w:t xml:space="preserve"> </w:t>
      </w:r>
      <w:r>
        <w:rPr>
          <w:rStyle w:val="ConstantTok"/>
          <w:rtl w:val="0"/>
          <w:lang w:val="en-US"/>
        </w:rPr>
        <w:t>TRUE</w:t>
      </w:r>
      <w:r>
        <w:rPr>
          <w:rStyle w:val="NormalTok"/>
          <w:rtl w:val="0"/>
          <w:lang w:val="en-US"/>
        </w:rPr>
        <w:t>),</w:t>
      </w:r>
      <w:r>
        <w:br w:type="textWrapping"/>
      </w:r>
      <w:r>
        <w:rPr>
          <w:rStyle w:val="NormalTok"/>
          <w:rtl w:val="0"/>
          <w:lang w:val="en-US"/>
        </w:rPr>
        <w:t xml:space="preserve">  </w:t>
      </w:r>
      <w:r>
        <w:rPr>
          <w:outline w:val="0"/>
          <w:color w:val="657422"/>
          <w:u w:color="657422"/>
          <w:shd w:val="clear" w:color="auto" w:fill="f1f3f5"/>
          <w:rtl w:val="0"/>
          <w:lang w:val="en-US"/>
          <w14:textFill>
            <w14:solidFill>
              <w14:srgbClr w14:val="657422"/>
            </w14:solidFill>
          </w14:textFill>
        </w:rPr>
        <w:t>chains =</w:t>
      </w:r>
      <w:r>
        <w:rPr>
          <w:rStyle w:val="NormalTok"/>
          <w:rtl w:val="0"/>
          <w:lang w:val="en-US"/>
        </w:rPr>
        <w:t xml:space="preserve"> </w:t>
      </w:r>
      <w:r>
        <w:rPr>
          <w:rStyle w:val="DecValTok"/>
          <w:rtl w:val="0"/>
          <w:lang w:val="en-US"/>
        </w:rPr>
        <w:t>4</w:t>
      </w:r>
      <w:r>
        <w:rPr>
          <w:rStyle w:val="NormalTok"/>
          <w:rtl w:val="0"/>
          <w:lang w:val="en-US"/>
        </w:rPr>
        <w:t>,</w:t>
      </w:r>
      <w:r>
        <w:br w:type="textWrapping"/>
      </w:r>
      <w:r>
        <w:rPr>
          <w:rStyle w:val="NormalTok"/>
          <w:rtl w:val="0"/>
          <w:lang w:val="en-US"/>
        </w:rPr>
        <w:t xml:space="preserve">  </w:t>
      </w:r>
      <w:r>
        <w:rPr>
          <w:outline w:val="0"/>
          <w:color w:val="657422"/>
          <w:u w:color="657422"/>
          <w:shd w:val="clear" w:color="auto" w:fill="f1f3f5"/>
          <w:rtl w:val="0"/>
          <w:lang w:val="en-US"/>
          <w14:textFill>
            <w14:solidFill>
              <w14:srgbClr w14:val="657422"/>
            </w14:solidFill>
          </w14:textFill>
        </w:rPr>
        <w:t>iter =</w:t>
      </w:r>
      <w:r>
        <w:rPr>
          <w:rStyle w:val="NormalTok"/>
          <w:rtl w:val="0"/>
          <w:lang w:val="en-US"/>
        </w:rPr>
        <w:t xml:space="preserve"> </w:t>
      </w:r>
      <w:r>
        <w:rPr>
          <w:rStyle w:val="DecValTok"/>
          <w:rtl w:val="0"/>
          <w:lang w:val="en-US"/>
        </w:rPr>
        <w:t>4000</w:t>
      </w:r>
      <w:r>
        <w:rPr>
          <w:rStyle w:val="NormalTok"/>
          <w:rtl w:val="0"/>
          <w:lang w:val="en-US"/>
        </w:rPr>
        <w:t>,</w:t>
      </w:r>
      <w:r>
        <w:br w:type="textWrapping"/>
      </w:r>
      <w:r>
        <w:rPr>
          <w:rStyle w:val="NormalTok"/>
          <w:rtl w:val="0"/>
          <w:lang w:val="en-US"/>
        </w:rPr>
        <w:t xml:space="preserve">  </w:t>
      </w:r>
      <w:r>
        <w:rPr>
          <w:outline w:val="0"/>
          <w:color w:val="657422"/>
          <w:u w:color="657422"/>
          <w:shd w:val="clear" w:color="auto" w:fill="f1f3f5"/>
          <w:rtl w:val="0"/>
          <w:lang w:val="en-US"/>
          <w14:textFill>
            <w14:solidFill>
              <w14:srgbClr w14:val="657422"/>
            </w14:solidFill>
          </w14:textFill>
        </w:rPr>
        <w:t>seed =</w:t>
      </w:r>
      <w:r>
        <w:rPr>
          <w:rStyle w:val="NormalTok"/>
          <w:rtl w:val="0"/>
          <w:lang w:val="en-US"/>
        </w:rPr>
        <w:t xml:space="preserve"> </w:t>
      </w:r>
      <w:r>
        <w:rPr>
          <w:rStyle w:val="DecValTok"/>
          <w:rtl w:val="0"/>
          <w:lang w:val="en-US"/>
        </w:rPr>
        <w:t>1223</w:t>
      </w:r>
      <w:r>
        <w:rPr>
          <w:rStyle w:val="NormalTok"/>
          <w:rtl w:val="0"/>
          <w:lang w:val="en-US"/>
        </w:rPr>
        <w:t>)</w:t>
      </w:r>
      <w:bookmarkEnd w:id="20"/>
    </w:p>
    <w:p>
      <w:pPr>
        <w:pStyle w:val="Heading 2"/>
      </w:pPr>
      <w:bookmarkStart w:name="_Toc11" w:id="21"/>
      <w:bookmarkStart w:name="assessingconvergencemodelvalidity" w:id="22"/>
      <w:r>
        <w:rPr>
          <w:rFonts w:cs="Arial Unicode MS" w:eastAsia="Arial Unicode MS"/>
          <w:rtl w:val="0"/>
          <w:lang w:val="en-US"/>
        </w:rPr>
        <w:t>Assessing Convergence &amp; Model Validity</w:t>
      </w:r>
      <w:bookmarkEnd w:id="21"/>
    </w:p>
    <w:p>
      <w:pPr>
        <w:pStyle w:val="First Paragraph"/>
      </w:pPr>
      <w:r>
        <w:rPr>
          <w:rtl w:val="0"/>
          <w:lang w:val="en-US"/>
        </w:rPr>
        <w:t>First, let</w:t>
      </w:r>
      <w:r>
        <w:rPr>
          <w:rtl w:val="0"/>
          <w:lang w:val="en-US"/>
        </w:rPr>
        <w:t>’</w:t>
      </w:r>
      <w:r>
        <w:rPr>
          <w:rtl w:val="0"/>
          <w:lang w:val="en-US"/>
        </w:rPr>
        <w:t xml:space="preserve">s make sure that our priors are reasonable. We can do this by doing a prior predictive check. Prior predictive checks are used to evaluate the suitability of prior distributions before the model </w:t>
      </w:r>
      <w:r>
        <w:rPr>
          <w:rtl w:val="0"/>
          <w:lang w:val="en-US"/>
        </w:rPr>
        <w:t>‘</w:t>
      </w:r>
      <w:r>
        <w:rPr>
          <w:rtl w:val="0"/>
          <w:lang w:val="en-US"/>
        </w:rPr>
        <w:t>sees</w:t>
      </w:r>
      <w:r>
        <w:rPr>
          <w:rtl w:val="0"/>
          <w:lang w:val="en-US"/>
        </w:rPr>
        <w:t xml:space="preserve">’ </w:t>
      </w:r>
      <w:r>
        <w:rPr>
          <w:rtl w:val="0"/>
          <w:lang w:val="en-US"/>
        </w:rPr>
        <w:t xml:space="preserve">our data. This involves simulating data from the model using only the prior distributions and then examining the simulated data to see if it aligns with our expectations. This can help to identify issues with the chosen priors, such as implausible parameter values, before they can influence the posterior distribution and final inferences. You can read more about prior and posterior predictive checks </w:t>
      </w:r>
      <w:r>
        <w:rPr>
          <w:rStyle w:val="Hyperlink.0"/>
        </w:rPr>
        <w:fldChar w:fldCharType="begin" w:fldLock="0"/>
      </w:r>
      <w:r>
        <w:rPr>
          <w:rStyle w:val="Hyperlink.0"/>
        </w:rPr>
        <w:instrText xml:space="preserve"> HYPERLINK "https://mc-stan.org/docs/stan-users-guide/posterior-predictive-checks.html"</w:instrText>
      </w:r>
      <w:r>
        <w:rPr>
          <w:rStyle w:val="Hyperlink.0"/>
        </w:rPr>
        <w:fldChar w:fldCharType="separate" w:fldLock="0"/>
      </w:r>
      <w:r>
        <w:rPr>
          <w:rStyle w:val="Hyperlink.0"/>
          <w:rtl w:val="0"/>
        </w:rPr>
        <w:t>here</w:t>
      </w:r>
      <w:r>
        <w:rPr/>
        <w:fldChar w:fldCharType="end" w:fldLock="0"/>
      </w:r>
      <w:r>
        <w:rPr>
          <w:rtl w:val="0"/>
          <w:lang w:val="en-US"/>
        </w:rPr>
        <w:t>.</w:t>
      </w:r>
    </w:p>
    <w:p>
      <w:pPr>
        <w:pStyle w:val="Body Text"/>
      </w:pPr>
      <w:r>
        <w:drawing xmlns:a="http://schemas.openxmlformats.org/drawingml/2006/main">
          <wp:inline distT="0" distB="0" distL="0" distR="0">
            <wp:extent cx="5943600" cy="3200400"/>
            <wp:effectExtent l="0" t="0" r="0" b="0"/>
            <wp:docPr id="1073741832" name="officeArt object" descr="rId60.png"/>
            <wp:cNvGraphicFramePr/>
            <a:graphic xmlns:a="http://schemas.openxmlformats.org/drawingml/2006/main">
              <a:graphicData uri="http://schemas.openxmlformats.org/drawingml/2006/picture">
                <pic:pic xmlns:pic="http://schemas.openxmlformats.org/drawingml/2006/picture">
                  <pic:nvPicPr>
                    <pic:cNvPr id="1073741832" name="rId60.png" descr="rId60.png"/>
                    <pic:cNvPicPr>
                      <a:picLocks noChangeAspect="1"/>
                    </pic:cNvPicPr>
                  </pic:nvPicPr>
                  <pic:blipFill>
                    <a:blip r:embed="rId11">
                      <a:extLst/>
                    </a:blip>
                    <a:stretch>
                      <a:fillRect/>
                    </a:stretch>
                  </pic:blipFill>
                  <pic:spPr>
                    <a:xfrm>
                      <a:off x="0" y="0"/>
                      <a:ext cx="5943600" cy="3200400"/>
                    </a:xfrm>
                    <a:prstGeom prst="rect">
                      <a:avLst/>
                    </a:prstGeom>
                    <a:ln w="12700" cap="flat">
                      <a:noFill/>
                      <a:miter lim="400000"/>
                    </a:ln>
                    <a:effectLst/>
                  </pic:spPr>
                </pic:pic>
              </a:graphicData>
            </a:graphic>
          </wp:inline>
        </w:drawing>
      </w:r>
    </w:p>
    <w:p>
      <w:pPr>
        <w:pStyle w:val="Body Text"/>
      </w:pPr>
      <w:r>
        <w:rPr>
          <w:rtl w:val="0"/>
          <w:lang w:val="en-US"/>
        </w:rPr>
        <w:t>Now let</w:t>
      </w:r>
      <w:r>
        <w:rPr>
          <w:rtl w:val="0"/>
          <w:lang w:val="en-US"/>
        </w:rPr>
        <w:t>’</w:t>
      </w:r>
      <w:r>
        <w:rPr>
          <w:rtl w:val="0"/>
          <w:lang w:val="en-US"/>
        </w:rPr>
        <w:t>s do a posterior predictive check:</w:t>
      </w:r>
    </w:p>
    <w:p>
      <w:pPr>
        <w:pStyle w:val="Body Text"/>
      </w:pPr>
      <w:r>
        <w:drawing xmlns:a="http://schemas.openxmlformats.org/drawingml/2006/main">
          <wp:inline distT="0" distB="0" distL="0" distR="0">
            <wp:extent cx="5943600" cy="3200400"/>
            <wp:effectExtent l="0" t="0" r="0" b="0"/>
            <wp:docPr id="1073741833" name="officeArt object" descr="rId63.png"/>
            <wp:cNvGraphicFramePr/>
            <a:graphic xmlns:a="http://schemas.openxmlformats.org/drawingml/2006/main">
              <a:graphicData uri="http://schemas.openxmlformats.org/drawingml/2006/picture">
                <pic:pic xmlns:pic="http://schemas.openxmlformats.org/drawingml/2006/picture">
                  <pic:nvPicPr>
                    <pic:cNvPr id="1073741833" name="rId63.png" descr="rId63.png"/>
                    <pic:cNvPicPr>
                      <a:picLocks noChangeAspect="1"/>
                    </pic:cNvPicPr>
                  </pic:nvPicPr>
                  <pic:blipFill>
                    <a:blip r:embed="rId12">
                      <a:extLst/>
                    </a:blip>
                    <a:stretch>
                      <a:fillRect/>
                    </a:stretch>
                  </pic:blipFill>
                  <pic:spPr>
                    <a:xfrm>
                      <a:off x="0" y="0"/>
                      <a:ext cx="5943600" cy="3200400"/>
                    </a:xfrm>
                    <a:prstGeom prst="rect">
                      <a:avLst/>
                    </a:prstGeom>
                    <a:ln w="12700" cap="flat">
                      <a:noFill/>
                      <a:miter lim="400000"/>
                    </a:ln>
                    <a:effectLst/>
                  </pic:spPr>
                </pic:pic>
              </a:graphicData>
            </a:graphic>
          </wp:inline>
        </w:drawing>
      </w:r>
    </w:p>
    <w:p>
      <w:pPr>
        <w:pStyle w:val="Body Text"/>
      </w:pPr>
      <w:r>
        <w:rPr>
          <w:rtl w:val="0"/>
          <w:lang w:val="en-US"/>
        </w:rPr>
        <w:t>We mainly want to pay attention to extreme deviations from the area we</w:t>
      </w:r>
      <w:r>
        <w:rPr>
          <w:rtl w:val="0"/>
          <w:lang w:val="en-US"/>
        </w:rPr>
        <w:t>’</w:t>
      </w:r>
      <w:r>
        <w:rPr>
          <w:rtl w:val="0"/>
          <w:lang w:val="en-US"/>
        </w:rPr>
        <w:t>d expect our curves to land. Both look okay.</w:t>
      </w:r>
      <w:r>
        <w:br w:type="textWrapping"/>
        <w:br w:type="textWrapping"/>
      </w:r>
      <w:r>
        <w:rPr>
          <w:rtl w:val="0"/>
          <w:lang w:val="en-US"/>
        </w:rPr>
        <w:t>Let</w:t>
      </w:r>
      <w:r>
        <w:rPr>
          <w:rtl w:val="0"/>
          <w:lang w:val="en-US"/>
        </w:rPr>
        <w:t>’</w:t>
      </w:r>
      <w:r>
        <w:rPr>
          <w:rtl w:val="0"/>
          <w:lang w:val="en-US"/>
        </w:rPr>
        <w:t>s look at the results summary:</w:t>
      </w:r>
    </w:p>
    <w:p>
      <w:pPr>
        <w:pStyle w:val="Source Code"/>
      </w:pPr>
      <w:r>
        <w:rPr>
          <w:rtl w:val="0"/>
          <w:lang w:val="en-US"/>
        </w:rPr>
        <w:t xml:space="preserve"> Family: gaussian </w:t>
      </w:r>
      <w:r>
        <w:rPr>
          <w:rtl w:val="0"/>
        </w:rPr>
        <w:br w:type="textWrapping"/>
        <w:t xml:space="preserve">  </w:t>
      </w:r>
      <w:r>
        <w:rPr>
          <w:rtl w:val="0"/>
          <w:lang w:val="en-US"/>
        </w:rPr>
        <w:t xml:space="preserve">Links: mu = identity; sigma = identity </w:t>
      </w:r>
      <w:r>
        <w:br w:type="textWrapping"/>
      </w:r>
      <w:r>
        <w:rPr>
          <w:rtl w:val="0"/>
          <w:lang w:val="en-US"/>
        </w:rPr>
        <w:t xml:space="preserve">Formula: beta_ln | se(se_beta_ln) ~ 1 + (1 | author_year) </w:t>
      </w:r>
      <w:r>
        <w:rPr>
          <w:rtl w:val="0"/>
        </w:rPr>
        <w:br w:type="textWrapping"/>
        <w:t xml:space="preserve">   </w:t>
      </w:r>
      <w:r>
        <w:rPr>
          <w:rtl w:val="0"/>
          <w:lang w:val="en-US"/>
        </w:rPr>
        <w:t xml:space="preserve">Data: data (Number of observations: 10) </w:t>
      </w:r>
      <w:r>
        <w:rPr>
          <w:rtl w:val="0"/>
        </w:rPr>
        <w:br w:type="textWrapping"/>
        <w:t xml:space="preserve">  </w:t>
      </w:r>
      <w:r>
        <w:rPr>
          <w:rtl w:val="0"/>
          <w:lang w:val="en-US"/>
        </w:rPr>
        <w:t>Draws: 4 chains, each with iter = 4000; warmup = 2000; thin = 1;</w:t>
      </w:r>
      <w:r>
        <w:rPr>
          <w:rtl w:val="0"/>
        </w:rPr>
        <w:br w:type="textWrapping"/>
        <w:t xml:space="preserve">         </w:t>
      </w:r>
      <w:r>
        <w:rPr>
          <w:rtl w:val="0"/>
          <w:lang w:val="en-US"/>
        </w:rPr>
        <w:t>total post-warmup draws = 8000</w:t>
      </w:r>
      <w:r>
        <w:br w:type="textWrapping"/>
        <w:br w:type="textWrapping"/>
      </w:r>
      <w:r>
        <w:rPr>
          <w:rtl w:val="0"/>
          <w:lang w:val="en-US"/>
        </w:rPr>
        <w:t>Multilevel Hyperparameters:</w:t>
      </w:r>
      <w:r>
        <w:br w:type="textWrapping"/>
      </w:r>
      <w:r>
        <w:rPr>
          <w:rtl w:val="0"/>
          <w:lang w:val="en-US"/>
        </w:rPr>
        <w:t xml:space="preserve">~author_year (Number of levels: 10) </w:t>
      </w:r>
      <w:r>
        <w:rPr>
          <w:rtl w:val="0"/>
        </w:rPr>
        <w:br w:type="textWrapping"/>
        <w:t xml:space="preserve">              </w:t>
      </w:r>
      <w:r>
        <w:rPr>
          <w:rtl w:val="0"/>
          <w:lang w:val="en-US"/>
        </w:rPr>
        <w:t>Estimate Est.Error l-95% CI u-95% CI Rhat Bulk_ESS Tail_ESS</w:t>
      </w:r>
      <w:r>
        <w:br w:type="textWrapping"/>
      </w:r>
      <w:r>
        <w:rPr>
          <w:rtl w:val="0"/>
          <w:lang w:val="en-US"/>
        </w:rPr>
        <w:t>sd(Intercept)     1.58      0.58     0.72     2.97 1.00     1789     3113</w:t>
      </w:r>
      <w:r>
        <w:br w:type="textWrapping"/>
        <w:br w:type="textWrapping"/>
      </w:r>
      <w:r>
        <w:rPr>
          <w:rtl w:val="0"/>
          <w:lang w:val="en-US"/>
        </w:rPr>
        <w:t>Regression Coefficients:</w:t>
      </w:r>
      <w:r>
        <w:rPr>
          <w:rtl w:val="0"/>
        </w:rPr>
        <w:br w:type="textWrapping"/>
        <w:t xml:space="preserve">          </w:t>
      </w:r>
      <w:r>
        <w:rPr>
          <w:rtl w:val="0"/>
          <w:lang w:val="en-US"/>
        </w:rPr>
        <w:t>Estimate Est.Error l-95% CI u-95% CI Rhat Bulk_ESS Tail_ESS</w:t>
      </w:r>
      <w:r>
        <w:br w:type="textWrapping"/>
      </w:r>
      <w:r>
        <w:rPr>
          <w:rtl w:val="0"/>
          <w:lang w:val="en-US"/>
        </w:rPr>
        <w:t>Intercept    -1.24      0.51    -2.24    -0.23 1.00     2333     3356</w:t>
      </w:r>
      <w:r>
        <w:br w:type="textWrapping"/>
        <w:br w:type="textWrapping"/>
      </w:r>
      <w:r>
        <w:rPr>
          <w:rtl w:val="0"/>
          <w:lang w:val="en-US"/>
        </w:rPr>
        <w:t>Further Distributional Parameters:</w:t>
      </w:r>
      <w:r>
        <w:rPr>
          <w:rtl w:val="0"/>
        </w:rPr>
        <w:br w:type="textWrapping"/>
        <w:t xml:space="preserve">      </w:t>
      </w:r>
      <w:r>
        <w:rPr>
          <w:rtl w:val="0"/>
          <w:lang w:val="en-US"/>
        </w:rPr>
        <w:t>Estimate Est.Error l-95% CI u-95% CI Rhat Bulk_ESS Tail_ESS</w:t>
      </w:r>
      <w:r>
        <w:br w:type="textWrapping"/>
      </w:r>
      <w:r>
        <w:rPr>
          <w:rtl w:val="0"/>
          <w:lang w:val="en-US"/>
        </w:rPr>
        <w:t>sigma     0.00      0.00     0.00     0.00   NA       NA       NA</w:t>
      </w:r>
      <w:r>
        <w:br w:type="textWrapping"/>
        <w:br w:type="textWrapping"/>
      </w:r>
      <w:r>
        <w:rPr>
          <w:rtl w:val="0"/>
          <w:lang w:val="en-US"/>
        </w:rPr>
        <w:t>Draws were sampled using sampling(NUTS). For each parameter, Bulk_ESS</w:t>
      </w:r>
      <w:r>
        <w:br w:type="textWrapping"/>
      </w:r>
      <w:r>
        <w:rPr>
          <w:rtl w:val="0"/>
          <w:lang w:val="en-US"/>
        </w:rPr>
        <w:t>and Tail_ESS are effective sample size measures, and Rhat is the potential</w:t>
      </w:r>
      <w:r>
        <w:br w:type="textWrapping"/>
      </w:r>
      <w:r>
        <w:rPr>
          <w:rtl w:val="0"/>
          <w:lang w:val="en-US"/>
        </w:rPr>
        <w:t>scale reduction factor on split chains (at convergence, Rhat = 1).</w:t>
      </w:r>
    </w:p>
    <w:p>
      <w:pPr>
        <w:pStyle w:val="First Paragraph"/>
        <w:rPr>
          <w:color w:val="000000"/>
          <w:sz w:val="24"/>
        </w:rPr>
      </w:pPr>
      <w:r>
        <w:rPr>
          <w:rtl w:val="0"/>
          <w:lang w:val="en-US"/>
        </w:rPr>
        <w:t xml:space="preserve">Here, we should pay attention to the </w:t>
      </w:r>
      <m:oMath>
        <m:limUpp>
          <m:e>
            <m:r>
              <w:rPr xmlns:w="http://schemas.openxmlformats.org/wordprocessingml/2006/main">
                <w:rFonts w:ascii="Cambria Math" w:hAnsi="Cambria Math"/>
                <w:i/>
                <w:color w:val="000000"/>
                <w:sz w:val="28"/>
                <w:szCs w:val="28"/>
              </w:rPr>
              <m:t>R</m:t>
            </m:r>
          </m:e>
          <m:lim>
            <m:r>
              <m:rPr>
                <m:sty m:val="p"/>
              </m:rPr>
              <w:rPr xmlns:w="http://schemas.openxmlformats.org/wordprocessingml/2006/main">
                <w:rFonts w:ascii="Cambria Math" w:hAnsi="Cambria Math"/>
                <w:i/>
                <w:color w:val="000000"/>
                <w:sz w:val="28"/>
                <w:szCs w:val="28"/>
              </w:rPr>
              <m:t>^</m:t>
            </m:r>
          </m:lim>
        </m:limUpp>
      </m:oMath>
      <w:r>
        <w:rPr>
          <w:rtl w:val="0"/>
          <w:lang w:val="en-US"/>
        </w:rPr>
        <w:t xml:space="preserve"> (Rhat in output) value (potential scale reduction factor), which indicates whether the Markov chain Monte Carlo (MCMC) sampling process (this is the class of algorithms used to estimate the parameters) has converged. A value of less than 1.05 is generally considered good. </w:t>
      </w:r>
      <w:r>
        <w:rPr>
          <w:rStyle w:val="Hyperlink.0"/>
        </w:rPr>
        <w:fldChar w:fldCharType="begin" w:fldLock="0"/>
      </w:r>
      <w:r>
        <w:rPr>
          <w:rStyle w:val="Hyperlink.0"/>
        </w:rPr>
        <w:instrText xml:space="preserve"> HYPERLINK "https://mc-stan.org/rstan/reference/Rhat.html"</w:instrText>
      </w:r>
      <w:r>
        <w:rPr>
          <w:rStyle w:val="Hyperlink.0"/>
        </w:rPr>
        <w:fldChar w:fldCharType="separate" w:fldLock="0"/>
      </w:r>
      <w:r>
        <w:rPr>
          <w:rStyle w:val="Hyperlink.0"/>
          <w:rtl w:val="0"/>
        </w:rPr>
        <w:t>Here</w:t>
      </w:r>
      <w:r>
        <w:rPr/>
        <w:fldChar w:fldCharType="end" w:fldLock="0"/>
      </w:r>
      <w:r>
        <w:rPr>
          <w:rtl w:val="0"/>
          <w:lang w:val="en-US"/>
        </w:rPr>
        <w:t xml:space="preserve"> you can read more about convergence and efficiency diagnostics for Markov chains. As we can see, our </w:t>
      </w:r>
      <m:oMath>
        <m:limUpp>
          <m:e>
            <m:r>
              <w:rPr xmlns:w="http://schemas.openxmlformats.org/wordprocessingml/2006/main">
                <w:rFonts w:ascii="Cambria Math" w:hAnsi="Cambria Math"/>
                <w:i/>
                <w:color w:val="000000"/>
                <w:sz w:val="28"/>
                <w:szCs w:val="28"/>
              </w:rPr>
              <m:t>R</m:t>
            </m:r>
          </m:e>
          <m:lim>
            <m:r>
              <m:rPr>
                <m:sty m:val="p"/>
              </m:rPr>
              <w:rPr xmlns:w="http://schemas.openxmlformats.org/wordprocessingml/2006/main">
                <w:rFonts w:ascii="Cambria Math" w:hAnsi="Cambria Math"/>
                <w:i/>
                <w:color w:val="000000"/>
                <w:sz w:val="28"/>
                <w:szCs w:val="28"/>
              </w:rPr>
              <m:t>^</m:t>
            </m:r>
          </m:lim>
        </m:limUpp>
      </m:oMath>
      <w:r>
        <w:rPr>
          <w:rtl w:val="0"/>
          <w:lang w:val="en-US"/>
        </w:rPr>
        <w:t xml:space="preserve"> values are both 1.00 which is good!</w:t>
      </w:r>
    </w:p>
    <w:p>
      <w:pPr>
        <w:pStyle w:val="Body Text"/>
      </w:pPr>
      <w:r>
        <w:rPr>
          <w:rtl w:val="0"/>
          <w:lang w:val="en-US"/>
        </w:rPr>
        <w:t>Now let</w:t>
      </w:r>
      <w:r>
        <w:rPr>
          <w:rtl w:val="0"/>
          <w:lang w:val="en-US"/>
        </w:rPr>
        <w:t>’</w:t>
      </w:r>
      <w:r>
        <w:rPr>
          <w:rtl w:val="0"/>
          <w:lang w:val="en-US"/>
        </w:rPr>
        <w:t>s look at the trace plots of the four MCMC chains for both the posterior distribution of beta and the standard deviation. The red vertical lines show where the warm-up ended (samples from the warm-up will not be used further).</w:t>
      </w:r>
    </w:p>
    <w:p>
      <w:pPr>
        <w:pStyle w:val="Body Text"/>
      </w:pPr>
      <w:r>
        <w:drawing xmlns:a="http://schemas.openxmlformats.org/drawingml/2006/main">
          <wp:inline distT="0" distB="0" distL="0" distR="0">
            <wp:extent cx="5943600" cy="4572000"/>
            <wp:effectExtent l="0" t="0" r="0" b="0"/>
            <wp:docPr id="1073741834" name="officeArt object" descr="rId67.png"/>
            <wp:cNvGraphicFramePr/>
            <a:graphic xmlns:a="http://schemas.openxmlformats.org/drawingml/2006/main">
              <a:graphicData uri="http://schemas.openxmlformats.org/drawingml/2006/picture">
                <pic:pic xmlns:pic="http://schemas.openxmlformats.org/drawingml/2006/picture">
                  <pic:nvPicPr>
                    <pic:cNvPr id="1073741834" name="rId67.png" descr="rId67.png"/>
                    <pic:cNvPicPr>
                      <a:picLocks noChangeAspect="1"/>
                    </pic:cNvPicPr>
                  </pic:nvPicPr>
                  <pic:blipFill>
                    <a:blip r:embed="rId13">
                      <a:extLst/>
                    </a:blip>
                    <a:stretch>
                      <a:fillRect/>
                    </a:stretch>
                  </pic:blipFill>
                  <pic:spPr>
                    <a:xfrm>
                      <a:off x="0" y="0"/>
                      <a:ext cx="5943600" cy="4572000"/>
                    </a:xfrm>
                    <a:prstGeom prst="rect">
                      <a:avLst/>
                    </a:prstGeom>
                    <a:ln w="12700" cap="flat">
                      <a:noFill/>
                      <a:miter lim="400000"/>
                    </a:ln>
                    <a:effectLst/>
                  </pic:spPr>
                </pic:pic>
              </a:graphicData>
            </a:graphic>
          </wp:inline>
        </w:drawing>
      </w:r>
      <w:bookmarkEnd w:id="22"/>
    </w:p>
    <w:p>
      <w:pPr>
        <w:pStyle w:val="Heading 2"/>
      </w:pPr>
      <w:bookmarkStart w:name="_Toc12" w:id="23"/>
      <w:bookmarkStart w:name="interpretingtheresults" w:id="24"/>
      <w:r>
        <w:rPr>
          <w:rFonts w:cs="Arial Unicode MS" w:eastAsia="Arial Unicode MS"/>
          <w:rtl w:val="0"/>
          <w:lang w:val="en-US"/>
        </w:rPr>
        <w:t>Interpreting the Results</w:t>
      </w:r>
      <w:bookmarkEnd w:id="23"/>
    </w:p>
    <w:p>
      <w:pPr>
        <w:pStyle w:val="First Paragraph"/>
      </w:pPr>
      <w:r>
        <w:rPr>
          <w:rtl w:val="0"/>
          <w:lang w:val="en-US"/>
        </w:rPr>
        <w:t>Interesting! Now what do our posterior distributions actually look like?</w:t>
      </w:r>
    </w:p>
    <w:p>
      <w:pPr>
        <w:pStyle w:val="Body Text"/>
      </w:pPr>
      <w:r>
        <w:drawing xmlns:a="http://schemas.openxmlformats.org/drawingml/2006/main">
          <wp:inline distT="0" distB="0" distL="0" distR="0">
            <wp:extent cx="1188720" cy="640080"/>
            <wp:effectExtent l="0" t="0" r="0" b="0"/>
            <wp:docPr id="1073741835" name="officeArt object" descr="rId71.png"/>
            <wp:cNvGraphicFramePr/>
            <a:graphic xmlns:a="http://schemas.openxmlformats.org/drawingml/2006/main">
              <a:graphicData uri="http://schemas.openxmlformats.org/drawingml/2006/picture">
                <pic:pic xmlns:pic="http://schemas.openxmlformats.org/drawingml/2006/picture">
                  <pic:nvPicPr>
                    <pic:cNvPr id="1073741835" name="rId71.png" descr="rId71.png"/>
                    <pic:cNvPicPr>
                      <a:picLocks noChangeAspect="1"/>
                    </pic:cNvPicPr>
                  </pic:nvPicPr>
                  <pic:blipFill>
                    <a:blip r:embed="rId14">
                      <a:extLst/>
                    </a:blip>
                    <a:stretch>
                      <a:fillRect/>
                    </a:stretch>
                  </pic:blipFill>
                  <pic:spPr>
                    <a:xfrm>
                      <a:off x="0" y="0"/>
                      <a:ext cx="1188720" cy="640080"/>
                    </a:xfrm>
                    <a:prstGeom prst="rect">
                      <a:avLst/>
                    </a:prstGeom>
                    <a:ln w="12700" cap="flat">
                      <a:noFill/>
                      <a:miter lim="400000"/>
                    </a:ln>
                    <a:effectLst/>
                  </pic:spPr>
                </pic:pic>
              </a:graphicData>
            </a:graphic>
          </wp:inline>
        </w:drawing>
      </w:r>
    </w:p>
    <w:p>
      <w:pPr>
        <w:pStyle w:val="Body Text"/>
      </w:pPr>
      <w:r>
        <w:drawing xmlns:a="http://schemas.openxmlformats.org/drawingml/2006/main">
          <wp:inline distT="0" distB="0" distL="0" distR="0">
            <wp:extent cx="1188720" cy="640080"/>
            <wp:effectExtent l="0" t="0" r="0" b="0"/>
            <wp:docPr id="1073741836" name="officeArt object" descr="rId74.png"/>
            <wp:cNvGraphicFramePr/>
            <a:graphic xmlns:a="http://schemas.openxmlformats.org/drawingml/2006/main">
              <a:graphicData uri="http://schemas.openxmlformats.org/drawingml/2006/picture">
                <pic:pic xmlns:pic="http://schemas.openxmlformats.org/drawingml/2006/picture">
                  <pic:nvPicPr>
                    <pic:cNvPr id="1073741836" name="rId74.png" descr="rId74.png"/>
                    <pic:cNvPicPr>
                      <a:picLocks noChangeAspect="1"/>
                    </pic:cNvPicPr>
                  </pic:nvPicPr>
                  <pic:blipFill>
                    <a:blip r:embed="rId15">
                      <a:extLst/>
                    </a:blip>
                    <a:stretch>
                      <a:fillRect/>
                    </a:stretch>
                  </pic:blipFill>
                  <pic:spPr>
                    <a:xfrm>
                      <a:off x="0" y="0"/>
                      <a:ext cx="1188720" cy="640080"/>
                    </a:xfrm>
                    <a:prstGeom prst="rect">
                      <a:avLst/>
                    </a:prstGeom>
                    <a:ln w="12700" cap="flat">
                      <a:noFill/>
                      <a:miter lim="400000"/>
                    </a:ln>
                    <a:effectLst/>
                  </pic:spPr>
                </pic:pic>
              </a:graphicData>
            </a:graphic>
          </wp:inline>
        </w:drawing>
      </w:r>
    </w:p>
    <w:p>
      <w:pPr>
        <w:pStyle w:val="Body Text"/>
        <w:jc w:val="both"/>
      </w:pPr>
      <w:r>
        <w:rPr>
          <w:rtl w:val="0"/>
          <w:lang w:val="en-US"/>
        </w:rPr>
        <w:t>The posterior probability distribution represents the updated beliefs about an unknown parameter (e.g.</w:t>
      </w:r>
      <w:r>
        <w:rPr>
          <w:rtl w:val="0"/>
          <w:lang w:val="en-US"/>
        </w:rPr>
        <w:t> </w:t>
      </w:r>
      <w:r>
        <w:rPr>
          <w:rtl w:val="0"/>
          <w:lang w:val="en-US"/>
        </w:rPr>
        <w:t>the effect of BLL on IQ, beta) after observing new data, combining prior beliefs with the evidence from the data. And unlike a mean effect + confidence interval, it actually represents probability!</w:t>
      </w:r>
      <w:r>
        <w:br w:type="textWrapping"/>
        <w:br w:type="textWrapping"/>
      </w:r>
      <w:r>
        <w:rPr>
          <w:rtl w:val="0"/>
          <w:lang w:val="en-US"/>
        </w:rPr>
        <w:t xml:space="preserve">This means that we can </w:t>
      </w:r>
      <w:r>
        <w:rPr>
          <w:rtl w:val="0"/>
          <w:lang w:val="en-US"/>
        </w:rPr>
        <w:t>‘</w:t>
      </w:r>
      <w:r>
        <w:rPr>
          <w:rtl w:val="0"/>
          <w:lang w:val="en-US"/>
        </w:rPr>
        <w:t>ask</w:t>
      </w:r>
      <w:r>
        <w:rPr>
          <w:rtl w:val="0"/>
          <w:lang w:val="en-US"/>
        </w:rPr>
        <w:t xml:space="preserve">’ </w:t>
      </w:r>
      <w:r>
        <w:rPr>
          <w:rtl w:val="0"/>
          <w:lang w:val="en-US"/>
        </w:rPr>
        <w:t xml:space="preserve">this distribution many questions, such as: </w:t>
      </w:r>
      <w:r>
        <w:rPr>
          <w:rtl w:val="0"/>
          <w:lang w:val="en-US"/>
        </w:rPr>
        <w:t>“</w:t>
      </w:r>
      <w:r>
        <w:rPr>
          <w:rtl w:val="0"/>
          <w:lang w:val="en-US"/>
        </w:rPr>
        <w:t>What is the probability that the effect is greater than -1?</w:t>
      </w:r>
      <w:r>
        <w:rPr>
          <w:rtl w:val="0"/>
          <w:lang w:val="en-US"/>
        </w:rPr>
        <w:t xml:space="preserve">” </w:t>
      </w:r>
      <w:r>
        <w:rPr>
          <w:rtl w:val="0"/>
          <w:lang w:val="en-US"/>
        </w:rPr>
        <w:t xml:space="preserve">( </w:t>
      </w:r>
      <w:r>
        <w:rPr>
          <w:i w:val="1"/>
          <w:iCs w:val="1"/>
          <w:rtl w:val="0"/>
          <w:lang w:val="en-US"/>
        </w:rPr>
        <w:t>greater</w:t>
      </w:r>
      <w:r>
        <w:rPr>
          <w:rtl w:val="0"/>
          <w:lang w:val="en-US"/>
        </w:rPr>
        <w:t xml:space="preserve"> meaning </w:t>
      </w:r>
      <w:r>
        <w:rPr>
          <w:i w:val="1"/>
          <w:iCs w:val="1"/>
          <w:rtl w:val="0"/>
          <w:lang w:val="en-US"/>
        </w:rPr>
        <w:t>stronger</w:t>
      </w:r>
      <w:r>
        <w:rPr>
          <w:rtl w:val="0"/>
          <w:lang w:val="en-US"/>
        </w:rPr>
        <w:t xml:space="preserve"> here, so more IQ points would be lost). To answer such questions, we use the empirical cumulative distribution function (ECDF):</w:t>
      </w:r>
    </w:p>
    <w:p>
      <w:pPr>
        <w:pStyle w:val="Source Code"/>
      </w:pPr>
      <w:r>
        <w:rPr>
          <w:rStyle w:val="NormalTok"/>
          <w:rtl w:val="0"/>
          <w:lang w:val="en-US"/>
        </w:rPr>
        <w:t xml:space="preserve">b.ecdf &lt;- </w:t>
      </w:r>
      <w:r>
        <w:rPr>
          <w:outline w:val="0"/>
          <w:color w:val="4758ab"/>
          <w:u w:color="4758ab"/>
          <w:shd w:val="clear" w:color="auto" w:fill="f1f3f5"/>
          <w:rtl w:val="0"/>
          <w:lang w:val="en-US"/>
          <w14:textFill>
            <w14:solidFill>
              <w14:srgbClr w14:val="4758AB"/>
            </w14:solidFill>
          </w14:textFill>
        </w:rPr>
        <w:t>ecdf</w:t>
      </w:r>
      <w:r>
        <w:rPr>
          <w:rStyle w:val="NormalTok"/>
          <w:rtl w:val="0"/>
          <w:lang w:val="en-US"/>
        </w:rPr>
        <w:t>(posterior_samples</w:t>
      </w:r>
      <w:r>
        <w:rPr>
          <w:outline w:val="0"/>
          <w:color w:val="5e5e5e"/>
          <w:u w:color="5e5e5e"/>
          <w:shd w:val="clear" w:color="auto" w:fill="f1f3f5"/>
          <w:rtl w:val="0"/>
          <w:lang w:val="en-US"/>
          <w14:textFill>
            <w14:solidFill>
              <w14:srgbClr w14:val="5E5E5E"/>
            </w14:solidFill>
          </w14:textFill>
        </w:rPr>
        <w:t>$</w:t>
      </w:r>
      <w:r>
        <w:rPr>
          <w:rStyle w:val="NormalTok"/>
          <w:rtl w:val="0"/>
          <w:lang w:val="en-US"/>
        </w:rPr>
        <w:t>beta)</w:t>
      </w:r>
      <w:r>
        <w:br w:type="textWrapping"/>
      </w:r>
      <w:r>
        <w:rPr>
          <w:rStyle w:val="NormalTok"/>
          <w:rtl w:val="0"/>
          <w:lang w:val="en-US"/>
        </w:rPr>
        <w:t xml:space="preserve">x &lt;- </w:t>
      </w:r>
      <w:r>
        <w:rPr>
          <w:outline w:val="0"/>
          <w:color w:val="4758ab"/>
          <w:u w:color="4758ab"/>
          <w:shd w:val="clear" w:color="auto" w:fill="f1f3f5"/>
          <w:rtl w:val="0"/>
          <w:lang w:val="en-US"/>
          <w14:textFill>
            <w14:solidFill>
              <w14:srgbClr w14:val="4758AB"/>
            </w14:solidFill>
          </w14:textFill>
        </w:rPr>
        <w:t>b.ecdf</w:t>
      </w:r>
      <w:r>
        <w:rPr>
          <w:rStyle w:val="NormalTok"/>
          <w:rtl w:val="0"/>
          <w:lang w:val="en-US"/>
        </w:rPr>
        <w:t>(</w:t>
      </w:r>
      <w:r>
        <w:rPr>
          <w:outline w:val="0"/>
          <w:color w:val="5e5e5e"/>
          <w:u w:color="5e5e5e"/>
          <w:shd w:val="clear" w:color="auto" w:fill="f1f3f5"/>
          <w:rtl w:val="0"/>
          <w:lang w:val="en-US"/>
          <w14:textFill>
            <w14:solidFill>
              <w14:srgbClr w14:val="5E5E5E"/>
            </w14:solidFill>
          </w14:textFill>
        </w:rPr>
        <w:t>-</w:t>
      </w:r>
      <w:r>
        <w:rPr>
          <w:rStyle w:val="DecValTok"/>
          <w:rtl w:val="0"/>
          <w:lang w:val="en-US"/>
        </w:rPr>
        <w:t>1</w:t>
      </w:r>
      <w:r>
        <w:rPr>
          <w:rStyle w:val="NormalTok"/>
          <w:rtl w:val="0"/>
          <w:lang w:val="en-US"/>
        </w:rPr>
        <w:t>)</w:t>
      </w:r>
    </w:p>
    <w:p>
      <w:pPr>
        <w:pStyle w:val="First Paragraph"/>
      </w:pPr>
      <w:r>
        <w:rPr>
          <w:rtl w:val="0"/>
          <w:lang w:val="en-US"/>
        </w:rPr>
        <w:t>Given our data and model, the probability of the effect being greater than -1 is 69%.</w:t>
      </w:r>
      <w:r>
        <w:br w:type="textWrapping"/>
        <w:br w:type="textWrapping"/>
      </w:r>
      <w:r>
        <w:rPr>
          <w:rtl w:val="0"/>
          <w:lang w:val="en-US"/>
        </w:rPr>
        <w:t xml:space="preserve">We can also ask about interesting intervals; for example, consider the interval we saw in the plot above. This is a 95% high-density interval (HDI), meaning it is the narrowest interval containing 95% of the probability mass. This interval is often referred to as </w:t>
      </w:r>
      <w:r>
        <w:rPr>
          <w:i w:val="1"/>
          <w:iCs w:val="1"/>
          <w:rtl w:val="0"/>
          <w:lang w:val="en-US"/>
        </w:rPr>
        <w:t>credible interval</w:t>
      </w:r>
      <w:r>
        <w:rPr>
          <w:rtl w:val="0"/>
          <w:lang w:val="en-US"/>
        </w:rPr>
        <w:t>.</w:t>
      </w:r>
    </w:p>
    <w:p>
      <w:pPr>
        <w:pStyle w:val="Source Code"/>
      </w:pPr>
      <w:r>
        <w:rPr>
          <w:rStyle w:val="NormalTok"/>
          <w:rtl w:val="0"/>
          <w:lang w:val="en-US"/>
        </w:rPr>
        <w:t xml:space="preserve">hdi &lt;- </w:t>
      </w:r>
      <w:r>
        <w:rPr>
          <w:outline w:val="0"/>
          <w:color w:val="4758ab"/>
          <w:u w:color="4758ab"/>
          <w:shd w:val="clear" w:color="auto" w:fill="f1f3f5"/>
          <w:rtl w:val="0"/>
          <w:lang w:val="en-US"/>
          <w14:textFill>
            <w14:solidFill>
              <w14:srgbClr w14:val="4758AB"/>
            </w14:solidFill>
          </w14:textFill>
        </w:rPr>
        <w:t>hdi</w:t>
      </w:r>
      <w:r>
        <w:rPr>
          <w:rStyle w:val="NormalTok"/>
          <w:rtl w:val="0"/>
          <w:lang w:val="en-US"/>
        </w:rPr>
        <w:t>(posterior_samples</w:t>
      </w:r>
      <w:r>
        <w:rPr>
          <w:outline w:val="0"/>
          <w:color w:val="5e5e5e"/>
          <w:u w:color="5e5e5e"/>
          <w:shd w:val="clear" w:color="auto" w:fill="f1f3f5"/>
          <w:rtl w:val="0"/>
          <w:lang w:val="en-US"/>
          <w14:textFill>
            <w14:solidFill>
              <w14:srgbClr w14:val="5E5E5E"/>
            </w14:solidFill>
          </w14:textFill>
        </w:rPr>
        <w:t>$</w:t>
      </w:r>
      <w:r>
        <w:rPr>
          <w:rStyle w:val="NormalTok"/>
          <w:rtl w:val="0"/>
          <w:lang w:val="en-US"/>
        </w:rPr>
        <w:t xml:space="preserve">beta, </w:t>
      </w:r>
      <w:r>
        <w:rPr>
          <w:outline w:val="0"/>
          <w:color w:val="657422"/>
          <w:u w:color="657422"/>
          <w:shd w:val="clear" w:color="auto" w:fill="f1f3f5"/>
          <w:rtl w:val="0"/>
          <w:lang w:val="en-US"/>
          <w14:textFill>
            <w14:solidFill>
              <w14:srgbClr w14:val="657422"/>
            </w14:solidFill>
          </w14:textFill>
        </w:rPr>
        <w:t>credMass =</w:t>
      </w:r>
      <w:r>
        <w:rPr>
          <w:rStyle w:val="NormalTok"/>
          <w:rtl w:val="0"/>
          <w:lang w:val="en-US"/>
        </w:rPr>
        <w:t xml:space="preserve"> </w:t>
      </w:r>
      <w:r>
        <w:rPr>
          <w:rStyle w:val="DecValTok"/>
          <w:rtl w:val="0"/>
          <w:lang w:val="en-US"/>
        </w:rPr>
        <w:t>0.95</w:t>
      </w:r>
      <w:r>
        <w:rPr>
          <w:rStyle w:val="NormalTok"/>
          <w:rtl w:val="0"/>
          <w:lang w:val="en-US"/>
        </w:rPr>
        <w:t>)</w:t>
      </w:r>
    </w:p>
    <w:p>
      <w:pPr>
        <w:pStyle w:val="First Paragraph"/>
      </w:pPr>
      <w:r>
        <w:rPr>
          <w:rtl w:val="0"/>
          <w:lang w:val="en-US"/>
        </w:rPr>
        <w:t>Given our data and model, the true effect lies between -2.24 and -0.22 with 95% probability.</w:t>
      </w:r>
      <w:r>
        <w:br w:type="textWrapping"/>
        <w:br w:type="textWrapping"/>
      </w:r>
      <w:r>
        <w:rPr>
          <w:rtl w:val="0"/>
          <w:lang w:val="en-US"/>
        </w:rPr>
        <w:t>Coming back to the main objective of this project, we can now use the posterior distribution directly for our EBD assessment!</w:t>
      </w:r>
      <w:r>
        <w:br w:type="textWrapping"/>
        <w:br w:type="textWrapping"/>
      </w:r>
      <w:r>
        <w:rPr>
          <w:rtl w:val="0"/>
          <w:lang w:val="en-US"/>
        </w:rPr>
        <w:t>And of course, we can also plot a pretty forest plot showing all the posterior distributions of the included studies, the mean, and the 95% credible intervals.</w:t>
      </w:r>
    </w:p>
    <w:p>
      <w:pPr>
        <w:pStyle w:val="Body Text"/>
      </w:pPr>
      <w:r>
        <w:drawing xmlns:a="http://schemas.openxmlformats.org/drawingml/2006/main">
          <wp:inline distT="0" distB="0" distL="0" distR="0">
            <wp:extent cx="5943600" cy="5486400"/>
            <wp:effectExtent l="0" t="0" r="0" b="0"/>
            <wp:docPr id="1073741837" name="officeArt object" descr="rId77.png"/>
            <wp:cNvGraphicFramePr/>
            <a:graphic xmlns:a="http://schemas.openxmlformats.org/drawingml/2006/main">
              <a:graphicData uri="http://schemas.openxmlformats.org/drawingml/2006/picture">
                <pic:pic xmlns:pic="http://schemas.openxmlformats.org/drawingml/2006/picture">
                  <pic:nvPicPr>
                    <pic:cNvPr id="1073741837" name="rId77.png" descr="rId77.png"/>
                    <pic:cNvPicPr>
                      <a:picLocks noChangeAspect="1"/>
                    </pic:cNvPicPr>
                  </pic:nvPicPr>
                  <pic:blipFill>
                    <a:blip r:embed="rId16">
                      <a:extLst/>
                    </a:blip>
                    <a:stretch>
                      <a:fillRect/>
                    </a:stretch>
                  </pic:blipFill>
                  <pic:spPr>
                    <a:xfrm>
                      <a:off x="0" y="0"/>
                      <a:ext cx="5943600" cy="5486400"/>
                    </a:xfrm>
                    <a:prstGeom prst="rect">
                      <a:avLst/>
                    </a:prstGeom>
                    <a:ln w="12700" cap="flat">
                      <a:noFill/>
                      <a:miter lim="400000"/>
                    </a:ln>
                    <a:effectLst/>
                  </pic:spPr>
                </pic:pic>
              </a:graphicData>
            </a:graphic>
          </wp:inline>
        </w:drawing>
      </w:r>
    </w:p>
    <w:p>
      <w:pPr>
        <w:pStyle w:val="Body Text"/>
        <w:jc w:val="both"/>
      </w:pPr>
      <w:r>
        <w:rPr>
          <w:rtl w:val="0"/>
          <w:lang w:val="en-US"/>
        </w:rPr>
        <w:t>If you</w:t>
      </w:r>
      <w:r>
        <w:rPr>
          <w:rtl w:val="0"/>
          <w:lang w:val="en-US"/>
        </w:rPr>
        <w:t>’</w:t>
      </w:r>
      <w:r>
        <w:rPr>
          <w:rtl w:val="0"/>
          <w:lang w:val="en-US"/>
        </w:rPr>
        <w:t>re wondering why the effect sizes are not the same as those reported in the studies, it</w:t>
      </w:r>
      <w:r>
        <w:rPr>
          <w:rtl w:val="0"/>
          <w:lang w:val="en-US"/>
        </w:rPr>
        <w:t>’</w:t>
      </w:r>
      <w:r>
        <w:rPr>
          <w:rtl w:val="0"/>
          <w:lang w:val="en-US"/>
        </w:rPr>
        <w:t xml:space="preserve">s because of a process called </w:t>
      </w:r>
      <w:r>
        <w:rPr>
          <w:i w:val="1"/>
          <w:iCs w:val="1"/>
          <w:rtl w:val="0"/>
          <w:lang w:val="en-US"/>
        </w:rPr>
        <w:t>shrinkage</w:t>
      </w:r>
      <w:r>
        <w:rPr>
          <w:rtl w:val="0"/>
          <w:lang w:val="en-US"/>
        </w:rPr>
        <w:t xml:space="preserve">. The Bayesian model estimates </w:t>
      </w:r>
      <w:r>
        <w:rPr>
          <w:rtl w:val="0"/>
          <w:lang w:val="en-US"/>
        </w:rPr>
        <w:t>‘</w:t>
      </w:r>
      <w:r>
        <w:rPr>
          <w:rtl w:val="0"/>
          <w:lang w:val="en-US"/>
        </w:rPr>
        <w:t>true</w:t>
      </w:r>
      <w:r>
        <w:rPr>
          <w:rtl w:val="0"/>
          <w:lang w:val="en-US"/>
        </w:rPr>
        <w:t xml:space="preserve">’ </w:t>
      </w:r>
      <w:r>
        <w:rPr>
          <w:rtl w:val="0"/>
          <w:lang w:val="en-US"/>
        </w:rPr>
        <w:t>effect sizes for each study and if it detects outliers, they will be pulled towards the overall effect. This is an advantage of the Bayesian approach, particularly when pooling a small number of studies. The model is less sensitive to outliers than frequentist models.</w:t>
      </w:r>
      <w:bookmarkEnd w:id="24"/>
    </w:p>
    <w:sectPr>
      <w:headerReference w:type="default" r:id="rId17"/>
      <w:footerReference w:type="default" r:id="rId18"/>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Helvetic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age Number"/>
    </w:pP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Page Number">
    <w:name w:val="Page Number"/>
    <w:next w:val="Page Numb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right"/>
      <w:outlineLvl w:val="9"/>
    </w:pPr>
    <w:rPr>
      <w:rFonts w:ascii="Helvetica Neue" w:cs="Arial Unicode MS" w:hAnsi="Helvetica Neue" w:eastAsia="Arial Unicode MS"/>
      <w:b w:val="0"/>
      <w:bCs w:val="0"/>
      <w:i w:val="0"/>
      <w:iCs w:val="0"/>
      <w:caps w:val="0"/>
      <w:smallCaps w:val="0"/>
      <w:strike w:val="0"/>
      <w:dstrike w:val="0"/>
      <w:outline w:val="0"/>
      <w:color w:val="535353"/>
      <w:spacing w:val="0"/>
      <w:kern w:val="0"/>
      <w:position w:val="0"/>
      <w:sz w:val="24"/>
      <w:szCs w:val="24"/>
      <w:u w:val="none" w:color="535353"/>
      <w:shd w:val="nil" w:color="auto" w:fill="auto"/>
      <w:vertAlign w:val="baseline"/>
      <w14:textOutline w14:w="12700" w14:cap="flat">
        <w14:noFill/>
        <w14:miter w14:lim="400000"/>
      </w14:textOutline>
      <w14:textFill>
        <w14:solidFill>
          <w14:srgbClr w14:val="535353"/>
        </w14:solidFill>
      </w14:textFill>
    </w:rPr>
  </w:style>
  <w:style w:type="paragraph" w:styleId="Title">
    <w:name w:val="Title"/>
    <w:next w:val="Body Text"/>
    <w:pPr>
      <w:keepNext w:val="0"/>
      <w:keepLines w:val="0"/>
      <w:pageBreakBefore w:val="0"/>
      <w:widowControl w:val="1"/>
      <w:shd w:val="clear" w:color="auto" w:fill="auto"/>
      <w:suppressAutoHyphens w:val="1"/>
      <w:bidi w:val="0"/>
      <w:spacing w:before="0" w:after="300" w:line="240" w:lineRule="auto"/>
      <w:ind w:left="0" w:right="0" w:firstLine="0"/>
      <w:jc w:val="center"/>
      <w:outlineLvl w:val="9"/>
    </w:pPr>
    <w:rPr>
      <w:rFonts w:ascii="Helvetica Neue" w:cs="Arial Unicode MS" w:hAnsi="Helvetica Neue" w:eastAsia="Arial Unicode MS"/>
      <w:b w:val="0"/>
      <w:bCs w:val="0"/>
      <w:i w:val="1"/>
      <w:iCs w:val="1"/>
      <w:caps w:val="0"/>
      <w:smallCaps w:val="0"/>
      <w:strike w:val="0"/>
      <w:dstrike w:val="0"/>
      <w:outline w:val="0"/>
      <w:color w:val="000000"/>
      <w:spacing w:val="-9"/>
      <w:kern w:val="28"/>
      <w:position w:val="0"/>
      <w:sz w:val="52"/>
      <w:szCs w:val="5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Dat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Heading">
    <w:name w:val="TOC 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40"/>
      <w:szCs w:val="40"/>
      <w:u w:val="none" w:color="0f4761"/>
      <w:shd w:val="nil" w:color="auto" w:fill="auto"/>
      <w:vertAlign w:val="baseline"/>
      <w:lang w:val="en-US"/>
      <w14:textOutline w14:w="12700" w14:cap="flat">
        <w14:noFill/>
        <w14:miter w14:lim="400000"/>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9071"/>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paragraph" w:styleId="Heading 1">
    <w:name w:val="Heading 1"/>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40"/>
      <w:szCs w:val="40"/>
      <w:u w:val="none" w:color="0f4761"/>
      <w:shd w:val="nil" w:color="auto" w:fill="auto"/>
      <w:vertAlign w:val="baseline"/>
      <w14:textOutline w14:w="12700" w14:cap="flat">
        <w14:noFill/>
        <w14:miter w14:lim="400000"/>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071"/>
      </w:tabs>
      <w:suppressAutoHyphens w:val="0"/>
      <w:bidi w:val="0"/>
      <w:spacing w:before="0" w:after="0" w:line="240" w:lineRule="auto"/>
      <w:ind w:left="0" w:right="0" w:firstLine="523"/>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500" w:after="80" w:line="240" w:lineRule="auto"/>
      <w:ind w:left="0" w:right="0" w:firstLine="0"/>
      <w:jc w:val="left"/>
      <w:outlineLvl w:val="1"/>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32"/>
      <w:szCs w:val="32"/>
      <w:u w:val="none" w:color="0f4761"/>
      <w:shd w:val="nil" w:color="auto" w:fill="auto"/>
      <w:vertAlign w:val="baseline"/>
      <w14:textOutline w14:w="12700" w14:cap="flat">
        <w14:noFill/>
        <w14:miter w14:lim="400000"/>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071"/>
      </w:tabs>
      <w:suppressAutoHyphens w:val="0"/>
      <w:bidi w:val="0"/>
      <w:spacing w:before="0" w:after="0" w:line="240" w:lineRule="auto"/>
      <w:ind w:left="0" w:right="0" w:firstLine="1046"/>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f4761"/>
      <w:shd w:val="nil" w:color="auto" w:fill="auto"/>
      <w:vertAlign w:val="baseline"/>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both"/>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Source Code">
    <w:name w:val="Source Code"/>
    <w:next w:val="Source Code"/>
    <w:pPr>
      <w:keepNext w:val="0"/>
      <w:keepLines w:val="0"/>
      <w:pageBreakBefore w:val="0"/>
      <w:widowControl w:val="1"/>
      <w:shd w:val="clear" w:color="auto" w:fill="f1f3f5"/>
      <w:suppressAutoHyphens w:val="0"/>
      <w:bidi w:val="0"/>
      <w:spacing w:before="0" w:after="200" w:line="240" w:lineRule="auto"/>
      <w:ind w:left="0" w:right="0" w:firstLine="0"/>
      <w:jc w:val="left"/>
      <w:outlineLvl w:val="9"/>
    </w:pPr>
    <w:rPr>
      <w:rFonts w:ascii="Courier New" w:cs="Arial Unicode MS" w:hAnsi="Courier New"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NormalTok">
    <w:name w:val="NormalTok"/>
    <w:rPr>
      <w:outline w:val="0"/>
      <w:color w:val="003b4f"/>
      <w:u w:color="003b4f"/>
      <w:shd w:val="clear" w:color="auto" w:fill="f1f3f5"/>
      <w:lang w:val="en-US"/>
      <w14:textFill>
        <w14:solidFill>
          <w14:srgbClr w14:val="003B4F"/>
        </w14:solidFill>
      </w14:textFill>
    </w:rPr>
  </w:style>
  <w:style w:type="character" w:styleId="DecValTok">
    <w:name w:val="DecValTok"/>
    <w:rPr>
      <w:outline w:val="0"/>
      <w:color w:val="ad0000"/>
      <w:u w:color="ad0000"/>
      <w:shd w:val="clear" w:color="auto" w:fill="f1f3f5"/>
      <w:lang w:val="en-US"/>
      <w14:textFill>
        <w14:solidFill>
          <w14:srgbClr w14:val="AD0000"/>
        </w14:solidFill>
      </w14:textFill>
    </w:rPr>
  </w:style>
  <w:style w:type="character" w:styleId="ConstantTok">
    <w:name w:val="ConstantTok"/>
    <w:rPr>
      <w:outline w:val="0"/>
      <w:color w:val="8f5902"/>
      <w:u w:color="8f5902"/>
      <w:shd w:val="clear" w:color="auto" w:fill="f1f3f5"/>
      <w:lang w:val="en-US"/>
      <w14:textFill>
        <w14:solidFill>
          <w14:srgbClr w14:val="8F5902"/>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