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34.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12">
        <w:r>
          <w:rPr>
            <w:rStyle w:val="Hyperlink"/>
          </w:rPr>
          <w:t xml:space="preserve">Paulina Sell &lt;paulina.sell@uba.de&gt;</w:t>
        </w:r>
      </w:hyperlink>
    </w:p>
    <w:p>
      <w:r>
        <w:br w:type="page"/>
      </w:r>
    </w:p>
    <w:bookmarkStart w:id="13" w:name="keywords"/>
    <w:p>
      <w:pPr>
        <w:pStyle w:val="Heading1"/>
      </w:pPr>
      <w:r>
        <w:t xml:space="preserve">Keywords</w:t>
      </w:r>
    </w:p>
    <w:p>
      <w:pPr>
        <w:pStyle w:val="FirstParagraph"/>
      </w:pPr>
      <w:r>
        <w:t xml:space="preserve">Meta-analysis</w:t>
      </w:r>
      <w:r>
        <w:br/>
      </w:r>
      <w:r>
        <w:t xml:space="preserve">Evidence synthesis</w:t>
      </w:r>
      <w:r>
        <w:br/>
      </w:r>
      <w:r>
        <w:t xml:space="preserve">Bayesian modeling</w:t>
      </w:r>
      <w:r>
        <w:br/>
      </w:r>
      <w:r>
        <w:t xml:space="preserve">Uncertainty quantification</w:t>
      </w:r>
      <w:r>
        <w:br/>
      </w:r>
      <w:r>
        <w:t xml:space="preserve">Lead exposure</w:t>
      </w:r>
      <w:r>
        <w:br/>
      </w:r>
      <w:r>
        <w:t xml:space="preserve">Children’s IQ</w:t>
      </w:r>
      <w:r>
        <w:br/>
      </w:r>
      <w:r>
        <w:t xml:space="preserve">Environmental epidemiology</w:t>
      </w:r>
      <w:r>
        <w:br/>
      </w:r>
    </w:p>
    <w:bookmarkEnd w:id="13"/>
    <w:bookmarkStart w:id="14" w:name="highlights"/>
    <w:p>
      <w:pPr>
        <w:pStyle w:val="Heading1"/>
      </w:pPr>
      <w:r>
        <w:t xml:space="preserve">Highlights</w:t>
      </w:r>
    </w:p>
    <w:p>
      <w:pPr>
        <w:pStyle w:val="Compact"/>
        <w:numPr>
          <w:ilvl w:val="0"/>
          <w:numId w:val="1001"/>
        </w:numPr>
      </w:pPr>
      <w:r>
        <w:t xml:space="preserve">Bayesian and frequentist meta-analyses yield similar estimates for lead’s effect on IQ</w:t>
      </w:r>
      <w:r>
        <w:t xml:space="preserve"> </w:t>
      </w:r>
    </w:p>
    <w:p>
      <w:pPr>
        <w:pStyle w:val="Compact"/>
        <w:numPr>
          <w:ilvl w:val="0"/>
          <w:numId w:val="1001"/>
        </w:numPr>
      </w:pPr>
      <w:r>
        <w:t xml:space="preserve">Bayesian model yields full probability distributions, not just point estimates</w:t>
      </w:r>
      <w:r>
        <w:t xml:space="preserve"> </w:t>
      </w:r>
    </w:p>
    <w:p>
      <w:pPr>
        <w:pStyle w:val="Compact"/>
        <w:numPr>
          <w:ilvl w:val="0"/>
          <w:numId w:val="1001"/>
        </w:numPr>
      </w:pPr>
      <w:r>
        <w:t xml:space="preserve">Results underscore health risk of lead exposure, even in low concentration</w:t>
      </w:r>
    </w:p>
    <w:bookmarkEnd w:id="14"/>
    <w:bookmarkStart w:id="18" w:name="graphical-abstract"/>
    <w:p>
      <w:pPr>
        <w:pStyle w:val="Heading1"/>
      </w:pPr>
      <w:r>
        <w:t xml:space="preserve">Graphical abstract</w:t>
      </w:r>
    </w:p>
    <w:p>
      <w:pPr>
        <w:pStyle w:val="FirstParagraph"/>
      </w:pPr>
      <w:r>
        <w:drawing>
          <wp:inline>
            <wp:extent cx="5943600" cy="3530498"/>
            <wp:effectExtent b="0" l="0" r="0" t="0"/>
            <wp:docPr descr="" title="" id="16" name="Picture"/>
            <a:graphic>
              <a:graphicData uri="http://schemas.openxmlformats.org/drawingml/2006/picture">
                <pic:pic>
                  <pic:nvPicPr>
                    <pic:cNvPr descr="tables_figures/main/graphical_abstract.png" id="17" name="Picture"/>
                    <pic:cNvPicPr>
                      <a:picLocks noChangeArrowheads="1" noChangeAspect="1"/>
                    </pic:cNvPicPr>
                  </pic:nvPicPr>
                  <pic:blipFill>
                    <a:blip r:embed="rId15"/>
                    <a:stretch>
                      <a:fillRect/>
                    </a:stretch>
                  </pic:blipFill>
                  <pic:spPr bwMode="auto">
                    <a:xfrm>
                      <a:off x="0" y="0"/>
                      <a:ext cx="5943600" cy="3530498"/>
                    </a:xfrm>
                    <a:prstGeom prst="rect">
                      <a:avLst/>
                    </a:prstGeom>
                    <a:noFill/>
                    <a:ln w="9525">
                      <a:noFill/>
                      <a:headEnd/>
                      <a:tailEnd/>
                    </a:ln>
                  </pic:spPr>
                </pic:pic>
              </a:graphicData>
            </a:graphic>
          </wp:inline>
        </w:drawing>
      </w:r>
    </w:p>
    <w:bookmarkEnd w:id="18"/>
    <w:bookmarkStart w:id="19" w:name="abstract"/>
    <w:p>
      <w:pPr>
        <w:pStyle w:val="Heading1"/>
      </w:pPr>
      <w:r>
        <w:t xml:space="preserve">Abstract</w:t>
      </w:r>
    </w:p>
    <w:p>
      <w:pPr>
        <w:pStyle w:val="FirstParagraph"/>
      </w:pPr>
      <w:r>
        <w:rPr>
          <w:b/>
          <w:bCs/>
        </w:rPr>
        <w:t xml:space="preserve">Objective</w:t>
      </w:r>
      <w:r>
        <w:t xml:space="preserve">: Quantifying uncertainty is crucial for risk assessment and policy-making but current meta-analytic approaches fall short in this regard.</w:t>
      </w:r>
      <w:r>
        <w:t xml:space="preserve"> </w:t>
      </w:r>
      <w:r>
        <w:t xml:space="preserve">Bayesian meta-analysis provides probabilistic uncertainty quantification.</w:t>
      </w:r>
      <w:r>
        <w:t xml:space="preserve"> </w:t>
      </w:r>
      <w:r>
        <w:t xml:space="preserve"> </w:t>
      </w:r>
      <w:r>
        <w:t xml:space="preserve">We compared frequentist and Bayesian frameworks, using lead exposure and IQ as a case study.</w:t>
      </w:r>
    </w:p>
    <w:p>
      <w:pPr>
        <w:pStyle w:val="BodyText"/>
      </w:pPr>
      <w:r>
        <w:rPr>
          <w:b/>
          <w:bCs/>
        </w:rPr>
        <w:t xml:space="preserve">Methods</w:t>
      </w:r>
      <w:r>
        <w:t xml:space="preserve">: We systematically searched PubMed and Scopus for epidemiological studies on blood lead level (BLL) and children’s IQ score.</w:t>
      </w:r>
      <w:r>
        <w:t xml:space="preserve"> </w:t>
      </w:r>
      <w:r>
        <w:t xml:space="preserve">Risk of bias (RoB) was assessed and regression coefficients were harmonized.</w:t>
      </w:r>
      <w:r>
        <w:t xml:space="preserve"> </w:t>
      </w:r>
      <w:r>
        <w:t xml:space="preserve"> </w:t>
      </w:r>
      <w:r>
        <w:t xml:space="preserve">In both meta-analyses, we</w:t>
      </w:r>
      <w:r>
        <w:t xml:space="preserve"> </w:t>
      </w:r>
      <w:r>
        <w:t xml:space="preserve"> </w:t>
      </w:r>
      <w:r>
        <w:t xml:space="preserve">used random-effects models and included the same effect estimates.</w:t>
      </w:r>
      <w:r>
        <w:t xml:space="preserve"> </w:t>
      </w:r>
      <w:r>
        <w:t xml:space="preserve"> </w:t>
      </w:r>
      <w:r>
        <w:t xml:space="preserve">The Bayesian meta-analysis employed a hierarchical model with weakly-informative priors.</w:t>
      </w:r>
      <w:r>
        <w:t xml:space="preserve"> </w:t>
      </w:r>
      <w:r>
        <w:t xml:space="preserve">Sensitivity analyses examined robustness to RoB and priors.</w:t>
      </w:r>
      <w:r>
        <w:t xml:space="preserve"> </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w:t>
      </w:r>
      <w:r>
        <w:t xml:space="preserve"> </w:t>
      </w:r>
      <w:r>
        <w:t xml:space="preserve">The frequentist framework yielded a pooled estimate of -2.45 (95% confidence interval: -3.7 to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-3.56 to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w:t>
      </w:r>
      <w:r>
        <w:t xml:space="preserve"> </w:t>
      </w:r>
      <w:r>
        <w:t xml:space="preserve">The Bayesian framework provided a posterior distribution for heterogeneity, quantifying uncertainty from between-study variation.</w:t>
      </w:r>
      <w:r>
        <w:t xml:space="preserve"> </w:t>
      </w:r>
      <w:r>
        <w:t xml:space="preserve">Sensitivity analyses showed robustness to RoB and prior specification.</w:t>
      </w:r>
      <w:r>
        <w:t xml:space="preserve"> </w:t>
      </w:r>
      <w:r>
        <w:t xml:space="preserve">The Bayesian framework was less sensitive to outlier studies, resulting in a lower pooled effect.</w:t>
      </w:r>
    </w:p>
    <w:p>
      <w:pPr>
        <w:pStyle w:val="BodyText"/>
      </w:pPr>
      <w:r>
        <w:rPr>
          <w:b/>
          <w:bCs/>
        </w:rPr>
        <w:t xml:space="preserve">Conclusion</w:t>
      </w:r>
      <w:r>
        <w:t xml:space="preserve">: We provide updated pooled estimates for the effect of lead exposure on children’s IQ.</w:t>
      </w:r>
      <w:r>
        <w:t xml:space="preserve"> </w:t>
      </w:r>
      <w:r>
        <w:t xml:space="preserve">The Bayesian framework provides posterior distributions, enabling direct probability statements, e.g. about exceeding risk thresholds, and comparative assessments across pollutants.</w:t>
      </w:r>
      <w:r>
        <w:t xml:space="preserve"> </w:t>
      </w:r>
      <w:r>
        <w:t xml:space="preserve">These features are particularly valuable regarding risk assessment and policy-making.</w:t>
      </w:r>
    </w:p>
    <w:p>
      <w:r>
        <w:br w:type="page"/>
      </w:r>
    </w:p>
    <w:bookmarkEnd w:id="19"/>
    <w:bookmarkStart w:id="20"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w:t>
      </w:r>
      <w:r>
        <w:t xml:space="preserve">Lacerda et al.</w:t>
      </w:r>
      <w:r>
        <w:t xml:space="preserve">, 2023; Salamanca-Fernández et al., 2025)</w:t>
      </w:r>
      <w:r>
        <w:t xml:space="preserve">.</w:t>
      </w:r>
      <w:r>
        <w:t xml:space="preserve"> </w:t>
      </w:r>
      <w:r>
        <w:t xml:space="preserve">In Europe, primary exposure sources include dietary products, drinking water, and indoor dust</w:t>
      </w:r>
      <w:r>
        <w:t xml:space="preserve"> </w:t>
      </w:r>
      <w:r>
        <w:t xml:space="preserve">(EFSA, 2012; Sy et al., 2024)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(Hay et al., 2025)</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(Harari et al., 2018)</w:t>
      </w:r>
      <w:r>
        <w:t xml:space="preserve">,</w:t>
      </w:r>
      <w:r>
        <w:t xml:space="preserve"> </w:t>
      </w:r>
      <w:r>
        <w:t xml:space="preserve">liver disease</w:t>
      </w:r>
      <w:r>
        <w:t xml:space="preserve"> </w:t>
      </w:r>
      <w:r>
        <w:t xml:space="preserve">(Wan et al., 2022)</w:t>
      </w:r>
      <w:r>
        <w:t xml:space="preserve">,</w:t>
      </w:r>
      <w:r>
        <w:t xml:space="preserve"> </w:t>
      </w:r>
      <w:r>
        <w:t xml:space="preserve">coronary artery atherosclerosis</w:t>
      </w:r>
      <w:r>
        <w:t xml:space="preserve"> </w:t>
      </w:r>
      <w:r>
        <w:t xml:space="preserve">(Rosengren et al., 2025)</w:t>
      </w:r>
      <w:r>
        <w:t xml:space="preserve">,</w:t>
      </w:r>
      <w:r>
        <w:t xml:space="preserve"> </w:t>
      </w:r>
      <w:r>
        <w:t xml:space="preserve">cardiovascular mortality</w:t>
      </w:r>
      <w:r>
        <w:t xml:space="preserve"> </w:t>
      </w:r>
      <w:r>
        <w:t xml:space="preserve">(Lanphear et al., 2018)</w:t>
      </w:r>
      <w:r>
        <w:t xml:space="preserve">,</w:t>
      </w:r>
      <w:r>
        <w:t xml:space="preserve"> </w:t>
      </w:r>
      <w:r>
        <w:t xml:space="preserve">infertility in women</w:t>
      </w:r>
      <w:r>
        <w:t xml:space="preserve"> </w:t>
      </w:r>
      <w:r>
        <w:t xml:space="preserve">(Chang et al., 2006)</w:t>
      </w:r>
      <w:r>
        <w:t xml:space="preserve">,</w:t>
      </w:r>
      <w:r>
        <w:t xml:space="preserve"> </w:t>
      </w:r>
      <w:r>
        <w:t xml:space="preserve">attention-deficit/hyperactivity disorder in children</w:t>
      </w:r>
      <w:r>
        <w:t xml:space="preserve"> </w:t>
      </w:r>
      <w:r>
        <w:t xml:space="preserve">(Dimitrov et al., 2024)</w:t>
      </w:r>
      <w:r>
        <w:t xml:space="preserve">, and</w:t>
      </w:r>
      <w:r>
        <w:t xml:space="preserve"> </w:t>
      </w:r>
      <w:r>
        <w:t xml:space="preserve">antisocial behavior</w:t>
      </w:r>
      <w:r>
        <w:t xml:space="preserve"> </w:t>
      </w:r>
      <w:r>
        <w:t xml:space="preserve">(Shaffer et al., 2025)</w:t>
      </w:r>
      <w:r>
        <w:t xml:space="preserve">.</w:t>
      </w:r>
      <w:r>
        <w:t xml:space="preserve"> </w:t>
      </w:r>
      <w:r>
        <w:t xml:space="preserve">Among these endpoints, impaired cognitive development in children — observable as reduced intelligence quotient (IQ) scores — represents a particularly critical endpoint with high public health relevance</w:t>
      </w:r>
      <w:r>
        <w:t xml:space="preserve"> </w:t>
      </w:r>
      <w:r>
        <w:t xml:space="preserve">(Baghurst et al., 1992; Bellinger et al., 1992; Lanphear et al., 2005; Needleman, 1990)</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characterize the exposure-response relationship important for evidence-based policy</w:t>
      </w:r>
      <w:r>
        <w:t xml:space="preserve"> </w:t>
      </w:r>
      <w:r>
        <w:t xml:space="preserve">(Larsen and Sánchez-Triana, 2023)</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(Szigeti et al., 2022)</w:t>
      </w:r>
      <w:r>
        <w:t xml:space="preserve">.</w:t>
      </w:r>
      <w:r>
        <w:t xml:space="preserve"> </w:t>
      </w:r>
      <w:r>
        <w:t xml:space="preserve">Importantly, there is no evidence for a threshold concentration below which the effects of lead on IQ can be assumed to be negligible</w:t>
      </w:r>
      <w:r>
        <w:t xml:space="preserve"> </w:t>
      </w:r>
      <w:r>
        <w:t xml:space="preserve">(EFSA Panel on Contaminants in the Food Chain (CONTAM), 2010; Schwartz, 1994)</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(Canfield et al., 2003; Lanphear et al., 2005)</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(Carrington et al., 2019; Figueroa et al., 2024; Hay et al., 2025; Larsen and Sánchez-Triana, 2023; McFarland et al., 2022)</w:t>
      </w:r>
      <w:r>
        <w:t xml:space="preserve"> </w:t>
      </w:r>
      <w:r>
        <w:t xml:space="preserve">have predominantly relied on the foundational study by Lanphear et al. (2005), a pooled analysis of seven cohort studies, or subsequent re-analyses of the same data</w:t>
      </w:r>
      <w:r>
        <w:t xml:space="preserve"> </w:t>
      </w:r>
      <w:r>
        <w:t xml:space="preserve">(Crump et al., 2013; Lanphear et al., 2005)</w:t>
      </w:r>
      <w:r>
        <w:t xml:space="preserve">.</w:t>
      </w:r>
      <w:r>
        <w:t xml:space="preserve"> </w:t>
      </w:r>
      <w:r>
        <w:t xml:space="preserve">While these landmark studies have substantially shaped research and policy on childhood lead exposure, methodological issues and errors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(Crump et al., 2013; Lanphear et al., 2019)</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(Grant and Di Tanna, 2025)</w:t>
      </w:r>
      <w:r>
        <w:t xml:space="preserve">.</w:t>
      </w:r>
      <w:r>
        <w:t xml:space="preserve"> </w:t>
      </w:r>
      <w:r>
        <w:t xml:space="preserve">Unlike frequentist confidence intervals, which are often misinterpreted as probabilistic</w:t>
      </w:r>
      <w:r>
        <w:t xml:space="preserve"> </w:t>
      </w:r>
      <w:r>
        <w:t xml:space="preserve">(Hoekstra et al., 2014)</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BLL and IQ scores in children; and second, to conduct both frequentist and Bayesian meta-analyses, comparing how these analytical frameworks impact exposure-response estimates and uncertainty quantification.</w:t>
      </w:r>
    </w:p>
    <w:bookmarkEnd w:id="20"/>
    <w:bookmarkStart w:id="33" w:name="methods"/>
    <w:p>
      <w:pPr>
        <w:pStyle w:val="Heading1"/>
      </w:pPr>
      <w:r>
        <w:t xml:space="preserve">2. Methods</w:t>
      </w:r>
    </w:p>
    <w:bookmarkStart w:id="22"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(Page et al., 2021)</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(Kruschke, 2021)</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w:t>
      </w:r>
      <w:hyperlink r:id="rId21">
        <w:r>
          <w:rPr>
            <w:rStyle w:val="Hyperlink"/>
            <w:i/>
            <w:iCs/>
          </w:rPr>
          <w:t xml:space="preserve">PARC</w:t>
        </w:r>
      </w:hyperlink>
      <w:r>
        <w:rPr>
          <w:i/>
          <w:iCs/>
        </w:rPr>
        <w:t xml:space="preserve">)</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br/>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(Lanphear et al., 2005)</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(MEDLINE) and Scopus included the following terms:</w:t>
      </w:r>
      <w:r>
        <w:t xml:space="preserve"> </w:t>
      </w:r>
      <w:r>
        <w:t xml:space="preserve">substance (Pb - including Medical Subject Headings [MeSH] terms), outcome (IQ and neurodevelopment), population (children) and results (association, exposure-response function [ERF]) (supplementary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(children aged 0 to 11 years), Exposure (biological measures of Pb from all matrices), Comparator (no exposure or lower levels of exposure), Outcome (IQ shift), Timing of exposure (no restriction) and Setting (no restriction) (Tab. 1).</w:t>
      </w:r>
    </w:p>
    <w:p>
      <w:pPr>
        <w:pStyle w:val="BodyText"/>
      </w:pPr>
      <w:r>
        <w:t xml:space="preserve">We excluded reviews and background articles that inventoried the literature without quantitatively summarizing the results.</w:t>
      </w:r>
      <w:r>
        <w:t xml:space="preserve"> </w:t>
      </w:r>
      <w:r>
        <w:t xml:space="preserve">We also excluded references written in languages other than English.</w:t>
      </w:r>
      <w:r>
        <w:br/>
      </w:r>
      <w:r>
        <w:t xml:space="preserve">For this present study, only studies that used a continuous, log-transformed BLL scale were included, so that effect estimates could be harmonized.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w:t>
      </w:r>
      <w:r>
        <w:t xml:space="preserve"> </w:t>
      </w:r>
      <w:r>
        <w:t xml:space="preserve">(NTP OHAT, 2019)</w:t>
      </w:r>
      <w:r>
        <w:t xml:space="preserve">.</w:t>
      </w:r>
      <w:r>
        <w:t xml:space="preserve"> </w:t>
      </w:r>
      <w:r>
        <w:t xml:space="preserve">For all included studies, effect estimates from the most-adjusted model were extracted and the adjustment set was recorded.</w:t>
      </w:r>
    </w:p>
    <w:bookmarkEnd w:id="22"/>
    <w:bookmarkStart w:id="23"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(Plate et al., 2024)</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categorized as either low, moderate or high, following two different summary metrics provided by the RoB tool (for more details, please refer to</w:t>
      </w:r>
      <w:r>
        <w:t xml:space="preserve"> </w:t>
      </w:r>
      <w:r>
        <w:t xml:space="preserve">Plate et al. (2024)</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23"/>
    <w:bookmarkStart w:id="25"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ERF.</w:t>
      </w:r>
      <w:r>
        <w:t xml:space="preserve"> </w:t>
      </w:r>
      <w:r>
        <w:t xml:space="preserve">While some studies assume a linear relationship</w:t>
      </w:r>
      <w:r>
        <w:t xml:space="preserve"> </w:t>
      </w:r>
      <w:r>
        <w:t xml:space="preserve">(Chen et al., 2005; Halabicky et al., 2023)</w:t>
      </w:r>
      <w:r>
        <w:t xml:space="preserve">, this assumption may only be valid within very narrow concentration ranges</w:t>
      </w:r>
      <w:r>
        <w:t xml:space="preserve"> </w:t>
      </w:r>
      <w:r>
        <w:t xml:space="preserve">(Crump et al., 2013)</w:t>
      </w:r>
      <w:r>
        <w:t xml:space="preserve">.</w:t>
      </w:r>
      <w:r>
        <w:t xml:space="preserve"> </w:t>
      </w:r>
      <w:r>
        <w:t xml:space="preserve">Studies that tested multiple shapes of the ERF have concluded that a log-linear relationship, where BLL are logarithmically transformed, represents a more appropriate statistical model</w:t>
      </w:r>
      <w:r>
        <w:t xml:space="preserve"> </w:t>
      </w:r>
      <w:r>
        <w:t xml:space="preserve">(Crump et al., 2013; Schnaas et al., 2006)</w:t>
      </w:r>
      <w:r>
        <w:t xml:space="preserve">.</w:t>
      </w:r>
    </w:p>
    <w:p>
      <w:pPr>
        <w:pStyle w:val="BodyText"/>
      </w:pPr>
      <w:r>
        <w:t xml:space="preserve">The general form of regression model used for a log-linear association is:</w:t>
      </w:r>
    </w:p>
    <w:p>
      <w:pPr>
        <w:pStyle w:val="BodyText"/>
      </w:pPr>
      <w:bookmarkStart w:id="24"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r>
            <m:rPr>
              <m:sty m:val="p"/>
            </m:rPr>
            <m:t>(</m:t>
          </m:r>
          <m:r>
            <m:t>X</m:t>
          </m:r>
          <m:r>
            <m:rPr>
              <m:sty m:val="p"/>
            </m:rPr>
            <m:t>)</m:t>
          </m:r>
          <m:r>
            <m:rPr>
              <m:sty m:val="p"/>
            </m:rPr>
            <m:t>+</m:t>
          </m:r>
          <m:r>
            <m:t>ε</m:t>
          </m:r>
          <m:r>
            <m:t>  </m:t>
          </m:r>
          <m:r>
            <m:rPr>
              <m:sty m:val="p"/>
            </m:rPr>
            <m:t>(</m:t>
          </m:r>
          <m:r>
            <m:t>1</m:t>
          </m:r>
          <m:r>
            <m:rPr>
              <m:sty m:val="p"/>
            </m:rPr>
            <m:t>)</m:t>
          </m:r>
        </m:oMath>
      </m:oMathPara>
      <w:bookmarkEnd w:id="24"/>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supplementary file 3.</w:t>
      </w:r>
      <w:r>
        <w:br/>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w:t>
      </w:r>
    </w:p>
    <w:bookmarkEnd w:id="25"/>
    <w:bookmarkStart w:id="31" w:name="meta-analysis"/>
    <w:p>
      <w:pPr>
        <w:pStyle w:val="Heading2"/>
      </w:pPr>
      <w:r>
        <w:t xml:space="preserve">2.4 Meta-Analysis</w:t>
      </w:r>
    </w:p>
    <w:p>
      <w:pPr>
        <w:pStyle w:val="FirstParagraph"/>
      </w:pPr>
      <w:r>
        <w:t xml:space="preserve">In order to quantitatively synthesize the available epidemiological literature on the association of children’s blood lead levels and IQ, we conducted separate meta-analyses in the Bayesian and frequentist analytical framework, and compared their results.</w:t>
      </w:r>
      <w:r>
        <w:br/>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br/>
      </w:r>
      <w:r>
        <w:t xml:space="preserve">R version 4.4.2 (2024-10-31) was used for all computations</w:t>
      </w:r>
      <w:r>
        <w:t xml:space="preserve"> </w:t>
      </w:r>
      <w:r>
        <w:t xml:space="preserve">(R Core Team, 2024)</w:t>
      </w:r>
      <w:r>
        <w:t xml:space="preserve">.</w:t>
      </w:r>
      <w:r>
        <w:t xml:space="preserve"> </w:t>
      </w:r>
      <w:r>
        <w:t xml:space="preserve">All code for this study is publicly available on GitHub:</w:t>
      </w:r>
      <w:r>
        <w:t xml:space="preserve"> </w:t>
      </w:r>
      <w:hyperlink r:id="rId26">
        <w:r>
          <w:rPr>
            <w:rStyle w:val="Hyperlink"/>
          </w:rPr>
          <w:t xml:space="preserve">github.com/PaulinaSell/lead-IQ_meta-analysis</w:t>
        </w:r>
      </w:hyperlink>
      <w:r>
        <w:t xml:space="preserve">.</w:t>
      </w:r>
    </w:p>
    <w:bookmarkStart w:id="29" w:name="bayesian-meta-analysis"/>
    <w:p>
      <w:pPr>
        <w:pStyle w:val="Heading3"/>
      </w:pPr>
      <w:r>
        <w:t xml:space="preserve">2.4.1 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r>
        <w:t xml:space="preserve"> </w:t>
      </w:r>
    </w:p>
    <w:p>
      <w:pPr>
        <w:pStyle w:val="BodyText"/>
      </w:pPr>
      <w:bookmarkStart w:id="27" w:name="eq-model"/>
      <m:oMathPara>
        <m:oMathParaPr>
          <m:jc m:val="center"/>
        </m:oMathParaPr>
        <m:oMath>
          <m:eqArr>
            <m:e>
              <m:sSub>
                <m:e>
                  <m:acc>
                    <m:accPr>
                      <m:chr m:val="̂"/>
                    </m:accPr>
                    <m:e>
                      <m:r>
                        <m:t>θ</m:t>
                      </m:r>
                    </m:e>
                  </m:acc>
                </m:e>
                <m:sub>
                  <m:r>
                    <m:t>k</m:t>
                  </m:r>
                </m:sub>
              </m:sSub>
              <m:r>
                <m:t>&amp;</m:t>
              </m:r>
              <m:r>
                <m:rPr>
                  <m:sty m:val="p"/>
                </m:rPr>
                <m:t>∼</m:t>
              </m:r>
              <m:r>
                <m:rPr>
                  <m:scr m:val="script"/>
                  <m:sty m:val="p"/>
                </m:rPr>
                <m:t>N</m:t>
              </m:r>
              <m:r>
                <m:rPr>
                  <m:sty m:val="p"/>
                </m:rPr>
                <m:t>(</m:t>
              </m:r>
              <m:sSub>
                <m:e>
                  <m:r>
                    <m:t>θ</m:t>
                  </m:r>
                </m:e>
                <m:sub>
                  <m:r>
                    <m:t>k</m:t>
                  </m:r>
                </m:sub>
              </m:sSub>
              <m:r>
                <m:rPr>
                  <m:sty m:val="p"/>
                </m:rPr>
                <m:t>,</m:t>
              </m:r>
              <m:sSub>
                <m:e>
                  <m:r>
                    <m:t>σ</m:t>
                  </m:r>
                </m:e>
                <m:sub>
                  <m:r>
                    <m:t>k</m:t>
                  </m:r>
                </m:sub>
              </m:sSub>
              <m:r>
                <m:rPr>
                  <m:sty m:val="p"/>
                </m:rPr>
                <m:t>)</m:t>
              </m:r>
            </m:e>
            <m:e>
              <m:sSub>
                <m:e>
                  <m:r>
                    <m:t>θ</m:t>
                  </m:r>
                </m:e>
                <m:sub>
                  <m:r>
                    <m:t>k</m:t>
                  </m:r>
                </m:sub>
              </m:sSub>
              <m:r>
                <m:t>&amp;</m:t>
              </m:r>
              <m:r>
                <m:rPr>
                  <m:sty m:val="p"/>
                </m:rPr>
                <m:t>∼</m:t>
              </m:r>
              <m:r>
                <m:rPr>
                  <m:scr m:val="script"/>
                  <m:sty m:val="p"/>
                </m:rPr>
                <m:t>N</m:t>
              </m:r>
              <m:r>
                <m:rPr>
                  <m:sty m:val="p"/>
                </m:rPr>
                <m:t>(</m:t>
              </m:r>
              <m:r>
                <m:t>μ</m:t>
              </m:r>
              <m:r>
                <m:rPr>
                  <m:sty m:val="p"/>
                </m:rPr>
                <m:t>,</m:t>
              </m:r>
              <m:r>
                <m:t>τ</m:t>
              </m:r>
              <m:r>
                <m:rPr>
                  <m:sty m:val="p"/>
                </m:rPr>
                <m:t>)</m:t>
              </m:r>
            </m:e>
            <m:e/>
          </m:eqArr>
          <m:r>
            <m:t>  </m:t>
          </m:r>
          <m:r>
            <m:rPr>
              <m:sty m:val="p"/>
            </m:rPr>
            <m:t>(</m:t>
          </m:r>
          <m:r>
            <m:t>2</m:t>
          </m:r>
          <m:r>
            <m:rPr>
              <m:sty m:val="p"/>
            </m:rPr>
            <m:t>)</m:t>
          </m:r>
        </m:oMath>
      </m:oMathPara>
      <w:bookmarkEnd w:id="27"/>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br/>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(Bürkner, 2017)</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br/>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(frequentist framework) so that both</w:t>
      </w:r>
      <w:r>
        <w:t xml:space="preserve"> </w:t>
      </w:r>
      <m:oMath>
        <m:sSup>
          <m:e>
            <m:r>
              <m:t>I</m:t>
            </m:r>
          </m:e>
          <m:sup>
            <m:r>
              <m:t>2</m:t>
            </m:r>
          </m:sup>
        </m:sSup>
      </m:oMath>
      <w:r>
        <w:t xml:space="preserve"> </w:t>
      </w:r>
      <w:r>
        <w:t xml:space="preserve">results are comparable (supplementary file 4).</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so that the posterior distributions are softly being bounded to realistic ranges of results.</w:t>
      </w:r>
      <w:r>
        <w:t xml:space="preserve"> </w:t>
      </w:r>
      <w:r>
        <w:t xml:space="preserve">The priors are specified on the same scale as the harmonized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reflects the prior belief that the overall pooled effect lies between -5 and 3 with</w:t>
      </w:r>
      <w:r>
        <w:t xml:space="preserve"> </w:t>
      </w:r>
      <m:oMath>
        <m:r>
          <m:rPr>
            <m:sty m:val="p"/>
          </m:rPr>
          <m:t>∼</m:t>
        </m:r>
      </m:oMath>
      <w:r>
        <w:t xml:space="preserve">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(EFSA Panel on Contaminants in the Food Chain (CONTAM), 2010)</w:t>
      </w:r>
      <w:r>
        <w:t xml:space="preserve">.</w:t>
      </w:r>
      <w:r>
        <w:br/>
      </w:r>
      <w:r>
        <w:t xml:space="preserve">Since variance terms, such as the between study heterogeneity</w:t>
      </w:r>
      <w:r>
        <w:t xml:space="preserve"> </w:t>
      </w:r>
      <m:oMath>
        <m:r>
          <m:t>τ</m:t>
        </m:r>
      </m:oMath>
      <w:r>
        <w:t xml:space="preserve">, must be positive, a truncated normal distribution centered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28" w:name="eq-priors"/>
      <m:oMathPara>
        <m:oMathParaPr>
          <m:jc m:val="center"/>
        </m:oMathParaPr>
        <m:oMath>
          <m:eqArr>
            <m:e>
              <m:r>
                <m:t>μ</m:t>
              </m:r>
              <m:r>
                <m:t>&amp;</m:t>
              </m:r>
              <m:r>
                <m:rPr>
                  <m:sty m:val="p"/>
                </m:rPr>
                <m:t>∼</m:t>
              </m:r>
              <m:r>
                <m:rPr>
                  <m:scr m:val="script"/>
                  <m:sty m:val="p"/>
                </m:rPr>
                <m:t>N</m:t>
              </m:r>
              <m:r>
                <m:rPr>
                  <m:sty m:val="p"/>
                </m:rPr>
                <m:t>(</m:t>
              </m:r>
              <m:r>
                <m:rPr>
                  <m:sty m:val="p"/>
                </m:rPr>
                <m:t>−</m:t>
              </m:r>
              <m:r>
                <m:t>1</m:t>
              </m:r>
              <m:r>
                <m:rPr>
                  <m:sty m:val="p"/>
                </m:rPr>
                <m:t>,</m:t>
              </m:r>
              <m:r>
                <m:t>2</m:t>
              </m:r>
              <m:r>
                <m:rPr>
                  <m:sty m:val="p"/>
                </m:rPr>
                <m:t>)</m:t>
              </m:r>
            </m:e>
            <m:e>
              <m:r>
                <m:t>τ</m:t>
              </m:r>
              <m:r>
                <m:t>&amp;</m:t>
              </m:r>
              <m:r>
                <m:rPr>
                  <m:sty m:val="p"/>
                </m:rPr>
                <m:t>∼</m:t>
              </m:r>
              <m:sSup>
                <m:e>
                  <m:r>
                    <m:rPr>
                      <m:scr m:val="script"/>
                      <m:sty m:val="p"/>
                    </m:rPr>
                    <m:t>N</m:t>
                  </m:r>
                </m:e>
                <m:sup>
                  <m:r>
                    <m:rPr>
                      <m:scr m:val="script"/>
                      <m:sty m:val="p"/>
                    </m:rPr>
                    <m:t>+</m:t>
                  </m:r>
                </m:sup>
              </m:sSup>
              <m:r>
                <m:rPr>
                  <m:sty m:val="p"/>
                </m:rPr>
                <m:t>(</m:t>
              </m:r>
              <m:r>
                <m:t>0</m:t>
              </m:r>
              <m:r>
                <m:rPr>
                  <m:sty m:val="p"/>
                </m:rPr>
                <m:t>,</m:t>
              </m:r>
              <m:r>
                <m:t>2</m:t>
              </m:r>
              <m:r>
                <m:rPr>
                  <m:sty m:val="p"/>
                </m:rPr>
                <m:t>)</m:t>
              </m:r>
            </m:e>
          </m:eqArr>
          <m:r>
            <m:t>  </m:t>
          </m:r>
          <m:r>
            <m:rPr>
              <m:sty m:val="p"/>
            </m:rPr>
            <m:t>(</m:t>
          </m:r>
          <m:r>
            <m:t>3</m:t>
          </m:r>
          <m:r>
            <m:rPr>
              <m:sty m:val="p"/>
            </m:rPr>
            <m:t>)</m:t>
          </m:r>
        </m:oMath>
      </m:oMathPara>
      <w:bookmarkEnd w:id="28"/>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(Gabry J, Mahr T, 2025)</w:t>
      </w:r>
      <w:r>
        <w:t xml:space="preserve"> </w:t>
      </w:r>
      <w:r>
        <w:t xml:space="preserve">to assess the appropriateness of the specified priors.</w:t>
      </w:r>
      <w:r>
        <w:t xml:space="preserve"> </w:t>
      </w:r>
      <w:r>
        <w:t xml:space="preserve">Posterior predictive checks were carried out to assess if the model structure is able to capture the underlying data well.</w:t>
      </w:r>
      <w:r>
        <w:t xml:space="preserve"> </w:t>
      </w:r>
      <w:r>
        <w:t xml:space="preserve"> </w:t>
      </w:r>
      <w:r>
        <w:t xml:space="preserve">Additionally, a sensitivity analysis with alternative priors was conducted, as described below.</w:t>
      </w:r>
    </w:p>
    <w:bookmarkEnd w:id="29"/>
    <w:bookmarkStart w:id="30" w:name="frequentist-meta-analysis"/>
    <w:p>
      <w:pPr>
        <w:pStyle w:val="Heading3"/>
      </w:pPr>
      <w:r>
        <w:t xml:space="preserve">2.4.2 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(Wolfgang Viechtbauer, 2010)</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0"/>
    <w:bookmarkEnd w:id="31"/>
    <w:bookmarkStart w:id="32" w:name="sensitivity-analysis"/>
    <w:p>
      <w:pPr>
        <w:pStyle w:val="Heading2"/>
      </w:pPr>
      <w:r>
        <w:t xml:space="preserve">2.5 Sensitivity Analysis</w:t>
      </w:r>
    </w:p>
    <w:p>
      <w:pPr>
        <w:pStyle w:val="FirstParagraph"/>
      </w:pPr>
      <w:r>
        <w:t xml:space="preserve">We conducted two sets of sensitivity analyses.</w:t>
      </w:r>
      <w:r>
        <w:br/>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two alternative sets of priors.</w:t>
      </w:r>
      <w:r>
        <w:t xml:space="preserve"> </w:t>
      </w:r>
      <w:r>
        <w:t xml:space="preserve">The first set of priors was more informative (narrower) than the main priors, with</w:t>
      </w:r>
      <w:r>
        <w:t xml:space="preserve">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w:t>
      </w:r>
      <w:r>
        <w:t xml:space="preserve"> </w:t>
      </w:r>
      <w:r>
        <w:t xml:space="preserve">The second set of priors was less informative (wider) with</w:t>
      </w:r>
      <w:r>
        <w:t xml:space="preserve"> </w:t>
      </w:r>
      <m:oMath>
        <m:r>
          <m:t>μ</m:t>
        </m:r>
        <m:r>
          <m:rPr>
            <m:sty m:val="p"/>
          </m:rPr>
          <m:t>∼</m:t>
        </m:r>
        <m:r>
          <m:rPr>
            <m:scr m:val="script"/>
            <m:sty m:val="p"/>
          </m:rPr>
          <m:t>N</m:t>
        </m:r>
        <m:r>
          <m:rPr>
            <m:sty m:val="p"/>
          </m:rPr>
          <m:t>(</m:t>
        </m:r>
        <m:r>
          <m:t>0</m:t>
        </m:r>
        <m:r>
          <m:rPr>
            <m:sty m:val="p"/>
          </m:rPr>
          <m:t>,</m:t>
        </m:r>
        <m:r>
          <m:t>6</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w:t>
      </w:r>
      <w:r>
        <w:t xml:space="preserve"> </w:t>
      </w:r>
      <w:r>
        <w:t xml:space="preserve">Note that for the main effect, the broader prior is centered around 0, giving equal weight to the probability of a protective and detrimental effect of lead.</w:t>
      </w:r>
    </w:p>
    <w:bookmarkEnd w:id="32"/>
    <w:bookmarkEnd w:id="33"/>
    <w:bookmarkStart w:id="44" w:name="results"/>
    <w:p>
      <w:pPr>
        <w:pStyle w:val="Heading1"/>
      </w:pPr>
      <w:r>
        <w:t xml:space="preserve">3. Results</w:t>
      </w:r>
    </w:p>
    <w:bookmarkStart w:id="37" w:name="literature-review-1"/>
    <w:p>
      <w:pPr>
        <w:pStyle w:val="Heading2"/>
      </w:pPr>
      <w:r>
        <w:t xml:space="preserve">3.1 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was screened, which left 149 records (Pb &amp; Hg) for full text screening.</w:t>
      </w:r>
      <w:r>
        <w:t xml:space="preserve"> </w:t>
      </w:r>
      <w:r>
        <w:t xml:space="preserve">After this last screening, 36 records remained for Pb.</w:t>
      </w:r>
      <w:r>
        <w:br/>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 2.</w:t>
      </w:r>
    </w:p>
    <w:p>
      <w:pPr>
        <w:pStyle w:val="BodyText"/>
      </w:pPr>
      <w:r>
        <w:t xml:space="preserve">A PRISMA flow diagram summarizing the review process is shown in Fig. 1</w:t>
      </w:r>
      <w:r>
        <w:t xml:space="preserve"> </w:t>
      </w:r>
      <w:r>
        <w:t xml:space="preserve">(Page et al., 2021)</w:t>
      </w:r>
      <w:r>
        <w:t xml:space="preserve">.</w:t>
      </w:r>
      <w:r>
        <w:t xml:space="preserve"> </w:t>
      </w:r>
      <w:r>
        <w:t xml:space="preserve">Detailed information on the screening process and exclusion reasons can be found in supplementary file 3.</w:t>
      </w:r>
    </w:p>
    <w:p>
      <w:pPr>
        <w:pStyle w:val="CaptionedFigure"/>
      </w:pPr>
      <w:r>
        <w:drawing>
          <wp:inline>
            <wp:extent cx="3566160" cy="4257586"/>
            <wp:effectExtent b="0" l="0" r="0" t="0"/>
            <wp:docPr descr="Fig. 1: PRISMA flow diagram. BLL, blood lead level; Pb, lead; Hg, mercury" title="" id="35" name="Picture"/>
            <a:graphic>
              <a:graphicData uri="http://schemas.openxmlformats.org/drawingml/2006/picture">
                <pic:pic>
                  <pic:nvPicPr>
                    <pic:cNvPr descr="tables_figures/main/figure1.png" id="36" name="Picture"/>
                    <pic:cNvPicPr>
                      <a:picLocks noChangeArrowheads="1" noChangeAspect="1"/>
                    </pic:cNvPicPr>
                  </pic:nvPicPr>
                  <pic:blipFill>
                    <a:blip r:embed="rId34"/>
                    <a:stretch>
                      <a:fillRect/>
                    </a:stretch>
                  </pic:blipFill>
                  <pic:spPr bwMode="auto">
                    <a:xfrm>
                      <a:off x="0" y="0"/>
                      <a:ext cx="3566160" cy="4257586"/>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(Earl et al., 2016)</w:t>
      </w:r>
      <w:r>
        <w:t xml:space="preserve"> </w:t>
      </w:r>
      <w:r>
        <w:t xml:space="preserve">to 1,355</w:t>
      </w:r>
      <w:r>
        <w:t xml:space="preserve"> </w:t>
      </w:r>
      <w:r>
        <w:t xml:space="preserve">(Crump et al., 2013)</w:t>
      </w:r>
      <w:r>
        <w:t xml:space="preserve">.</w:t>
      </w:r>
      <w:r>
        <w:t xml:space="preserve"> </w:t>
      </w:r>
      <w:r>
        <w:t xml:space="preserve">Study designs included cross-sectional</w:t>
      </w:r>
      <w:r>
        <w:t xml:space="preserve"> </w:t>
      </w:r>
      <w:r>
        <w:t xml:space="preserve">(Bauer et al., 2020; Hong et al., 2015; Lucchini et al., 2019, 2012; Roy et al., 2013; Schnaas et al., 2006)</w:t>
      </w:r>
      <w:r>
        <w:t xml:space="preserve"> </w:t>
      </w:r>
      <w:r>
        <w:t xml:space="preserve">and cohort studies</w:t>
      </w:r>
      <w:r>
        <w:t xml:space="preserve"> </w:t>
      </w:r>
      <w:r>
        <w:t xml:space="preserve">(Crump et al., 2013; Dantzer et al., 2020; Desrochers-Couture et al., 2018; Earl et al., 2016; Lee et al., 2021)</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(Bauer et al., 2020; Earl et al., 2016; Menezes-Filho et al., 2018)</w:t>
      </w:r>
      <w:r>
        <w:t xml:space="preserve">.</w:t>
      </w:r>
      <w:r>
        <w:t xml:space="preserve"> </w:t>
      </w:r>
      <w:r>
        <w:t xml:space="preserve">The study by</w:t>
      </w:r>
      <w:r>
        <w:t xml:space="preserve"> </w:t>
      </w:r>
      <w:r>
        <w:t xml:space="preserve">Roy et al. (2013)</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37"/>
    <w:bookmarkStart w:id="38" w:name="risk-of-bias"/>
    <w:p>
      <w:pPr>
        <w:pStyle w:val="Heading2"/>
      </w:pPr>
      <w:r>
        <w:t xml:space="preserve">3.2 Risk of Bias</w:t>
      </w:r>
    </w:p>
    <w:p>
      <w:pPr>
        <w:pStyle w:val="FirstParagraph"/>
      </w:pPr>
      <w:r>
        <w:t xml:space="preserve">The rapid RoB assessment resulted in eight studies with a low RoB rating</w:t>
      </w:r>
      <w:r>
        <w:t xml:space="preserve"> </w:t>
      </w:r>
      <w:r>
        <w:t xml:space="preserve">(Bauer et al., 2020; Dantzer et al., 2020; Desrochers-Couture et al., 2018; Hong et al., 2015; Lee et al., 2021; Menezes-Filho et al., 2018; Roy et al., 2013; Schnaas et al., 2006)</w:t>
      </w:r>
      <w:r>
        <w:t xml:space="preserve">,</w:t>
      </w:r>
      <w:r>
        <w:t xml:space="preserve"> </w:t>
      </w:r>
      <w:r>
        <w:t xml:space="preserve">two with a moderate RoB</w:t>
      </w:r>
      <w:r>
        <w:t xml:space="preserve"> </w:t>
      </w:r>
      <w:r>
        <w:t xml:space="preserve">(Lucchini et al., 2019, 2012)</w:t>
      </w:r>
      <w:r>
        <w:t xml:space="preserve"> </w:t>
      </w:r>
      <w:r>
        <w:t xml:space="preserve">and two studies with a high RoB rating</w:t>
      </w:r>
      <w:r>
        <w:t xml:space="preserve"> </w:t>
      </w:r>
      <w:r>
        <w:t xml:space="preserve">(Crump et al., 2013; Earl et al., 2016)</w:t>
      </w:r>
      <w:r>
        <w:t xml:space="preserve">.</w:t>
      </w:r>
      <w:r>
        <w:br/>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is preferable</w:t>
      </w:r>
      <w:r>
        <w:t xml:space="preserve"> </w:t>
      </w:r>
      <w:r>
        <w:t xml:space="preserve">(Smith, 2018)</w:t>
      </w:r>
      <w:r>
        <w:t xml:space="preserve">.</w:t>
      </w:r>
      <w:r>
        <w:t xml:space="preserve"> </w:t>
      </w:r>
      <w:r>
        <w:t xml:space="preserve">Finally, in the item</w:t>
      </w:r>
      <w:r>
        <w:t xml:space="preserve"> </w:t>
      </w:r>
      <w:r>
        <w:rPr>
          <w:i/>
          <w:iCs/>
        </w:rPr>
        <w:t xml:space="preserve">handling of missing values</w:t>
      </w:r>
      <w:r>
        <w:t xml:space="preserve">, some of the studies contain no information on how missing data was handled, while in other studies they were handled inadequately (3x high RoB, 4x some concerns).</w:t>
      </w:r>
      <w:r>
        <w:t xml:space="preserve"> </w:t>
      </w:r>
      <w:r>
        <w:t xml:space="preserve">Results from the RoB assessment are presented in Tab. 3.</w:t>
      </w:r>
    </w:p>
    <w:bookmarkEnd w:id="38"/>
    <w:bookmarkStart w:id="42" w:name="meta-analysis-1"/>
    <w:p>
      <w:pPr>
        <w:pStyle w:val="Heading2"/>
      </w:pPr>
      <w:r>
        <w:t xml:space="preserve">3.3 Meta Analysis</w:t>
      </w:r>
    </w:p>
    <w:p>
      <w:pPr>
        <w:pStyle w:val="FirstParagraph"/>
      </w:pPr>
      <w:r>
        <w:t xml:space="preserve">The prior predictive check indicates that the specified priors are appropriate (supplementary file 5a).</w:t>
      </w:r>
      <w:r>
        <w:t xml:space="preserve"> </w:t>
      </w:r>
      <w:r>
        <w:t xml:space="preserve">The posterior predictive check showed that the model correctly captures important patterns in the data (supplementary file 5b).</w:t>
      </w:r>
      <w:r>
        <w:t xml:space="preserve"> </w:t>
      </w:r>
      <m:oMath>
        <m:acc>
          <m:accPr>
            <m:chr m:val="̂"/>
          </m:accPr>
          <m:e>
            <m:r>
              <m:t>R</m:t>
            </m:r>
          </m:e>
        </m:acc>
      </m:oMath>
      <w:r>
        <w:t xml:space="preserve"> </w:t>
      </w:r>
      <w:r>
        <w:t xml:space="preserve">values indicate that all MCMC chains coverged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(supplementary file 5c).</w:t>
      </w:r>
      <w:r>
        <w:t xml:space="preserve"> </w:t>
      </w:r>
      <w:r>
        <w:t xml:space="preserve">ESS indicate that sampling was efficient and central point estimates and credible intervals can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-3.56 to -1.06) IQ points per log-unit increase in BLL (µg/dL) (see Fig. 2).</w:t>
      </w:r>
      <w:r>
        <w:t xml:space="preserve"> </w:t>
      </w:r>
      <w:r>
        <w:t xml:space="preserve">The frequentist approach produced a comparable pooled estimate of -2.45 (95% confidence interval (CI): -3.7 to -1.2).</w:t>
      </w:r>
      <w:r>
        <w:br/>
      </w:r>
      <w:r>
        <w:t xml:space="preserve">Substantial between-study heterogeneity was observed under both frameworks.</w:t>
      </w:r>
      <w:r>
        <w:t xml:space="preserve"> </w:t>
      </w:r>
      <w:r>
        <w:t xml:space="preserve">In the Bayesian framework, between-study heterogeneity was estimated as</w:t>
      </w:r>
      <w:r>
        <w:t xml:space="preserve"> </w:t>
      </w:r>
      <m:oMath>
        <m:sSup>
          <m:e>
            <m:r>
              <m:t>τ</m:t>
            </m:r>
          </m:e>
          <m:sup>
            <m:r>
              <m:t>2</m:t>
            </m:r>
          </m:sup>
        </m:sSup>
      </m:oMath>
      <w:r>
        <w:t xml:space="preserve"> </w:t>
      </w:r>
      <w:r>
        <w:t xml:space="preserve">= 3.8 (95% CrI: 1 to 9.5), corresponding to an</w:t>
      </w:r>
      <w:r>
        <w:t xml:space="preserve"> </w:t>
      </w:r>
      <m:oMath>
        <m:sSup>
          <m:e>
            <m:r>
              <m:rPr>
                <m:nor/>
                <m:sty m:val="p"/>
              </m:rPr>
              <m:t>I</m:t>
            </m:r>
          </m:e>
          <m:sup>
            <m:r>
              <m:t>2</m:t>
            </m:r>
          </m:sup>
        </m:sSup>
      </m:oMath>
      <w:r>
        <w:t xml:space="preserve"> </w:t>
      </w:r>
      <w:r>
        <w:t xml:space="preserve">of 83.3% (95% CrI: 63.9% to 94.2%).</w:t>
      </w:r>
      <w:r>
        <w:t xml:space="preserve"> </w:t>
      </w:r>
      <w:r>
        <w:t xml:space="preserve">Similarly, the frequentist model estimated</w:t>
      </w:r>
      <w:r>
        <w:t xml:space="preserve"> </w:t>
      </w:r>
      <m:oMath>
        <m:sSup>
          <m:e>
            <m:r>
              <m:t>τ</m:t>
            </m:r>
          </m:e>
          <m:sup>
            <m:r>
              <m:t>2</m:t>
            </m:r>
          </m:sup>
        </m:sSup>
      </m:oMath>
      <w:r>
        <w:t xml:space="preserve"> </w:t>
      </w:r>
      <w:r>
        <w:t xml:space="preserve">= 3.3 (95% CI: 1 to 3.3), with</w:t>
      </w:r>
      <w:r>
        <w:t xml:space="preserve"> </w:t>
      </w:r>
      <m:oMath>
        <m:sSup>
          <m:e>
            <m:r>
              <m:rPr>
                <m:nor/>
                <m:sty m:val="p"/>
              </m:rPr>
              <m:t>I</m:t>
            </m:r>
          </m:e>
          <m:sup>
            <m:r>
              <m:t>2</m:t>
            </m:r>
          </m:sup>
        </m:sSup>
      </m:oMath>
      <w:r>
        <w:t xml:space="preserve"> </w:t>
      </w:r>
      <w:r>
        <w:t xml:space="preserve">= 85% (95% CI: 62.7 to 95.2%).</w:t>
      </w:r>
      <w:r>
        <w:t xml:space="preserve"> </w:t>
      </w:r>
      <w:r>
        <w:t xml:space="preserve">Supplementary file 6 contains the full model code and output for both frameworks.</w:t>
      </w:r>
      <w:r>
        <w:t xml:space="preserve"> </w:t>
      </w:r>
      <w:r>
        <w:t xml:space="preserve">The results of both frameworks are shown as forest plots in Figure 2.</w:t>
      </w:r>
    </w:p>
    <w:p>
      <w:pPr>
        <w:pStyle w:val="CaptionedFigure"/>
      </w:pPr>
      <w:r>
        <w:drawing>
          <wp:inline>
            <wp:extent cx="5943600" cy="2228220"/>
            <wp:effectExtent b="0" l="0" r="0" t="0"/>
            <wp:docPr descr="Fig. 2: Forest plots for Bayesian (left) and frequentist (right) meta-analyses. BLL, blood lead level; CI, confidence interval; CrI, credible interval" title="" id="40" name="Picture"/>
            <a:graphic>
              <a:graphicData uri="http://schemas.openxmlformats.org/drawingml/2006/picture">
                <pic:pic>
                  <pic:nvPicPr>
                    <pic:cNvPr descr="./tables_figures/main/figure2.png" id="41" name="Picture"/>
                    <pic:cNvPicPr>
                      <a:picLocks noChangeArrowheads="1" noChangeAspect="1"/>
                    </pic:cNvPicPr>
                  </pic:nvPicPr>
                  <pic:blipFill>
                    <a:blip r:embed="rId39"/>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depicted in Fig. 2 differ in both approaches because individual study estimates are shrunk towards the pooled estimate.</w:t>
      </w:r>
      <w:r>
        <w:t xml:space="preserve"> </w:t>
      </w:r>
      <w:r>
        <w:t xml:space="preserve">In the context of meta-analysis, shrinkage is comparable to the inverse-variance weighting in the frequentist framework.</w:t>
      </w:r>
    </w:p>
    <w:bookmarkEnd w:id="42"/>
    <w:bookmarkStart w:id="43" w:name="sensitivity-analysis-1"/>
    <w:p>
      <w:pPr>
        <w:pStyle w:val="Heading2"/>
      </w:pPr>
      <w:r>
        <w:t xml:space="preserve">3.4 Sensitivity Analysis</w:t>
      </w:r>
    </w:p>
    <w:p>
      <w:pPr>
        <w:pStyle w:val="FirstParagraph"/>
      </w:pPr>
      <w:r>
        <w:t xml:space="preserve">We conducted two sets of sensitivity analyses; results are shown in Tab. 4.</w:t>
      </w:r>
      <w:r>
        <w:t xml:space="preserve"> </w:t>
      </w:r>
      <w:r>
        <w:t xml:space="preserve">First, in order to test the sensitivity of the results to possibly biased study estimates, we excluded (1) studies with high RoB rating and (2) with high or moderate RoB rating.</w:t>
      </w:r>
      <w:r>
        <w:t xml:space="preserve"> </w:t>
      </w:r>
      <w:r>
        <w:t xml:space="preserve">For both the frequentist and Bayesian frameworks, the strength of the mean pooled effect decreased after removing studies with high risk of bias and slightly increased again after removing high and moderate RoB studies.</w:t>
      </w:r>
      <w:r>
        <w:t xml:space="preserve"> </w:t>
      </w:r>
      <w:r>
        <w:t xml:space="preserve">These shifts in both directions and their small size show that the results are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 the posterior mean of</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(wider) priors (</w:t>
      </w:r>
      <m:oMath>
        <m:r>
          <m:t>μ</m:t>
        </m:r>
        <m:r>
          <m:rPr>
            <m:sty m:val="p"/>
          </m:rPr>
          <m:t>∼</m:t>
        </m:r>
        <m:r>
          <m:rPr>
            <m:scr m:val="script"/>
            <m:sty m:val="p"/>
          </m:rPr>
          <m:t>N</m:t>
        </m:r>
        <m:r>
          <m:rPr>
            <m:sty m:val="p"/>
          </m:rPr>
          <m:t>(</m:t>
        </m:r>
        <m:r>
          <m:t>0</m:t>
        </m:r>
        <m:r>
          <m:rPr>
            <m:sty m:val="p"/>
          </m:rPr>
          <m:t>,</m:t>
        </m:r>
        <m:r>
          <m:t>6</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 the posterior mean of</w:t>
      </w:r>
      <w:r>
        <w:t xml:space="preserve"> </w:t>
      </w:r>
      <m:oMath>
        <m:r>
          <m:t>μ</m:t>
        </m:r>
      </m:oMath>
      <w:r>
        <w:t xml:space="preserve"> </w:t>
      </w:r>
      <w:r>
        <w:t xml:space="preserve">increases slightly compared to the main model.</w:t>
      </w:r>
      <w:r>
        <w:t xml:space="preserve"> </w:t>
      </w:r>
      <w:r>
        <w:t xml:space="preserve">This set of priors gives more weight to studies reporting high effects with large uncertainty ranges.</w:t>
      </w:r>
      <w:r>
        <w:t xml:space="preserve"> </w:t>
      </w:r>
      <w:r>
        <w:t xml:space="preserve">Supplementary file 5d shows prior, observed data and posterior distributions of all three prior specifications.</w:t>
      </w:r>
      <w:r>
        <w:t xml:space="preserve"> </w:t>
      </w:r>
      <w:r>
        <w:t xml:space="preserve">This shows that the results are robust to prior specification, because the shifts in the pooled estimate are not substantial and do not change the conclusion.</w:t>
      </w:r>
    </w:p>
    <w:bookmarkEnd w:id="43"/>
    <w:bookmarkEnd w:id="44"/>
    <w:bookmarkStart w:id="45" w:name="discussion"/>
    <w:p>
      <w:pPr>
        <w:pStyle w:val="Heading1"/>
      </w:pPr>
      <w:r>
        <w:t xml:space="preserve">4. 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r>
        <w:t xml:space="preserve"> </w:t>
      </w:r>
    </w:p>
    <w:p>
      <w:pPr>
        <w:pStyle w:val="BodyText"/>
      </w:pPr>
      <w:r>
        <w:t xml:space="preserve">While previous publications have compared both frameworks, they focus either on evidence-based medicine</w:t>
      </w:r>
      <w:r>
        <w:t xml:space="preserve"> </w:t>
      </w:r>
      <w:r>
        <w:t xml:space="preserve">(C Iyer et al., 2025; Hong et al., 2013; Kazi, 2026; Yao et al., 2025)</w:t>
      </w:r>
      <w:r>
        <w:t xml:space="preserve"> </w:t>
      </w:r>
      <w:r>
        <w:t xml:space="preserve">or network meta-analysis</w:t>
      </w:r>
      <w:r>
        <w:t xml:space="preserve"> </w:t>
      </w:r>
      <w:r>
        <w:t xml:space="preserve">(Sadeghirad et al., 2023; Seide et al., 2020)</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p>
    <w:p>
      <w:pPr>
        <w:pStyle w:val="BodyText"/>
      </w:pPr>
      <w:r>
        <w:t xml:space="preserve">Pooled effect estimates and measures of heterogeneity were largely consistent across both frameworks, though the Bayesian model yielded slightly lower mean pooled effects.</w:t>
      </w:r>
      <w:r>
        <w:t xml:space="preserve"> </w:t>
      </w:r>
      <w:r>
        <w:t xml:space="preserve">This is attributable to posterior shrinkage, comparable to inverse-variance weighting in the frequentist framework, as illustrated by the sensitivity analyses using wide priors.</w:t>
      </w:r>
      <w:r>
        <w:t xml:space="preserve"> </w:t>
      </w:r>
      <w:r>
        <w:t xml:space="preserve">Importantly, this difference does not relevantly affect the overall interpretation of the association between lead exposure and IQ.</w:t>
      </w:r>
      <w:r>
        <w:t xml:space="preserve"> </w:t>
      </w:r>
      <w:r>
        <w:t xml:space="preserve">The two frameworks differ in how they treat outlier studies reporting substantial uncertainty.</w:t>
      </w:r>
      <w:r>
        <w:t xml:space="preserve"> </w:t>
      </w:r>
      <w:r>
        <w:t xml:space="preserve">Bayesian meta-analysis can be less sensitive to these outliers, due to the shrinkage exerted by the prior specified for heterogeneity, provided that priors reflecting plausible domain knowledge are specified carefully.</w:t>
      </w:r>
      <w:r>
        <w:t xml:space="preserve"> </w:t>
      </w:r>
      <w:r>
        <w:t xml:space="preserve">In contrast, frequentist models implicitly rely on flat or non-informative priors, which result in greater sensitivity to studies reporting large uncertainty</w:t>
      </w:r>
      <w:r>
        <w:t xml:space="preserve"> </w:t>
      </w:r>
      <w:r>
        <w:t xml:space="preserve">(Gelman et al., 2013)</w:t>
      </w:r>
      <w:r>
        <w:t xml:space="preserve">.</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(Gelman et al., 2020)</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br/>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 or risk thresholds are defined, exceedance probabilities can be directly obtained from the posterior, providing an intuitive and policy-relevant summary of uncertainty.</w:t>
      </w:r>
      <w:r>
        <w:br/>
      </w:r>
      <w:r>
        <w:t xml:space="preserve">Posterior distributions together with the specified statistical model can be used to generate predictions for theoretical future studies, offering an additional way to characterize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(Prüss-Üstün et al., 2003)</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(Baghurst et al., 1992; Bellinger et al., 1992; EFSA Panel on Contaminants in the Food Chain (CONTAM), 2010; Lanphear et al., 2005)</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(Goodman et al., 2023; Pocock et al., 1994; Schwartz, 1994)</w:t>
      </w:r>
      <w:r>
        <w:t xml:space="preserve">, while others reported partial</w:t>
      </w:r>
      <w:r>
        <w:t xml:space="preserve"> </w:t>
      </w:r>
      <m:oMath>
        <m:r>
          <m:rPr>
            <m:nor/>
            <m:sty m:val="p"/>
          </m:rPr>
          <m:t>r</m:t>
        </m:r>
      </m:oMath>
      <w:r>
        <w:t xml:space="preserve"> </w:t>
      </w:r>
      <w:r>
        <w:t xml:space="preserve">(Needleman, 1990)</w:t>
      </w:r>
      <w:r>
        <w:t xml:space="preserve"> </w:t>
      </w:r>
      <w:r>
        <w:t xml:space="preserve">or standardized mean differences</w:t>
      </w:r>
      <w:r>
        <w:t xml:space="preserve"> </w:t>
      </w:r>
      <w:r>
        <w:t xml:space="preserve">(Heidari et al., 2022)</w:t>
      </w:r>
      <w:r>
        <w:t xml:space="preserve">.</w:t>
      </w:r>
    </w:p>
    <w:p>
      <w:pPr>
        <w:pStyle w:val="BodyText"/>
      </w:pPr>
      <w:r>
        <w:t xml:space="preserve">The RoB sensitivity analysis indicated that results are generally robust to individual-study bias.</w:t>
      </w:r>
      <w:r>
        <w:t xml:space="preserve"> </w:t>
      </w:r>
      <w:r>
        <w:t xml:space="preserve">Notably, the study published by</w:t>
      </w:r>
      <w:r>
        <w:t xml:space="preserve"> </w:t>
      </w:r>
      <w:r>
        <w:t xml:space="preserve">Crump et al. (2013)</w:t>
      </w:r>
      <w:r>
        <w:t xml:space="preserve">, which is a re-analysis of the landmark study by</w:t>
      </w:r>
      <w:r>
        <w:t xml:space="preserve"> </w:t>
      </w:r>
      <w:r>
        <w:t xml:space="preserve">Lanphear et al. (2005)</w:t>
      </w:r>
      <w:r>
        <w:t xml:space="preserve"> </w:t>
      </w:r>
      <w:r>
        <w:t xml:space="preserve">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criticized</w:t>
      </w:r>
      <w:r>
        <w:t xml:space="preserve"> </w:t>
      </w:r>
      <w:r>
        <w:t xml:space="preserve">(Harrell, 2015; Smith, 2018; Thompson, 1995)</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(Bauer et al., 2020; Desrochers-Couture et al., 2018)</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(Menezes-Filho et al., 2018)</w:t>
      </w:r>
      <w:r>
        <w:t xml:space="preserve">.</w:t>
      </w:r>
      <w:r>
        <w:t xml:space="preserve"> </w:t>
      </w:r>
      <w:r>
        <w:t xml:space="preserve">Additionally, studies reporting larger uncertainty tended to report larger effects, suggesting a possible presence of publication bias (supplementary file 5e).</w:t>
      </w:r>
      <w:r>
        <w:t xml:space="preserve"> </w:t>
      </w:r>
      <w:r>
        <w:t xml:space="preserve">The Bayesian approach was less sensitive to estimates from such studies, as the results of individual studies with large uncertainty are shrunk towards the pooled estimate, which is a particular advantage when pooling a small number of studies.</w:t>
      </w:r>
    </w:p>
    <w:p>
      <w:pPr>
        <w:pStyle w:val="BodyText"/>
      </w:pPr>
      <w:r>
        <w:t xml:space="preserve">This study has several limitations that should be considered when interpreting the results.</w:t>
      </w:r>
      <w:r>
        <w:t xml:space="preserve"> </w:t>
      </w:r>
      <w:r>
        <w:t xml:space="preserve">First, the included studies were heterogeneous with respect to covariate adjustment and cohort characteristics, which limits the generalizability of the pooled estimate and complicates its interpretation for specific populations.</w:t>
      </w:r>
      <w:r>
        <w:t xml:space="preserve"> </w:t>
      </w:r>
      <w:r>
        <w:t xml:space="preserve">Publication bias was assessed through visual inspection only; formal statistical testing, such as Egger’s test, would provide a more rigorous evaluation.</w:t>
      </w:r>
      <w:r>
        <w:t xml:space="preserve"> </w:t>
      </w:r>
      <w:r>
        <w:t xml:space="preserve">The visual assessment suggested the presence of publication bias, which may have led to overestimation of the pooled effect.</w:t>
      </w:r>
      <w:r>
        <w:t xml:space="preserve"> </w:t>
      </w:r>
      <w:r>
        <w:t xml:space="preserve">Third, we excluded studies that did not report effect estimates on the logarithmic scale of blood lead levels.</w:t>
      </w:r>
      <w:r>
        <w:t xml:space="preserve"> </w:t>
      </w:r>
      <w:r>
        <w:t xml:space="preserve">While this reduced the number of studies available for pooling, exclusion was necessary to ensure interpretability, as combining effect estimates expressed on different scales would render the pooled estimate uninterpretable.</w:t>
      </w:r>
    </w:p>
    <w:p>
      <w:pPr>
        <w:pStyle w:val="BodyText"/>
      </w:pPr>
      <w:r>
        <w:t xml:space="preserve">Despite these limitations, this study also has several important strengths.</w:t>
      </w:r>
      <w:r>
        <w:t xml:space="preserve"> </w:t>
      </w:r>
      <w:r>
        <w:t xml:space="preserve">By applying a parallel approach to both meta-analytic models — including the use of identical effect estimates, a multilevel random-effects model, and</w:t>
      </w:r>
      <w:r>
        <w:t xml:space="preserve"> </w:t>
      </w:r>
      <m:oMath>
        <m:sSup>
          <m:e>
            <m:r>
              <m:t>I</m:t>
            </m:r>
          </m:e>
          <m:sup>
            <m:r>
              <m:t>2</m:t>
            </m:r>
          </m:sup>
        </m:sSup>
      </m:oMath>
      <w:r>
        <w:t xml:space="preserve"> </w:t>
      </w:r>
      <w:r>
        <w:t xml:space="preserve">as a common measure of heterogeneity — we enable a direct comparison of the frequentist and Bayesian frameworks.</w:t>
      </w:r>
      <w:r>
        <w:t xml:space="preserve"> </w:t>
      </w:r>
      <w:r>
        <w:t xml:space="preserve">To our knowledge, this is the first study to formally conduct such a comparison in the field of environmental epidemiology.</w:t>
      </w:r>
      <w:r>
        <w:t xml:space="preserve"> </w:t>
      </w:r>
      <w:r>
        <w:t xml:space="preserve">Beyond this methodological contribution, we provide an updated evidence synthesis on the association between lead exposure and children’s IQ based on a systematic literature review.</w:t>
      </w:r>
      <w:r>
        <w:t xml:space="preserve"> </w:t>
      </w:r>
      <w:r>
        <w:t xml:space="preserve">All data and code, including the code used to produce this manuscript, are publicly available, enabling other researchers to verify and build on our analyses.</w:t>
      </w:r>
      <w:r>
        <w:t xml:space="preserve"> </w:t>
      </w:r>
      <w:r>
        <w:t xml:space="preserve">Finally, we adhered to PRISMA and BARG reporting guidelines, along with the use of the raRoB tool for risk of bias assessment, ensuring consistency and rigor in study selection, data extraction, study quality appraisal, and statistical analysis.</w:t>
      </w:r>
    </w:p>
    <w:bookmarkEnd w:id="45"/>
    <w:bookmarkStart w:id="46"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r>
        <w:br/>
      </w: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46"/>
    <w:bookmarkStart w:id="47"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1287"/>
        <w:gridCol w:w="6633"/>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BARG</w:t>
            </w:r>
          </w:p>
        </w:tc>
        <w:tc>
          <w:tcPr/>
          <w:p>
            <w:pPr>
              <w:pStyle w:val="Compact"/>
              <w:jc w:val="left"/>
            </w:pPr>
            <w:r>
              <w:t xml:space="preserve">Bayesian Analysis Reporting Guidelines</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ERF</w:t>
            </w:r>
          </w:p>
        </w:tc>
        <w:tc>
          <w:tcPr/>
          <w:p>
            <w:pPr>
              <w:pStyle w:val="Compact"/>
              <w:jc w:val="left"/>
            </w:pPr>
            <w:r>
              <w:t xml:space="preserve">Exposure-response function</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PRISMA</w:t>
            </w:r>
          </w:p>
        </w:tc>
        <w:tc>
          <w:tcPr/>
          <w:p>
            <w:pPr>
              <w:pStyle w:val="Compact"/>
              <w:jc w:val="left"/>
            </w:pPr>
            <w:r>
              <w:t xml:space="preserve">Preferred Reporting Items for Systematic reviews and Meta-Analyses</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bl>
    <w:bookmarkEnd w:id="47"/>
    <w:bookmarkStart w:id="48" w:name="credit-authorship-contribution-statement"/>
    <w:p>
      <w:pPr>
        <w:pStyle w:val="Heading1"/>
      </w:pPr>
      <w:r>
        <w:t xml:space="preserve">CRediT authorship contribution statement</w:t>
      </w:r>
    </w:p>
    <w:p>
      <w:pPr>
        <w:pStyle w:val="FirstParagraph"/>
      </w:pPr>
      <w:r>
        <w:rPr>
          <w:b/>
          <w:bCs/>
        </w:rPr>
        <w:t xml:space="preserve">Paulina Sell</w:t>
      </w:r>
      <w:r>
        <w:t xml:space="preserve">: Conceptualization, Data curation, Formal analysis, Methodology, Writing - original draft, Writing – review and editing.</w:t>
      </w:r>
      <w:r>
        <w:t xml:space="preserve"> </w:t>
      </w:r>
      <w:r>
        <w:rPr>
          <w:b/>
          <w:bCs/>
        </w:rPr>
        <w:t xml:space="preserve">Margaux Sanchez</w:t>
      </w:r>
      <w:r>
        <w:t xml:space="preserve">: Data curation, Writing – review and editing.</w:t>
      </w:r>
      <w:r>
        <w:t xml:space="preserve"> </w:t>
      </w:r>
      <w:r>
        <w:rPr>
          <w:b/>
          <w:bCs/>
        </w:rPr>
        <w:t xml:space="preserve">Philippe Palmont</w:t>
      </w:r>
      <w:r>
        <w:t xml:space="preserve">: Data curation, Writing – review and editing.</w:t>
      </w:r>
      <w:r>
        <w:t xml:space="preserve"> </w:t>
      </w:r>
      <w:r>
        <w:rPr>
          <w:b/>
          <w:bCs/>
        </w:rPr>
        <w:t xml:space="preserve">Simon Steiger</w:t>
      </w:r>
      <w:r>
        <w:t xml:space="preserve">: Methodology, Writing – review and editing.</w:t>
      </w:r>
      <w:r>
        <w:t xml:space="preserve"> </w:t>
      </w:r>
      <w:r>
        <w:rPr>
          <w:b/>
          <w:bCs/>
        </w:rPr>
        <w:t xml:space="preserve">Dietrich Plass</w:t>
      </w:r>
      <w:r>
        <w:t xml:space="preserve">: Supervision, Writing – review and editing.</w:t>
      </w:r>
    </w:p>
    <w:bookmarkEnd w:id="48"/>
    <w:bookmarkStart w:id="49"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49"/>
    <w:bookmarkStart w:id="50"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0"/>
    <w:bookmarkStart w:id="51"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the large language model Claude Sonnet 4.6 (Anthropic) in order to assist in the risk of bias assessment of the studies included in the literature review and assess language and grammar throughout the manuscript.</w:t>
      </w:r>
      <w:r>
        <w:t xml:space="preserve"> </w:t>
      </w:r>
      <w:r>
        <w:t xml:space="preserve">After using this tool, the authors reviewed and edited the content as needed and take full responsibility for the content of the published article.</w:t>
      </w:r>
    </w:p>
    <w:bookmarkEnd w:id="51"/>
    <w:bookmarkStart w:id="175" w:name="bibliography"/>
    <w:p>
      <w:pPr>
        <w:pStyle w:val="Heading1"/>
      </w:pPr>
      <w:r>
        <w:t xml:space="preserve">References</w:t>
      </w:r>
    </w:p>
    <w:bookmarkStart w:id="174" w:name="refs"/>
    <w:bookmarkStart w:id="53" w:name="X06097e4c5e52362623b7f1c040457eb7d553acc"/>
    <w:p>
      <w:pPr>
        <w:pStyle w:val="Bibliography"/>
      </w:pPr>
      <w:r>
        <w:t xml:space="preserve">Baghurst, P.A., McMichael, A.J., Wigg, N.R., Vimpani, G.V., Robertson, E.F., Roberts, R.J., Tong, S.-L., 1992.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327, 1279–1284.</w:t>
      </w:r>
      <w:r>
        <w:t xml:space="preserve"> </w:t>
      </w:r>
      <w:hyperlink r:id="rId52">
        <w:r>
          <w:rPr>
            <w:rStyle w:val="Hyperlink"/>
          </w:rPr>
          <w:t xml:space="preserve">https://doi.org/10.1056/NEJM199210293271805</w:t>
        </w:r>
      </w:hyperlink>
    </w:p>
    <w:bookmarkEnd w:id="53"/>
    <w:bookmarkStart w:id="55" w:name="ref-bauer2020AssociationsMetalMixture"/>
    <w:p>
      <w:pPr>
        <w:pStyle w:val="Bibliography"/>
      </w:pPr>
      <w:r>
        <w:t xml:space="preserve">Bauer, J.A., Devick, K.L., Bobb, J.F., Coull, B.A., Bellinger, D., Benedetti, C., Cagna, G., Fedrighi, C., Guazzetti, S., Oppini, M., et al., 2020.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Environmental Health Perspectives 128, 097002.</w:t>
      </w:r>
      <w:r>
        <w:t xml:space="preserve"> </w:t>
      </w:r>
      <w:hyperlink r:id="rId54">
        <w:r>
          <w:rPr>
            <w:rStyle w:val="Hyperlink"/>
          </w:rPr>
          <w:t xml:space="preserve">https://doi.org/doi:10.1289/EHP6803</w:t>
        </w:r>
      </w:hyperlink>
    </w:p>
    <w:bookmarkEnd w:id="55"/>
    <w:bookmarkStart w:id="57" w:name="ref-bellinger1992LowLevelLeadExposure"/>
    <w:p>
      <w:pPr>
        <w:pStyle w:val="Bibliography"/>
      </w:pPr>
      <w:r>
        <w:t xml:space="preserve">Bellinger, D.C., Stiles, K.M., Needleman, H.L., 1992.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90, 855–861.</w:t>
      </w:r>
      <w:r>
        <w:t xml:space="preserve"> </w:t>
      </w:r>
      <w:hyperlink r:id="rId56">
        <w:r>
          <w:rPr>
            <w:rStyle w:val="Hyperlink"/>
          </w:rPr>
          <w:t xml:space="preserve">https://doi.org/10.1542/peds.90.6.855</w:t>
        </w:r>
      </w:hyperlink>
    </w:p>
    <w:bookmarkEnd w:id="57"/>
    <w:bookmarkStart w:id="59" w:name="ref-burkner2017BrmsPackageBayesian"/>
    <w:p>
      <w:pPr>
        <w:pStyle w:val="Bibliography"/>
      </w:pPr>
      <w:r>
        <w:t xml:space="preserve">Bürkner, P.-C., 2017.</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 80.</w:t>
      </w:r>
      <w:r>
        <w:t xml:space="preserve"> </w:t>
      </w:r>
      <w:hyperlink r:id="rId58">
        <w:r>
          <w:rPr>
            <w:rStyle w:val="Hyperlink"/>
          </w:rPr>
          <w:t xml:space="preserve">https://doi.org/10.18637/jss.v080.i01</w:t>
        </w:r>
      </w:hyperlink>
    </w:p>
    <w:bookmarkEnd w:id="59"/>
    <w:bookmarkStart w:id="61" w:name="ref-ciyer2025BayesianMetaanalysis21st"/>
    <w:p>
      <w:pPr>
        <w:pStyle w:val="Bibliography"/>
      </w:pPr>
      <w:r>
        <w:t xml:space="preserve">C Iyer, S., Yap, Q.V., Soong, J., Cove, M., 2025. Bayesian meta-analysis in the 21st century:</w:t>
      </w:r>
      <w:r>
        <w:t xml:space="preserve"> </w:t>
      </w:r>
      <w:r>
        <w:t xml:space="preserve">Fad</w:t>
      </w:r>
      <w:r>
        <w:t xml:space="preserve"> </w:t>
      </w:r>
      <w:r>
        <w:t xml:space="preserve">or future of evidence synthesis? Ann Acad Med Singap 54, 437.</w:t>
      </w:r>
      <w:r>
        <w:t xml:space="preserve"> </w:t>
      </w:r>
      <w:hyperlink r:id="rId60">
        <w:r>
          <w:rPr>
            <w:rStyle w:val="Hyperlink"/>
          </w:rPr>
          <w:t xml:space="preserve">https://doi.org/10.47102/annals-acadmedsg.2025104</w:t>
        </w:r>
      </w:hyperlink>
    </w:p>
    <w:bookmarkEnd w:id="61"/>
    <w:bookmarkStart w:id="63" w:name="Xa2086c2c3f6a9ac4b676f66b1cdbbd5efdb3b23"/>
    <w:p>
      <w:pPr>
        <w:pStyle w:val="Bibliography"/>
      </w:pPr>
      <w:r>
        <w:t xml:space="preserve">Canfield, R.L., Henderson, C.R., Cory-Slechta, D.A., Cox, C., Jusko, T.A., Lanphear, B.P., 2003.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348, 1517–1526.</w:t>
      </w:r>
      <w:r>
        <w:t xml:space="preserve"> </w:t>
      </w:r>
      <w:hyperlink r:id="rId62">
        <w:r>
          <w:rPr>
            <w:rStyle w:val="Hyperlink"/>
          </w:rPr>
          <w:t xml:space="preserve">https://doi.org/10.1056/NEJMoa022848</w:t>
        </w:r>
      </w:hyperlink>
    </w:p>
    <w:bookmarkEnd w:id="63"/>
    <w:bookmarkStart w:id="65" w:name="X93c1fc7f8e1220d02cbab90c02ac44248f2b23e"/>
    <w:p>
      <w:pPr>
        <w:pStyle w:val="Bibliography"/>
      </w:pPr>
      <w:r>
        <w:t xml:space="preserve">Carrington, C., Devleesschauwer, B., Gibb, H.J., Bolger, P.M., 2019. Global burden of intellectual disability resulting from dietary exposure to lead, 2015. Environmental Research 172, 420–429.</w:t>
      </w:r>
      <w:r>
        <w:t xml:space="preserve"> </w:t>
      </w:r>
      <w:hyperlink r:id="rId64">
        <w:r>
          <w:rPr>
            <w:rStyle w:val="Hyperlink"/>
          </w:rPr>
          <w:t xml:space="preserve">https://doi.org/10.1016/j.envres.2019.02.023</w:t>
        </w:r>
      </w:hyperlink>
    </w:p>
    <w:bookmarkEnd w:id="65"/>
    <w:bookmarkStart w:id="67" w:name="ref-chang2006LowBloodLead"/>
    <w:p>
      <w:pPr>
        <w:pStyle w:val="Bibliography"/>
      </w:pPr>
      <w:r>
        <w:t xml:space="preserve">Chang, S.-H., Cheng, B.-H., Lee, S.-L., Chuang, H.-Y., Yang, C.-Y., Sung, F.-C., Wu, T.-N., 2006. Low blood lead concentration in association with infertility in women. Environmental Research 101, 380–386.</w:t>
      </w:r>
      <w:r>
        <w:t xml:space="preserve"> </w:t>
      </w:r>
      <w:hyperlink r:id="rId66">
        <w:r>
          <w:rPr>
            <w:rStyle w:val="Hyperlink"/>
          </w:rPr>
          <w:t xml:space="preserve">https://doi.org/10.1016/j.envres.2005.10.004</w:t>
        </w:r>
      </w:hyperlink>
    </w:p>
    <w:bookmarkEnd w:id="67"/>
    <w:bookmarkStart w:id="69" w:name="ref-chen2005IQBloodLead"/>
    <w:p>
      <w:pPr>
        <w:pStyle w:val="Bibliography"/>
      </w:pPr>
      <w:r>
        <w:t xml:space="preserve">Chen, A., Dietrich, K.N., Ware, J.H., Radcliffe, J., Rogan, W.J., 2005.</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Environmental Health Perspectives 113, 597–601.</w:t>
      </w:r>
      <w:r>
        <w:t xml:space="preserve"> </w:t>
      </w:r>
      <w:hyperlink r:id="rId68">
        <w:r>
          <w:rPr>
            <w:rStyle w:val="Hyperlink"/>
          </w:rPr>
          <w:t xml:space="preserve">https://doi.org/doi:10.1289/ehp.7625</w:t>
        </w:r>
      </w:hyperlink>
    </w:p>
    <w:bookmarkEnd w:id="69"/>
    <w:bookmarkStart w:id="71" w:name="ref-crump2013StatisticalReevaluationData"/>
    <w:p>
      <w:pPr>
        <w:pStyle w:val="Bibliography"/>
      </w:pPr>
      <w:r>
        <w:t xml:space="preserve">Crump, K.S., Van Landingham, C., Bowers, T.S., Cahoy, D., Chandalia, J.K., 2013.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43, 785–99.</w:t>
      </w:r>
      <w:r>
        <w:t xml:space="preserve"> </w:t>
      </w:r>
      <w:hyperlink r:id="rId70">
        <w:r>
          <w:rPr>
            <w:rStyle w:val="Hyperlink"/>
          </w:rPr>
          <w:t xml:space="preserve">https://doi.org/10.3109/10408444.2013.832726</w:t>
        </w:r>
      </w:hyperlink>
    </w:p>
    <w:bookmarkEnd w:id="71"/>
    <w:bookmarkStart w:id="73" w:name="ref-dantzer2020ComparisonBloodToenails"/>
    <w:p>
      <w:pPr>
        <w:pStyle w:val="Bibliography"/>
      </w:pPr>
      <w:r>
        <w:t xml:space="preserve">Dantzer, J., Ryan, P., Yolton, K., Parsons, P.J., Palmer, C.D., Cecil, K., Unrine, J.M., 2020. A comparison of blood and toenails as biomarkers of children’s exposure to lead and their correlation with cognitive function. Science of The Total Environment 700, 134519.</w:t>
      </w:r>
      <w:r>
        <w:t xml:space="preserve"> </w:t>
      </w:r>
      <w:hyperlink r:id="rId72">
        <w:r>
          <w:rPr>
            <w:rStyle w:val="Hyperlink"/>
          </w:rPr>
          <w:t xml:space="preserve">https://doi.org/10.1016/j.scitotenv.2019.134519</w:t>
        </w:r>
      </w:hyperlink>
    </w:p>
    <w:bookmarkEnd w:id="73"/>
    <w:bookmarkStart w:id="75" w:name="X6bc65313eadd1b86059eb4ba10c8cf9d91be17d"/>
    <w:p>
      <w:pPr>
        <w:pStyle w:val="Bibliography"/>
      </w:pPr>
      <w:r>
        <w:t xml:space="preserve">Desrochers-Couture, M., Oulhote, Y., Arbuckle, T.E., Fraser, W.D., Séguin, J.R., Ouellet, E., Forget-Dubois, N., Ayotte, P., Boivin, M., Lanphear, B.P., et al., 2018.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Environment International 121, 1235–1242.</w:t>
      </w:r>
      <w:r>
        <w:t xml:space="preserve"> </w:t>
      </w:r>
      <w:hyperlink r:id="rId74">
        <w:r>
          <w:rPr>
            <w:rStyle w:val="Hyperlink"/>
          </w:rPr>
          <w:t xml:space="preserve">https://doi.org/10.1016/j.envint.2018.10.043</w:t>
        </w:r>
      </w:hyperlink>
    </w:p>
    <w:bookmarkEnd w:id="75"/>
    <w:bookmarkStart w:id="77" w:name="Xadfdab0209e4a364d9fdcffecfddb00700d2db9"/>
    <w:p>
      <w:pPr>
        <w:pStyle w:val="Bibliography"/>
      </w:pPr>
      <w:r>
        <w:t xml:space="preserve">Dimitrov, L.V., Kaminski, J.W., Holbrook, J.R., Bitsko, R.H., Yeh, M., Courtney, J.G., O’Masta, B., Maher, B., Cerles, A., McGowan, K., et al., 2024.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25, 225–248.</w:t>
      </w:r>
      <w:r>
        <w:t xml:space="preserve"> </w:t>
      </w:r>
      <w:hyperlink r:id="rId76">
        <w:r>
          <w:rPr>
            <w:rStyle w:val="Hyperlink"/>
          </w:rPr>
          <w:t xml:space="preserve">https://doi.org/10.1007/s11121-023-01601-6</w:t>
        </w:r>
      </w:hyperlink>
    </w:p>
    <w:bookmarkEnd w:id="77"/>
    <w:bookmarkStart w:id="79" w:name="ref-earl2016LowlevelEnvironmentalLead"/>
    <w:p>
      <w:pPr>
        <w:pStyle w:val="Bibliography"/>
      </w:pPr>
      <w:r>
        <w:t xml:space="preserve">Earl, R., Burns, N., Nettelbeck, T., Baghurst, P., 2016. Low-level environmental lead exposure still negatively associated with children’s cognitive abilities. Australian Journal of Psychology 68, 98–106.</w:t>
      </w:r>
      <w:r>
        <w:t xml:space="preserve"> </w:t>
      </w:r>
      <w:hyperlink r:id="rId78">
        <w:r>
          <w:rPr>
            <w:rStyle w:val="Hyperlink"/>
          </w:rPr>
          <w:t xml:space="preserve">https://doi.org/10.1111/ajpy.12096</w:t>
        </w:r>
      </w:hyperlink>
    </w:p>
    <w:bookmarkEnd w:id="79"/>
    <w:bookmarkStart w:id="81" w:name="X4707f3a4b72a0982487545f9dc3d674642af108"/>
    <w:p>
      <w:pPr>
        <w:pStyle w:val="Bibliography"/>
      </w:pPr>
      <w:r>
        <w:t xml:space="preserve">EFSA, 2012. Lead dietary exposure in the</w:t>
      </w:r>
      <w:r>
        <w:t xml:space="preserve"> </w:t>
      </w:r>
      <w:r>
        <w:t xml:space="preserve">European</w:t>
      </w:r>
      <w:r>
        <w:t xml:space="preserve"> </w:t>
      </w:r>
      <w:r>
        <w:t xml:space="preserve">population. EFS2 10.</w:t>
      </w:r>
      <w:r>
        <w:t xml:space="preserve"> </w:t>
      </w:r>
      <w:hyperlink r:id="rId80">
        <w:r>
          <w:rPr>
            <w:rStyle w:val="Hyperlink"/>
          </w:rPr>
          <w:t xml:space="preserve">https://doi.org/10.2903/j.efsa.2012.2831</w:t>
        </w:r>
      </w:hyperlink>
    </w:p>
    <w:bookmarkEnd w:id="81"/>
    <w:bookmarkStart w:id="83" w:name="X5615fc1cb9c455a90da75660348bda09fd0f967"/>
    <w:p>
      <w:pPr>
        <w:pStyle w:val="Bibliography"/>
      </w:pPr>
      <w:r>
        <w:t xml:space="preserve">EFSA Panel on Contaminants in the Food Chain (CONTAM), 2010.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Journal 8, 1570.</w:t>
      </w:r>
      <w:r>
        <w:t xml:space="preserve"> </w:t>
      </w:r>
      <w:hyperlink r:id="rId82">
        <w:r>
          <w:rPr>
            <w:rStyle w:val="Hyperlink"/>
          </w:rPr>
          <w:t xml:space="preserve">https://doi.org/10.2903/j.efsa.2010.1570</w:t>
        </w:r>
      </w:hyperlink>
    </w:p>
    <w:bookmarkEnd w:id="83"/>
    <w:bookmarkStart w:id="85" w:name="ref-figueroa2024LossCognitiveFunction"/>
    <w:p>
      <w:pPr>
        <w:pStyle w:val="Bibliography"/>
      </w:pPr>
      <w:r>
        <w:t xml:space="preserve">Figueroa, J.L., Rodríguez-Atristain, A., Bautista-Arredondo, L.F., Treviño, C.L., Martínez, M.R., Valdivia, B.T., Avalos-Alvarez, S.V., Sánchez-Morales, J.E., Fuller, R., Bautista-Arredondo, S., et al., 2024. Loss of cognitive function in</w:t>
      </w:r>
      <w:r>
        <w:t xml:space="preserve"> </w:t>
      </w:r>
      <w:r>
        <w:t xml:space="preserve">Mexican</w:t>
      </w:r>
      <w:r>
        <w:t xml:space="preserve"> </w:t>
      </w:r>
      <w:r>
        <w:t xml:space="preserve">children due to lead exposure and the associated economic costs. Environmental Research 263, 120013.</w:t>
      </w:r>
      <w:r>
        <w:t xml:space="preserve"> </w:t>
      </w:r>
      <w:hyperlink r:id="rId84">
        <w:r>
          <w:rPr>
            <w:rStyle w:val="Hyperlink"/>
          </w:rPr>
          <w:t xml:space="preserve">https://doi.org/10.1016/j.envres.2024.120013</w:t>
        </w:r>
      </w:hyperlink>
    </w:p>
    <w:bookmarkEnd w:id="85"/>
    <w:bookmarkStart w:id="86" w:name="X21bf392f662dc1b38e9a7fa4b314fc7a471696b"/>
    <w:p>
      <w:pPr>
        <w:pStyle w:val="Bibliography"/>
      </w:pPr>
      <w:r>
        <w:t xml:space="preserve">Gabry J, Mahr T, 2025. Bayesplot:</w:t>
      </w:r>
      <w:r>
        <w:t xml:space="preserve"> </w:t>
      </w:r>
      <w:r>
        <w:t xml:space="preserve">Plotting</w:t>
      </w:r>
      <w:r>
        <w:t xml:space="preserve"> </w:t>
      </w:r>
      <w:r>
        <w:t xml:space="preserve">for</w:t>
      </w:r>
      <w:r>
        <w:t xml:space="preserve"> </w:t>
      </w:r>
      <w:r>
        <w:t xml:space="preserve">Bayesian Models</w:t>
      </w:r>
      <w:r>
        <w:t xml:space="preserve">.</w:t>
      </w:r>
    </w:p>
    <w:bookmarkEnd w:id="86"/>
    <w:bookmarkStart w:id="88" w:name="ref-gelman2013Chapter4Asymptotics"/>
    <w:p>
      <w:pPr>
        <w:pStyle w:val="Bibliography"/>
      </w:pPr>
      <w:r>
        <w:t xml:space="preserve">Gelman, A., Carlin, J.B., Stern, H.S., David B. Dunson, Vehtari, A., Rubin, D.B., 2013. Chapter 4 -</w:t>
      </w:r>
      <w:r>
        <w:t xml:space="preserve"> </w:t>
      </w:r>
      <w:r>
        <w:t xml:space="preserve">Asymptotics</w:t>
      </w:r>
      <w:r>
        <w:t xml:space="preserve"> </w:t>
      </w:r>
      <w:r>
        <w:t xml:space="preserve">and connections to non-</w:t>
      </w:r>
      <w:r>
        <w:t xml:space="preserve">Bayesian</w:t>
      </w:r>
      <w:r>
        <w:t xml:space="preserve"> </w:t>
      </w:r>
      <w:r>
        <w:t xml:space="preserve">approaches, in: Bayesian</w:t>
      </w:r>
      <w:r>
        <w:t xml:space="preserve"> </w:t>
      </w:r>
      <w:r>
        <w:t xml:space="preserve">Data Analysis</w:t>
      </w:r>
      <w:r>
        <w:t xml:space="preserve">.</w:t>
      </w:r>
      <w:r>
        <w:t xml:space="preserve"> </w:t>
      </w:r>
      <w:r>
        <w:t xml:space="preserve">Chapman and Hall/CRC</w:t>
      </w:r>
      <w:r>
        <w:t xml:space="preserve">.</w:t>
      </w:r>
      <w:r>
        <w:t xml:space="preserve"> </w:t>
      </w:r>
      <w:hyperlink r:id="rId87">
        <w:r>
          <w:rPr>
            <w:rStyle w:val="Hyperlink"/>
          </w:rPr>
          <w:t xml:space="preserve">https://doi.org/10.1201/b16018</w:t>
        </w:r>
      </w:hyperlink>
    </w:p>
    <w:bookmarkEnd w:id="88"/>
    <w:bookmarkStart w:id="90" w:name="ref-gelman2020BayesianWorkflow"/>
    <w:p>
      <w:pPr>
        <w:pStyle w:val="Bibliography"/>
      </w:pPr>
      <w:r>
        <w:t xml:space="preserve">Gelman, A., Vehtari, A., Simpson, D., Margossian, C.C., Carpenter, B., Yao, Y., Kennedy, L., Gabry, J., Bürkner, P.-C., Modrák, M., 2020. Bayesian</w:t>
      </w:r>
      <w:r>
        <w:t xml:space="preserve"> </w:t>
      </w:r>
      <w:r>
        <w:t xml:space="preserve">Workflow</w:t>
      </w:r>
      <w:r>
        <w:t xml:space="preserve">.</w:t>
      </w:r>
      <w:r>
        <w:t xml:space="preserve"> </w:t>
      </w:r>
      <w:hyperlink r:id="rId89">
        <w:r>
          <w:rPr>
            <w:rStyle w:val="Hyperlink"/>
          </w:rPr>
          <w:t xml:space="preserve">https://doi.org/10.48550/ARXIV.2011.01808</w:t>
        </w:r>
      </w:hyperlink>
    </w:p>
    <w:bookmarkEnd w:id="90"/>
    <w:bookmarkStart w:id="92" w:name="ref-goodman2023SexDifferencePre"/>
    <w:p>
      <w:pPr>
        <w:pStyle w:val="Bibliography"/>
      </w:pPr>
      <w:r>
        <w:t xml:space="preserve">Goodman, C.V., Green, R., DaCosta, A., Flora, D., Lanphear, B., Till, C., 2023. Sex difference of pre- and post-natal exposure to six developmental neurotoxicants on intellectual abilities: A systematic review and meta-analysis of human studies. Environ Health 22, 80.</w:t>
      </w:r>
      <w:r>
        <w:t xml:space="preserve"> </w:t>
      </w:r>
      <w:hyperlink r:id="rId91">
        <w:r>
          <w:rPr>
            <w:rStyle w:val="Hyperlink"/>
          </w:rPr>
          <w:t xml:space="preserve">https://doi.org/10.1186/s12940-023-01029-z</w:t>
        </w:r>
      </w:hyperlink>
    </w:p>
    <w:bookmarkEnd w:id="92"/>
    <w:bookmarkStart w:id="94" w:name="X035620408d1fb22c7ed381e74f0468c30df4612"/>
    <w:p>
      <w:pPr>
        <w:pStyle w:val="Bibliography"/>
      </w:pPr>
      <w:r>
        <w:t xml:space="preserve">Grant, R., Di Tanna, G.L., 2025. Bayesian</w:t>
      </w:r>
      <w:r>
        <w:t xml:space="preserve"> </w:t>
      </w:r>
      <w:r>
        <w:t xml:space="preserve">Meta-Analysis</w:t>
      </w:r>
      <w:r>
        <w:t xml:space="preserve">:</w:t>
      </w:r>
      <w:r>
        <w:t xml:space="preserve"> </w:t>
      </w:r>
      <w:r>
        <w:t xml:space="preserve">A Practical Introduction</w:t>
      </w:r>
      <w:r>
        <w:t xml:space="preserve">, 1st ed.</w:t>
      </w:r>
      <w:r>
        <w:t xml:space="preserve"> </w:t>
      </w:r>
      <w:r>
        <w:t xml:space="preserve">Chapman and Hall/CRC</w:t>
      </w:r>
      <w:r>
        <w:t xml:space="preserve">, Boca Raton.</w:t>
      </w:r>
      <w:r>
        <w:t xml:space="preserve"> </w:t>
      </w:r>
      <w:hyperlink r:id="rId93">
        <w:r>
          <w:rPr>
            <w:rStyle w:val="Hyperlink"/>
          </w:rPr>
          <w:t xml:space="preserve">https://doi.org/10.1201/9781003375821</w:t>
        </w:r>
      </w:hyperlink>
    </w:p>
    <w:bookmarkEnd w:id="94"/>
    <w:bookmarkStart w:id="96" w:name="ref-halabicky2023LowLevelLead"/>
    <w:p>
      <w:pPr>
        <w:pStyle w:val="Bibliography"/>
      </w:pPr>
      <w:r>
        <w:t xml:space="preserve">Halabicky, O.M., Pinto-Martin, J.A., Compton, P., Liu, J., 2023. Low level lead exposure in early childhood and parental education on adolescent</w:t>
      </w:r>
      <w:r>
        <w:t xml:space="preserve"> </w:t>
      </w:r>
      <w:r>
        <w:t xml:space="preserve">IQ</w:t>
      </w:r>
      <w:r>
        <w:t xml:space="preserve"> </w:t>
      </w:r>
      <w:r>
        <w:t xml:space="preserve">and working memory: A cohort study. Journal of Exposure Science &amp; Environmental Epidemiology 33, 168–176.</w:t>
      </w:r>
      <w:r>
        <w:t xml:space="preserve"> </w:t>
      </w:r>
      <w:hyperlink r:id="rId95">
        <w:r>
          <w:rPr>
            <w:rStyle w:val="Hyperlink"/>
          </w:rPr>
          <w:t xml:space="preserve">https://doi.org/10.1038/s41370-022-00450-9</w:t>
        </w:r>
      </w:hyperlink>
    </w:p>
    <w:bookmarkEnd w:id="96"/>
    <w:bookmarkStart w:id="98" w:name="ref-harari2018BloodLeadLevels"/>
    <w:p>
      <w:pPr>
        <w:pStyle w:val="Bibliography"/>
      </w:pPr>
      <w:r>
        <w:t xml:space="preserve">Harari, F., Sallsten, G., Christensson, A., Petkovic, M., Hedblad, B., Forsgard, N., Melander, O., Nilsson, P.M., Borné, Y., Engström, G., et al., 2018.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American Journal of Kidney Diseases 72, 381–389.</w:t>
      </w:r>
      <w:r>
        <w:t xml:space="preserve"> </w:t>
      </w:r>
      <w:hyperlink r:id="rId97">
        <w:r>
          <w:rPr>
            <w:rStyle w:val="Hyperlink"/>
          </w:rPr>
          <w:t xml:space="preserve">https://doi.org/10.1053/j.ajkd.2018.02.358</w:t>
        </w:r>
      </w:hyperlink>
    </w:p>
    <w:bookmarkEnd w:id="98"/>
    <w:bookmarkStart w:id="100" w:name="Xec30ec7c912152a14c0f622040312567154bf15"/>
    <w:p>
      <w:pPr>
        <w:pStyle w:val="Bibliography"/>
      </w:pPr>
      <w:r>
        <w:t xml:space="preserve">Harrell, F.E., 2015.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Springer</w:t>
      </w:r>
      <w:r>
        <w:t xml:space="preserve"> </w:t>
      </w:r>
      <w:r>
        <w:t xml:space="preserve">Series</w:t>
      </w:r>
      <w:r>
        <w:t xml:space="preserve"> </w:t>
      </w:r>
      <w:r>
        <w:t xml:space="preserve">in</w:t>
      </w:r>
      <w:r>
        <w:t xml:space="preserve"> </w:t>
      </w:r>
      <w:r>
        <w:t xml:space="preserve">Statistics</w:t>
      </w:r>
      <w:r>
        <w:t xml:space="preserve">. Springer International Publishing, Cham.</w:t>
      </w:r>
      <w:r>
        <w:t xml:space="preserve"> </w:t>
      </w:r>
      <w:hyperlink r:id="rId99">
        <w:r>
          <w:rPr>
            <w:rStyle w:val="Hyperlink"/>
          </w:rPr>
          <w:t xml:space="preserve">https://doi.org/10.1007/978-3-319-19425-7</w:t>
        </w:r>
      </w:hyperlink>
    </w:p>
    <w:bookmarkEnd w:id="100"/>
    <w:bookmarkStart w:id="102" w:name="ref-hay2025Burden375Diseases"/>
    <w:p>
      <w:pPr>
        <w:pStyle w:val="Bibliography"/>
      </w:pPr>
      <w:r>
        <w:t xml:space="preserve">Hay, S.I., Ong, K.L., Santomauro, D.F., A, B., Aalipour, M.A., Aalruz, H., Ababneh, H.S., Abaraogu, U.O., Abate, B.B., Abbafati, C., et al., 2025. Burden of 375 diseases and injuries, risk-attributable burden of 88 risk factors, and healthy life expectancy in 204 countries and territories, including 660 subnational locations, 1990–2023: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2023. The Lancet 406, 1873–1922.</w:t>
      </w:r>
      <w:r>
        <w:t xml:space="preserve"> </w:t>
      </w:r>
      <w:hyperlink r:id="rId101">
        <w:r>
          <w:rPr>
            <w:rStyle w:val="Hyperlink"/>
          </w:rPr>
          <w:t xml:space="preserve">https://doi.org/10.1016/S0140-6736(25)01637-X</w:t>
        </w:r>
      </w:hyperlink>
    </w:p>
    <w:bookmarkEnd w:id="102"/>
    <w:bookmarkStart w:id="104" w:name="ref-heidari2022EffectLeadExposurea"/>
    <w:p>
      <w:pPr>
        <w:pStyle w:val="Bibliography"/>
      </w:pPr>
      <w:r>
        <w:t xml:space="preserve">Heidari, S., Mostafaei, S., Razazian, N., Rajati, M., Saeedi, A., Rajati, F., 2022. The effect of lead exposure on</w:t>
      </w:r>
      <w:r>
        <w:t xml:space="preserve"> </w:t>
      </w:r>
      <w:r>
        <w:t xml:space="preserve">IQ</w:t>
      </w:r>
      <w:r>
        <w:t xml:space="preserve"> </w:t>
      </w:r>
      <w:r>
        <w:t xml:space="preserve">test scores in children under 12 years: A systematic review and meta-analysis of case-control studies. Syst Rev 11, 106.</w:t>
      </w:r>
      <w:r>
        <w:t xml:space="preserve"> </w:t>
      </w:r>
      <w:hyperlink r:id="rId103">
        <w:r>
          <w:rPr>
            <w:rStyle w:val="Hyperlink"/>
          </w:rPr>
          <w:t xml:space="preserve">https://doi.org/10.1186/s13643-022-01963-y</w:t>
        </w:r>
      </w:hyperlink>
    </w:p>
    <w:bookmarkEnd w:id="104"/>
    <w:bookmarkStart w:id="106" w:name="X837f91f784566061977da85c17a5755a81dedde"/>
    <w:p>
      <w:pPr>
        <w:pStyle w:val="Bibliography"/>
      </w:pPr>
      <w:r>
        <w:t xml:space="preserve">Hoekstra, R., Morey, R.D., Rouder, J.N., Wagenmakers, E.-J., 2014. Robust misinterpretation of confidence intervals. Psychon Bull Rev 21, 1157–1164.</w:t>
      </w:r>
      <w:r>
        <w:t xml:space="preserve"> </w:t>
      </w:r>
      <w:hyperlink r:id="rId105">
        <w:r>
          <w:rPr>
            <w:rStyle w:val="Hyperlink"/>
          </w:rPr>
          <w:t xml:space="preserve">https://doi.org/10.3758/s13423-013-0572-3</w:t>
        </w:r>
      </w:hyperlink>
    </w:p>
    <w:bookmarkEnd w:id="106"/>
    <w:bookmarkStart w:id="108" w:name="ref-hong2013ComparingBayesianFrequentist"/>
    <w:p>
      <w:pPr>
        <w:pStyle w:val="Bibliography"/>
      </w:pPr>
      <w:r>
        <w:t xml:space="preserve">Hong, H., Carlin, B.P., Shamliyan, T.A., Wyman, J.F., Ramakrishnan, R., Sainfort, F., Kane, R.L., 2013.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33, 702–714.</w:t>
      </w:r>
      <w:r>
        <w:t xml:space="preserve"> </w:t>
      </w:r>
      <w:hyperlink r:id="rId107">
        <w:r>
          <w:rPr>
            <w:rStyle w:val="Hyperlink"/>
          </w:rPr>
          <w:t xml:space="preserve">https://doi.org/10.1177/0272989X13481110</w:t>
        </w:r>
      </w:hyperlink>
    </w:p>
    <w:bookmarkEnd w:id="108"/>
    <w:bookmarkStart w:id="110" w:name="ref-hong2015EnvironmentalLeadExposure"/>
    <w:p>
      <w:pPr>
        <w:pStyle w:val="Bibliography"/>
      </w:pPr>
      <w:r>
        <w:t xml:space="preserve">Hong, S.-B., Im, M.-H., Kim, J.-W., Park, E.-J., Shin, M.-S., Kim, B.-N., Yoo, H.-J., Cho, I.-H., Bhang, S.-Y., Hong, Y.-C., et al., 2015.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Environmental Health Perspectives 123, 271–276.</w:t>
      </w:r>
      <w:r>
        <w:t xml:space="preserve"> </w:t>
      </w:r>
      <w:hyperlink r:id="rId109">
        <w:r>
          <w:rPr>
            <w:rStyle w:val="Hyperlink"/>
          </w:rPr>
          <w:t xml:space="preserve">https://doi.org/doi:10.1289/ehp.1307420</w:t>
        </w:r>
      </w:hyperlink>
    </w:p>
    <w:bookmarkEnd w:id="110"/>
    <w:bookmarkStart w:id="112" w:name="ref-kazi2026PvaluesBayesFactor"/>
    <w:p>
      <w:pPr>
        <w:pStyle w:val="Bibliography"/>
      </w:pPr>
      <w:r>
        <w:t xml:space="preserve">Kazi, M., 2026.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17, 241–248.</w:t>
      </w:r>
      <w:r>
        <w:t xml:space="preserve"> </w:t>
      </w:r>
      <w:hyperlink r:id="rId111">
        <w:r>
          <w:rPr>
            <w:rStyle w:val="Hyperlink"/>
          </w:rPr>
          <w:t xml:space="preserve">https://doi.org/10.1007/s13193-025-02314-8</w:t>
        </w:r>
      </w:hyperlink>
    </w:p>
    <w:bookmarkEnd w:id="112"/>
    <w:bookmarkStart w:id="114" w:name="X5cae6442bbe0e1f5d8df6cd5008aab2dbfb65a6"/>
    <w:p>
      <w:pPr>
        <w:pStyle w:val="Bibliography"/>
      </w:pPr>
      <w:r>
        <w:t xml:space="preserve">Kruschke, J.K., 2021. Bayesian</w:t>
      </w:r>
      <w:r>
        <w:t xml:space="preserve"> </w:t>
      </w:r>
      <w:r>
        <w:t xml:space="preserve">Analysis Reporting Guidelines</w:t>
      </w:r>
      <w:r>
        <w:t xml:space="preserve">. Nat Hum Behav 5, 1282–1291.</w:t>
      </w:r>
      <w:r>
        <w:t xml:space="preserve"> </w:t>
      </w:r>
      <w:hyperlink r:id="rId113">
        <w:r>
          <w:rPr>
            <w:rStyle w:val="Hyperlink"/>
          </w:rPr>
          <w:t xml:space="preserve">https://doi.org/10.1038/s41562-021-01177-7</w:t>
        </w:r>
      </w:hyperlink>
    </w:p>
    <w:bookmarkEnd w:id="114"/>
    <w:bookmarkStart w:id="116" w:name="ref-lacerda2023GlobalDecreaseBlood"/>
    <w:p>
      <w:pPr>
        <w:pStyle w:val="Bibliography"/>
      </w:pPr>
      <w:r>
        <w:t xml:space="preserve">Lacerda, D., Pestana, I.A., Santos Vergilio, C.D., de Rezende, C.E.</w:t>
      </w:r>
      <w:r>
        <w:t xml:space="preserve">, 2023. Global decrease in blood lead concentrations due to the removal of leaded gasoline. Chemosphere 324, 138207.</w:t>
      </w:r>
      <w:r>
        <w:t xml:space="preserve"> </w:t>
      </w:r>
      <w:hyperlink r:id="rId115">
        <w:r>
          <w:rPr>
            <w:rStyle w:val="Hyperlink"/>
          </w:rPr>
          <w:t xml:space="preserve">https://doi.org/10.1016/j.chemosphere.2023.138207</w:t>
        </w:r>
      </w:hyperlink>
    </w:p>
    <w:bookmarkEnd w:id="116"/>
    <w:bookmarkStart w:id="118" w:name="X33f03e29791f20cdbbbbf0729c723b16e55ed16"/>
    <w:p>
      <w:pPr>
        <w:pStyle w:val="Bibliography"/>
      </w:pPr>
      <w:r>
        <w:t xml:space="preserve">Lanphear, B.P., Hornung, R., Khoury, J., Yolton, K., Baghurst, P., Bellinger, D.C., Canfield, R.L., Dietrich, K.N., Bornschein, R., Greene, T., et al., 2019.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127, 099001.</w:t>
      </w:r>
      <w:r>
        <w:t xml:space="preserve"> </w:t>
      </w:r>
      <w:hyperlink r:id="rId117">
        <w:r>
          <w:rPr>
            <w:rStyle w:val="Hyperlink"/>
          </w:rPr>
          <w:t xml:space="preserve">https://doi.org/10.1289/EHP5685</w:t>
        </w:r>
      </w:hyperlink>
    </w:p>
    <w:bookmarkEnd w:id="118"/>
    <w:bookmarkStart w:id="120" w:name="X9a8bad0b78f43066cb333fdedcdcad5d7017900"/>
    <w:p>
      <w:pPr>
        <w:pStyle w:val="Bibliography"/>
      </w:pPr>
      <w:r>
        <w:t xml:space="preserve">Lanphear, B.P., Hornung, R., Khoury, J., Yolton, K., Baghurst, P., Bellinger, D.C., Canfield, R.L., Dietrich, K.N., Bornschein, R., Greene, T., et al., 2005.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Environmental Health Perspectives 113, 894–899.</w:t>
      </w:r>
      <w:r>
        <w:t xml:space="preserve"> </w:t>
      </w:r>
      <w:hyperlink r:id="rId119">
        <w:r>
          <w:rPr>
            <w:rStyle w:val="Hyperlink"/>
          </w:rPr>
          <w:t xml:space="preserve">https://doi.org/doi:10.1289/ehp.7688</w:t>
        </w:r>
      </w:hyperlink>
    </w:p>
    <w:bookmarkEnd w:id="120"/>
    <w:bookmarkStart w:id="122" w:name="ref-lanphear2018LowlevelLeadExposure"/>
    <w:p>
      <w:pPr>
        <w:pStyle w:val="Bibliography"/>
      </w:pPr>
      <w:r>
        <w:t xml:space="preserve">Lanphear, B.P., Rauch, S., Auinger, P., Allen, R.W., Hornung, R.W., 2018. Low-level lead exposure and mortality in</w:t>
      </w:r>
      <w:r>
        <w:t xml:space="preserve"> </w:t>
      </w:r>
      <w:r>
        <w:t xml:space="preserve">US</w:t>
      </w:r>
      <w:r>
        <w:t xml:space="preserve"> </w:t>
      </w:r>
      <w:r>
        <w:t xml:space="preserve">adults: A population-based cohort study. The Lancet Public Health 3, e177–e184.</w:t>
      </w:r>
      <w:r>
        <w:t xml:space="preserve"> </w:t>
      </w:r>
      <w:hyperlink r:id="rId121">
        <w:r>
          <w:rPr>
            <w:rStyle w:val="Hyperlink"/>
          </w:rPr>
          <w:t xml:space="preserve">https://doi.org/10.1016/S2468-2667(18)30025-2</w:t>
        </w:r>
      </w:hyperlink>
    </w:p>
    <w:bookmarkEnd w:id="122"/>
    <w:bookmarkStart w:id="124" w:name="ref-larsen2023GlobalHealthBurden"/>
    <w:p>
      <w:pPr>
        <w:pStyle w:val="Bibliography"/>
      </w:pPr>
      <w:r>
        <w:t xml:space="preserve">Larsen, B., Sánchez-Triana, E., 2023. Global health burden and cost of lead exposure in children and adults: A health impact and economic modelling analysis. The Lancet Planetary Health 7, e831–e840.</w:t>
      </w:r>
      <w:r>
        <w:t xml:space="preserve"> </w:t>
      </w:r>
      <w:hyperlink r:id="rId123">
        <w:r>
          <w:rPr>
            <w:rStyle w:val="Hyperlink"/>
          </w:rPr>
          <w:t xml:space="preserve">https://doi.org/10.1016/S2542-5196(23)00166-3</w:t>
        </w:r>
      </w:hyperlink>
    </w:p>
    <w:bookmarkEnd w:id="124"/>
    <w:bookmarkStart w:id="126" w:name="ref-lee2021PrenatalPostnatalExposures"/>
    <w:p>
      <w:pPr>
        <w:pStyle w:val="Bibliography"/>
      </w:pPr>
      <w:r>
        <w:t xml:space="preserve">Lee, K.-S., Kim, K.-N., Ahn, Y.D., Choi, Y.-J., Cho, J., Jang, Y., Lim, Y.-H., Kim, J.I., Shin, C.H., Lee, Y.A., et al., 2021.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Environment International 157, 106798.</w:t>
      </w:r>
      <w:r>
        <w:t xml:space="preserve"> </w:t>
      </w:r>
      <w:hyperlink r:id="rId125">
        <w:r>
          <w:rPr>
            <w:rStyle w:val="Hyperlink"/>
          </w:rPr>
          <w:t xml:space="preserve">https://doi.org/10.1016/j.envint.2021.106798</w:t>
        </w:r>
      </w:hyperlink>
    </w:p>
    <w:bookmarkEnd w:id="126"/>
    <w:bookmarkStart w:id="128" w:name="X716dc31ca13dac7355fea3a0f7dea95779ecabb"/>
    <w:p>
      <w:pPr>
        <w:pStyle w:val="Bibliography"/>
      </w:pPr>
      <w:r>
        <w:t xml:space="preserve">Lucchini, R.G., Guazzetti, S., Renzetti, S., Conversano, M., Cagna, G., Fedrighi, C., Giorgino, A., Peli, M., Placidi, D., Zoni, S., et al., 2019. Neurocognitive impact of metal exposure and social stressors among schoolchildren in</w:t>
      </w:r>
      <w:r>
        <w:t xml:space="preserve"> </w:t>
      </w:r>
      <w:r>
        <w:t xml:space="preserve">Taranto</w:t>
      </w:r>
      <w:r>
        <w:t xml:space="preserve">,</w:t>
      </w:r>
      <w:r>
        <w:t xml:space="preserve"> </w:t>
      </w:r>
      <w:r>
        <w:t xml:space="preserve">Italy</w:t>
      </w:r>
      <w:r>
        <w:t xml:space="preserve">. Environmental Health 18, 67.</w:t>
      </w:r>
      <w:r>
        <w:t xml:space="preserve"> </w:t>
      </w:r>
      <w:hyperlink r:id="rId127">
        <w:r>
          <w:rPr>
            <w:rStyle w:val="Hyperlink"/>
          </w:rPr>
          <w:t xml:space="preserve">https://doi.org/10.1186/s12940-019-0505-3</w:t>
        </w:r>
      </w:hyperlink>
    </w:p>
    <w:bookmarkEnd w:id="128"/>
    <w:bookmarkStart w:id="130" w:name="Xb0421be95a139ca5af39ce6040517bf1be79427"/>
    <w:p>
      <w:pPr>
        <w:pStyle w:val="Bibliography"/>
      </w:pPr>
      <w:r>
        <w:t xml:space="preserve">Lucchini, R.G., Zoni, S., Guazzetti, S., Bontempi, E., Micheletti, S., Broberg, K., Parrinello, G., Smith, D.R., 2012. Inverse association of intellectual function with very low blood lead but not with manganese exposure in</w:t>
      </w:r>
      <w:r>
        <w:t xml:space="preserve"> </w:t>
      </w:r>
      <w:r>
        <w:t xml:space="preserve">Italian</w:t>
      </w:r>
      <w:r>
        <w:t xml:space="preserve"> </w:t>
      </w:r>
      <w:r>
        <w:t xml:space="preserve">adolescents. Environmental Research 118, 65–71.</w:t>
      </w:r>
      <w:r>
        <w:t xml:space="preserve"> </w:t>
      </w:r>
      <w:hyperlink r:id="rId129">
        <w:r>
          <w:rPr>
            <w:rStyle w:val="Hyperlink"/>
          </w:rPr>
          <w:t xml:space="preserve">https://doi.org/10.1016/j.envres.2012.08.003</w:t>
        </w:r>
      </w:hyperlink>
    </w:p>
    <w:bookmarkEnd w:id="130"/>
    <w:bookmarkStart w:id="132" w:name="ref-mcfarland2022HalfUSPopulation"/>
    <w:p>
      <w:pPr>
        <w:pStyle w:val="Bibliography"/>
      </w:pPr>
      <w:r>
        <w:t xml:space="preserve">McFarland, M.J., Hauer, M.E., Reuben, A., 2022. Half of</w:t>
      </w:r>
      <w:r>
        <w:t xml:space="preserve"> </w:t>
      </w:r>
      <w:r>
        <w:t xml:space="preserve">US</w:t>
      </w:r>
      <w:r>
        <w:t xml:space="preserve"> </w:t>
      </w:r>
      <w:r>
        <w:t xml:space="preserve">population exposed to adverse lead levels in early childhood. Proc. Natl. Acad. Sci. U.S.A. 119, e2118631119.</w:t>
      </w:r>
      <w:r>
        <w:t xml:space="preserve"> </w:t>
      </w:r>
      <w:hyperlink r:id="rId131">
        <w:r>
          <w:rPr>
            <w:rStyle w:val="Hyperlink"/>
          </w:rPr>
          <w:t xml:space="preserve">https://doi.org/10.1073/pnas.2118631119</w:t>
        </w:r>
      </w:hyperlink>
    </w:p>
    <w:bookmarkEnd w:id="132"/>
    <w:bookmarkStart w:id="133" w:name="X33fe7de6e8b65c86af337dbdb8d7cc8651c48a8"/>
    <w:p>
      <w:pPr>
        <w:pStyle w:val="Bibliography"/>
      </w:pPr>
      <w:r>
        <w:t xml:space="preserve">Menezes-Filho, J.A., Carvalho, C.F., Rodrigues, J.L.G., Araújo, C.F.S., Dos Santos, N.R., Lima, C.S., Bandeira, M.J., Marques, B.L. de S., Anjos, A.L.S., Bah, H.A.F., et al., 2018.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15, 2418.</w:t>
      </w:r>
    </w:p>
    <w:bookmarkEnd w:id="133"/>
    <w:bookmarkStart w:id="135" w:name="ref-needleman1990LowLevelLeadExposure"/>
    <w:p>
      <w:pPr>
        <w:pStyle w:val="Bibliography"/>
      </w:pPr>
      <w:r>
        <w:t xml:space="preserve">Needleman, H.L., 1990.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263, 673.</w:t>
      </w:r>
      <w:r>
        <w:t xml:space="preserve"> </w:t>
      </w:r>
      <w:hyperlink r:id="rId134">
        <w:r>
          <w:rPr>
            <w:rStyle w:val="Hyperlink"/>
          </w:rPr>
          <w:t xml:space="preserve">https://doi.org/10.1001/jama.1990.03440050067035</w:t>
        </w:r>
      </w:hyperlink>
    </w:p>
    <w:bookmarkEnd w:id="135"/>
    <w:bookmarkStart w:id="136" w:name="Xf5486a80753c915bf34b5d8f3ad5e46aac479a7"/>
    <w:p>
      <w:pPr>
        <w:pStyle w:val="Bibliography"/>
      </w:pPr>
      <w:r>
        <w:t xml:space="preserve">NTP OHAT, 2019.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w:t>
      </w:r>
    </w:p>
    <w:bookmarkEnd w:id="136"/>
    <w:bookmarkStart w:id="138" w:name="ref-page2021PRISMA2020Statement"/>
    <w:p>
      <w:pPr>
        <w:pStyle w:val="Bibliography"/>
      </w:pPr>
      <w:r>
        <w:t xml:space="preserve">Page, M.J., McKenzie, J.E., Bossuyt, P.M., Boutron, I., Hoffmann, T.C., Mulrow, C.D., Shamseer, L., Tetzlaff, J.M., Akl, E.A., Brennan, S.E., et al., 2021. The</w:t>
      </w:r>
      <w:r>
        <w:t xml:space="preserve"> </w:t>
      </w:r>
      <w:r>
        <w:t xml:space="preserve">PRISMA</w:t>
      </w:r>
      <w:r>
        <w:t xml:space="preserve"> </w:t>
      </w:r>
      <w:r>
        <w:t xml:space="preserve">2020 statement: An updated guideline for reporting systematic reviews. BMJ n71.</w:t>
      </w:r>
      <w:r>
        <w:t xml:space="preserve"> </w:t>
      </w:r>
      <w:hyperlink r:id="rId137">
        <w:r>
          <w:rPr>
            <w:rStyle w:val="Hyperlink"/>
          </w:rPr>
          <w:t xml:space="preserve">https://doi.org/10.1136/bmj.n71</w:t>
        </w:r>
      </w:hyperlink>
    </w:p>
    <w:bookmarkEnd w:id="138"/>
    <w:bookmarkStart w:id="140" w:name="ref-plate2024DevelopmentToolRapid"/>
    <w:p>
      <w:pPr>
        <w:pStyle w:val="Bibliography"/>
      </w:pPr>
      <w:r>
        <w:t xml:space="preserve">Plate, K., Knüppel, S., Hornbacher, A., Greiner, M., Müller-Graf, C., 2024. Development of a tool for rapid assessment of the evidence of human observational epidemiological studies with focus on risk of bias in the context of public health and risk assessment. EFS3 21.</w:t>
      </w:r>
      <w:r>
        <w:t xml:space="preserve"> </w:t>
      </w:r>
      <w:hyperlink r:id="rId139">
        <w:r>
          <w:rPr>
            <w:rStyle w:val="Hyperlink"/>
          </w:rPr>
          <w:t xml:space="preserve">https://doi.org/10.2903/sp.efsa.2024.EN-8925</w:t>
        </w:r>
      </w:hyperlink>
    </w:p>
    <w:bookmarkEnd w:id="140"/>
    <w:bookmarkStart w:id="142" w:name="ref-pocock1994EnvironmentalLeadChildrens"/>
    <w:p>
      <w:pPr>
        <w:pStyle w:val="Bibliography"/>
      </w:pPr>
      <w:r>
        <w:t xml:space="preserve">Pocock, S.J., Smith, M., Baghurst, P., 1994. Environmental lead and children’s intelligence: A systematic review of the epidemiological evidence. BMJ 309, 1189–1197.</w:t>
      </w:r>
      <w:r>
        <w:t xml:space="preserve"> </w:t>
      </w:r>
      <w:hyperlink r:id="rId141">
        <w:r>
          <w:rPr>
            <w:rStyle w:val="Hyperlink"/>
          </w:rPr>
          <w:t xml:space="preserve">https://doi.org/10.1136/bmj.309.6963.1189</w:t>
        </w:r>
      </w:hyperlink>
    </w:p>
    <w:bookmarkEnd w:id="142"/>
    <w:bookmarkStart w:id="143" w:name="Xd915bcb040430c17655975a5ceb4d7b4bdd04ac"/>
    <w:p>
      <w:pPr>
        <w:pStyle w:val="Bibliography"/>
      </w:pPr>
      <w:r>
        <w:t xml:space="preserve">Prüss-Üstün, A., Mathers, C., Corvalán, C., Woodward, A., 2003. Assessing the environmental burden of disease at national and local levels: Introduction and methods. Environmental burden of disease series.</w:t>
      </w:r>
    </w:p>
    <w:bookmarkEnd w:id="143"/>
    <w:bookmarkStart w:id="144" w:name="X4bd034c52731e178b4de125c2c778bdc533803c"/>
    <w:p>
      <w:pPr>
        <w:pStyle w:val="Bibliography"/>
      </w:pPr>
      <w:r>
        <w:t xml:space="preserve">R Core Team, 2024.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w:t>
      </w:r>
    </w:p>
    <w:bookmarkEnd w:id="144"/>
    <w:bookmarkStart w:id="146" w:name="ref-rosengren2025ExposureLeadCoronary"/>
    <w:p>
      <w:pPr>
        <w:pStyle w:val="Bibliography"/>
      </w:pPr>
      <w:r>
        <w:t xml:space="preserve">Rosengren, E., Barregard, L., Sallsten, G., Fagerberg, B., Engström, G., Fagman, E., Forsgard, N., Lundh, T., Bergström, G., Harari, F., 2025.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JAHA 14, e037633.</w:t>
      </w:r>
      <w:r>
        <w:t xml:space="preserve"> </w:t>
      </w:r>
      <w:hyperlink r:id="rId145">
        <w:r>
          <w:rPr>
            <w:rStyle w:val="Hyperlink"/>
          </w:rPr>
          <w:t xml:space="preserve">https://doi.org/10.1161/JAHA.124.037633</w:t>
        </w:r>
      </w:hyperlink>
    </w:p>
    <w:bookmarkEnd w:id="146"/>
    <w:bookmarkStart w:id="148" w:name="ref-roy2013EffectModificationTransferrin"/>
    <w:p>
      <w:pPr>
        <w:pStyle w:val="Bibliography"/>
      </w:pPr>
      <w:r>
        <w:t xml:space="preserve">Roy, A., Ettinger, A.S., Hu, H., Bellinger, D., Schwartz, J., Modali, R., Wright, R.O., Palaniappan, K., Balakrishnan, K., 2013.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38, 17–22.</w:t>
      </w:r>
      <w:r>
        <w:t xml:space="preserve"> </w:t>
      </w:r>
      <w:hyperlink r:id="rId147">
        <w:r>
          <w:rPr>
            <w:rStyle w:val="Hyperlink"/>
          </w:rPr>
          <w:t xml:space="preserve">https://doi.org/10.1016/j.neuro.2013.05.005</w:t>
        </w:r>
      </w:hyperlink>
    </w:p>
    <w:bookmarkEnd w:id="148"/>
    <w:bookmarkStart w:id="150" w:name="ref-sadeghirad2023TheoryPracticeBayesian"/>
    <w:p>
      <w:pPr>
        <w:pStyle w:val="Bibliography"/>
      </w:pPr>
      <w:r>
        <w:t xml:space="preserve">Sadeghirad, B., Foroutan, F., Zoratti, M.J., Busse, J.W., Brignardello-Petersen, R., Guyatt, G., Thabane, L., 2023. Theory and practice of</w:t>
      </w:r>
      <w:r>
        <w:t xml:space="preserve"> </w:t>
      </w:r>
      <w:r>
        <w:t xml:space="preserve">Bayesian</w:t>
      </w:r>
      <w:r>
        <w:t xml:space="preserve"> </w:t>
      </w:r>
      <w:r>
        <w:t xml:space="preserve">and frequentist frameworks for network meta-analysis. BMJ EBM 28, 204–209.</w:t>
      </w:r>
      <w:r>
        <w:t xml:space="preserve"> </w:t>
      </w:r>
      <w:hyperlink r:id="rId149">
        <w:r>
          <w:rPr>
            <w:rStyle w:val="Hyperlink"/>
          </w:rPr>
          <w:t xml:space="preserve">https://doi.org/10.1136/bmjebm-2022-111928</w:t>
        </w:r>
      </w:hyperlink>
    </w:p>
    <w:bookmarkEnd w:id="150"/>
    <w:bookmarkStart w:id="152" w:name="Xe38019c88c6d2792bb296bad7dc0a4dd55f1319"/>
    <w:p>
      <w:pPr>
        <w:pStyle w:val="Bibliography"/>
      </w:pPr>
      <w:r>
        <w:t xml:space="preserve">Salamanca-Fernández, E., Peinado, F.M., Esteban-López, M., Puklova, V., Poyatos, R.M., Govarts, E., Laeremans, M., Leermakers, M., Den Hond, E., Schoeters, G., et al., 2025. Sociodemographic determinants and temporal variability of blood lead levels (2003–2019) in a pooled analysis of nine studies in four</w:t>
      </w:r>
      <w:r>
        <w:t xml:space="preserve"> </w:t>
      </w:r>
      <w:r>
        <w:t xml:space="preserve">European</w:t>
      </w:r>
      <w:r>
        <w:t xml:space="preserve"> </w:t>
      </w:r>
      <w:r>
        <w:t xml:space="preserve">countries. Sci Rep 15, 34562.</w:t>
      </w:r>
      <w:r>
        <w:t xml:space="preserve"> </w:t>
      </w:r>
      <w:hyperlink r:id="rId151">
        <w:r>
          <w:rPr>
            <w:rStyle w:val="Hyperlink"/>
          </w:rPr>
          <w:t xml:space="preserve">https://doi.org/10.1038/s41598-025-17943-w</w:t>
        </w:r>
      </w:hyperlink>
    </w:p>
    <w:bookmarkEnd w:id="152"/>
    <w:bookmarkStart w:id="154" w:name="Xcf7993c3f58afaabaf73be6238c67f4f63053d9"/>
    <w:p>
      <w:pPr>
        <w:pStyle w:val="Bibliography"/>
      </w:pPr>
      <w:r>
        <w:t xml:space="preserve">Schnaas, L., Rothenberg Stephen, J., Flores, M.-F., Martinez, S., Hernandez, C., Osorio, E., Velasco Silvia, R., Perroni, E., 2006.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Environmental Health Perspectives 114, 791–797.</w:t>
      </w:r>
      <w:r>
        <w:t xml:space="preserve"> </w:t>
      </w:r>
      <w:hyperlink r:id="rId153">
        <w:r>
          <w:rPr>
            <w:rStyle w:val="Hyperlink"/>
          </w:rPr>
          <w:t xml:space="preserve">https://doi.org/10.1289/ehp.8552</w:t>
        </w:r>
      </w:hyperlink>
    </w:p>
    <w:bookmarkEnd w:id="154"/>
    <w:bookmarkStart w:id="156" w:name="ref-schwartz1994LowLevelLeadExposure"/>
    <w:p>
      <w:pPr>
        <w:pStyle w:val="Bibliography"/>
      </w:pPr>
      <w:r>
        <w:t xml:space="preserve">Schwartz, J., 1994.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Environmental Research 65, 42–55.</w:t>
      </w:r>
      <w:r>
        <w:t xml:space="preserve"> </w:t>
      </w:r>
      <w:hyperlink r:id="rId155">
        <w:r>
          <w:rPr>
            <w:rStyle w:val="Hyperlink"/>
          </w:rPr>
          <w:t xml:space="preserve">https://doi.org/10.1006/enrs.1994.1020</w:t>
        </w:r>
      </w:hyperlink>
    </w:p>
    <w:bookmarkEnd w:id="156"/>
    <w:bookmarkStart w:id="158" w:name="X55ae1a8b757df519e0a47e2002b3acc0b2e73ec"/>
    <w:p>
      <w:pPr>
        <w:pStyle w:val="Bibliography"/>
      </w:pPr>
      <w:r>
        <w:t xml:space="preserve">Seide, S.E., Jensen, K., Kieser, M., 2020. A comparison of</w:t>
      </w:r>
      <w:r>
        <w:t xml:space="preserve"> </w:t>
      </w:r>
      <w:r>
        <w:t xml:space="preserve">Bayesian</w:t>
      </w:r>
      <w:r>
        <w:t xml:space="preserve"> </w:t>
      </w:r>
      <w:r>
        <w:t xml:space="preserve">and frequentist methods in random-effects network meta-analysis of binary data. Research Synthesis Methods 11, 363–378.</w:t>
      </w:r>
      <w:r>
        <w:t xml:space="preserve"> </w:t>
      </w:r>
      <w:hyperlink r:id="rId157">
        <w:r>
          <w:rPr>
            <w:rStyle w:val="Hyperlink"/>
          </w:rPr>
          <w:t xml:space="preserve">https://doi.org/10.1002/jrsm.1397</w:t>
        </w:r>
      </w:hyperlink>
    </w:p>
    <w:bookmarkEnd w:id="158"/>
    <w:bookmarkStart w:id="160" w:name="ref-shaffer2025LeadExposureAntisocial"/>
    <w:p>
      <w:pPr>
        <w:pStyle w:val="Bibliography"/>
      </w:pPr>
      <w:r>
        <w:t xml:space="preserve">Shaffer, R.M., Carlson, L.M., Hester, K., Kim, H., Duffney, P., Forsyth, J.E., Ferraro, G., Till, C., Haddock, A., Strawbridge, J., et al., 2025. Lead exposure and antisocial behavior:</w:t>
      </w:r>
      <w:r>
        <w:t xml:space="preserve"> </w:t>
      </w:r>
      <w:r>
        <w:t xml:space="preserve">A</w:t>
      </w:r>
      <w:r>
        <w:t xml:space="preserve"> </w:t>
      </w:r>
      <w:r>
        <w:t xml:space="preserve">systematic review of human and animal evidence. Environment International 109786.</w:t>
      </w:r>
      <w:r>
        <w:t xml:space="preserve"> </w:t>
      </w:r>
      <w:hyperlink r:id="rId159">
        <w:r>
          <w:rPr>
            <w:rStyle w:val="Hyperlink"/>
          </w:rPr>
          <w:t xml:space="preserve">https://doi.org/10.1016/j.envint.2025.109786</w:t>
        </w:r>
      </w:hyperlink>
    </w:p>
    <w:bookmarkEnd w:id="160"/>
    <w:bookmarkStart w:id="162" w:name="ref-smith2018StepAwayStepwise"/>
    <w:p>
      <w:pPr>
        <w:pStyle w:val="Bibliography"/>
      </w:pPr>
      <w:r>
        <w:t xml:space="preserve">Smith, G., 2018. Step away from stepwise. J Big Data 5, 32.</w:t>
      </w:r>
      <w:r>
        <w:t xml:space="preserve"> </w:t>
      </w:r>
      <w:hyperlink r:id="rId161">
        <w:r>
          <w:rPr>
            <w:rStyle w:val="Hyperlink"/>
          </w:rPr>
          <w:t xml:space="preserve">https://doi.org/10.1186/s40537-018-0143-6</w:t>
        </w:r>
      </w:hyperlink>
    </w:p>
    <w:bookmarkEnd w:id="162"/>
    <w:bookmarkStart w:id="164" w:name="ref-sy2024AssessmentLongTermExposure"/>
    <w:p>
      <w:pPr>
        <w:pStyle w:val="Bibliography"/>
      </w:pPr>
      <w:r>
        <w:t xml:space="preserve">Sy, M., Eleftheriadou, D., Jung, C., Lindtner, O., Karakitsios, S., Sarigiannis, D., Weber, T., Kolossa-Gehring, M., Greiner, M., 2024.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 Health 16, 21–39.</w:t>
      </w:r>
      <w:r>
        <w:t xml:space="preserve"> </w:t>
      </w:r>
      <w:hyperlink r:id="rId163">
        <w:r>
          <w:rPr>
            <w:rStyle w:val="Hyperlink"/>
          </w:rPr>
          <w:t xml:space="preserve">https://doi.org/10.1007/s12403-023-00535-2</w:t>
        </w:r>
      </w:hyperlink>
    </w:p>
    <w:bookmarkEnd w:id="164"/>
    <w:bookmarkStart w:id="165" w:name="ref-tamasszigeti2022SubstanceReportLead"/>
    <w:p>
      <w:pPr>
        <w:pStyle w:val="Bibliography"/>
      </w:pPr>
      <w:r>
        <w:t xml:space="preserve">Szigeti, T., Kakucs, R., Vicente, J.L., Beatrice Grosu, 2022. Substance report -</w:t>
      </w:r>
      <w:r>
        <w:t xml:space="preserve"> </w:t>
      </w:r>
      <w:r>
        <w:t xml:space="preserve">Lead</w:t>
      </w:r>
      <w:r>
        <w:t xml:space="preserve">. HBM4EU.</w:t>
      </w:r>
    </w:p>
    <w:bookmarkEnd w:id="165"/>
    <w:bookmarkStart w:id="167" w:name="X99fa6bd9cd2521340285769f289a6c9d4bfe17b"/>
    <w:p>
      <w:pPr>
        <w:pStyle w:val="Bibliography"/>
      </w:pPr>
      <w:r>
        <w:t xml:space="preserve">Thompson, B., 1995.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Educational and Psychological Measurement 55, 525–534.</w:t>
      </w:r>
      <w:r>
        <w:t xml:space="preserve"> </w:t>
      </w:r>
      <w:hyperlink r:id="rId166">
        <w:r>
          <w:rPr>
            <w:rStyle w:val="Hyperlink"/>
          </w:rPr>
          <w:t xml:space="preserve">https://doi.org/10.1177/0013164495055004001</w:t>
        </w:r>
      </w:hyperlink>
    </w:p>
    <w:bookmarkEnd w:id="167"/>
    <w:bookmarkStart w:id="169" w:name="ref-wan2022ChronicLeadExposure"/>
    <w:p>
      <w:pPr>
        <w:pStyle w:val="Bibliography"/>
      </w:pPr>
      <w:r>
        <w:t xml:space="preserve">Wan, H., Wang, Y., Zhang, H., Zhang, K., Chen, Y., Chen, C., Zhang, W., Xia, F., Wang, N., Lu, Y., 2022. Chronic lead exposure induces fatty liver disease associated with the variations of gut microbiota. Ecotoxicology and Environmental Safety 232, 113257.</w:t>
      </w:r>
      <w:r>
        <w:t xml:space="preserve"> </w:t>
      </w:r>
      <w:hyperlink r:id="rId168">
        <w:r>
          <w:rPr>
            <w:rStyle w:val="Hyperlink"/>
          </w:rPr>
          <w:t xml:space="preserve">https://doi.org/10.1016/j.ecoenv.2022.113257</w:t>
        </w:r>
      </w:hyperlink>
    </w:p>
    <w:bookmarkEnd w:id="169"/>
    <w:bookmarkStart w:id="171" w:name="X111bb06244f8f2a1a6d0d2f1f41c24b71f248e6"/>
    <w:p>
      <w:pPr>
        <w:pStyle w:val="Bibliography"/>
      </w:pPr>
      <w:r>
        <w:t xml:space="preserve">Wolfgang Viechtbauer, 2010.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36, 1–48.</w:t>
      </w:r>
      <w:r>
        <w:t xml:space="preserve"> </w:t>
      </w:r>
      <w:hyperlink r:id="rId170">
        <w:r>
          <w:rPr>
            <w:rStyle w:val="Hyperlink"/>
          </w:rPr>
          <w:t xml:space="preserve">https://doi.org/10.18637/jss.v036.i03</w:t>
        </w:r>
      </w:hyperlink>
    </w:p>
    <w:bookmarkEnd w:id="171"/>
    <w:bookmarkStart w:id="173" w:name="X946754e67e3c74fad7a8806aa9d2819ed4ec186"/>
    <w:p>
      <w:pPr>
        <w:pStyle w:val="Bibliography"/>
      </w:pPr>
      <w:r>
        <w:t xml:space="preserve">Yao, M., Deng, K., Wang, Y., Mei, F., Zou, K., Li, L., Sun, X., 2025. Random-effects meta-analysis models for pooling rare events data: A comparison between frequentist and bayesian methods. BMC Med Res Methodol 25, 228.</w:t>
      </w:r>
      <w:r>
        <w:t xml:space="preserve"> </w:t>
      </w:r>
      <w:hyperlink r:id="rId172">
        <w:r>
          <w:rPr>
            <w:rStyle w:val="Hyperlink"/>
          </w:rPr>
          <w:t xml:space="preserve">https://doi.org/10.1186/s12874-025-02664-5</w:t>
        </w:r>
      </w:hyperlink>
    </w:p>
    <w:bookmarkEnd w:id="173"/>
    <w:bookmarkEnd w:id="174"/>
    <w:bookmarkEnd w:id="175"/>
    <w:sectPr>
      <w:footerReference r:id="rId3"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34" Target="media/rId34.png" /><Relationship Type="http://schemas.openxmlformats.org/officeDocument/2006/relationships/image" Id="rId15" Target="media/rId15.png" /><Relationship Type="http://schemas.openxmlformats.org/officeDocument/2006/relationships/hyperlink" Id="rId134" Target="https://doi.org/10.1001/jama.1990.03440050067035" TargetMode="External" /><Relationship Type="http://schemas.openxmlformats.org/officeDocument/2006/relationships/hyperlink" Id="rId157" Target="https://doi.org/10.1002/jrsm.1397" TargetMode="External" /><Relationship Type="http://schemas.openxmlformats.org/officeDocument/2006/relationships/hyperlink" Id="rId155" Target="https://doi.org/10.1006/enrs.1994.1020" TargetMode="External" /><Relationship Type="http://schemas.openxmlformats.org/officeDocument/2006/relationships/hyperlink" Id="rId99" Target="https://doi.org/10.1007/978-3-319-19425-7" TargetMode="External" /><Relationship Type="http://schemas.openxmlformats.org/officeDocument/2006/relationships/hyperlink" Id="rId76" Target="https://doi.org/10.1007/s11121-023-01601-6" TargetMode="External" /><Relationship Type="http://schemas.openxmlformats.org/officeDocument/2006/relationships/hyperlink" Id="rId163" Target="https://doi.org/10.1007/s12403-023-00535-2" TargetMode="External" /><Relationship Type="http://schemas.openxmlformats.org/officeDocument/2006/relationships/hyperlink" Id="rId111" Target="https://doi.org/10.1007/s13193-025-02314-8" TargetMode="External" /><Relationship Type="http://schemas.openxmlformats.org/officeDocument/2006/relationships/hyperlink" Id="rId101" Target="https://doi.org/10.1016/S0140-6736(25)01637-X" TargetMode="External" /><Relationship Type="http://schemas.openxmlformats.org/officeDocument/2006/relationships/hyperlink" Id="rId121" Target="https://doi.org/10.1016/S2468-2667(18)30025-2" TargetMode="External" /><Relationship Type="http://schemas.openxmlformats.org/officeDocument/2006/relationships/hyperlink" Id="rId123" Target="https://doi.org/10.1016/S2542-5196(23)00166-3" TargetMode="External" /><Relationship Type="http://schemas.openxmlformats.org/officeDocument/2006/relationships/hyperlink" Id="rId115" Target="https://doi.org/10.1016/j.chemosphere.2023.138207" TargetMode="External" /><Relationship Type="http://schemas.openxmlformats.org/officeDocument/2006/relationships/hyperlink" Id="rId168" Target="https://doi.org/10.1016/j.ecoenv.2022.113257" TargetMode="External" /><Relationship Type="http://schemas.openxmlformats.org/officeDocument/2006/relationships/hyperlink" Id="rId74" Target="https://doi.org/10.1016/j.envint.2018.10.043" TargetMode="External" /><Relationship Type="http://schemas.openxmlformats.org/officeDocument/2006/relationships/hyperlink" Id="rId125" Target="https://doi.org/10.1016/j.envint.2021.106798" TargetMode="External" /><Relationship Type="http://schemas.openxmlformats.org/officeDocument/2006/relationships/hyperlink" Id="rId159" Target="https://doi.org/10.1016/j.envint.2025.109786" TargetMode="External" /><Relationship Type="http://schemas.openxmlformats.org/officeDocument/2006/relationships/hyperlink" Id="rId66" Target="https://doi.org/10.1016/j.envres.2005.10.004" TargetMode="External" /><Relationship Type="http://schemas.openxmlformats.org/officeDocument/2006/relationships/hyperlink" Id="rId129" Target="https://doi.org/10.1016/j.envres.2012.08.003" TargetMode="External" /><Relationship Type="http://schemas.openxmlformats.org/officeDocument/2006/relationships/hyperlink" Id="rId64" Target="https://doi.org/10.1016/j.envres.2019.02.023" TargetMode="External" /><Relationship Type="http://schemas.openxmlformats.org/officeDocument/2006/relationships/hyperlink" Id="rId84" Target="https://doi.org/10.1016/j.envres.2024.120013" TargetMode="External" /><Relationship Type="http://schemas.openxmlformats.org/officeDocument/2006/relationships/hyperlink" Id="rId147" Target="https://doi.org/10.1016/j.neuro.2013.05.005" TargetMode="External" /><Relationship Type="http://schemas.openxmlformats.org/officeDocument/2006/relationships/hyperlink" Id="rId72" Target="https://doi.org/10.1016/j.scitotenv.2019.134519" TargetMode="External" /><Relationship Type="http://schemas.openxmlformats.org/officeDocument/2006/relationships/hyperlink" Id="rId95" Target="https://doi.org/10.1038/s41370-022-00450-9" TargetMode="External" /><Relationship Type="http://schemas.openxmlformats.org/officeDocument/2006/relationships/hyperlink" Id="rId113" Target="https://doi.org/10.1038/s41562-021-01177-7" TargetMode="External" /><Relationship Type="http://schemas.openxmlformats.org/officeDocument/2006/relationships/hyperlink" Id="rId151" Target="https://doi.org/10.1038/s41598-025-17943-w" TargetMode="External" /><Relationship Type="http://schemas.openxmlformats.org/officeDocument/2006/relationships/hyperlink" Id="rId97" Target="https://doi.org/10.1053/j.ajkd.2018.02.358" TargetMode="External" /><Relationship Type="http://schemas.openxmlformats.org/officeDocument/2006/relationships/hyperlink" Id="rId52" Target="https://doi.org/10.1056/NEJM199210293271805" TargetMode="External" /><Relationship Type="http://schemas.openxmlformats.org/officeDocument/2006/relationships/hyperlink" Id="rId62" Target="https://doi.org/10.1056/NEJMoa022848" TargetMode="External" /><Relationship Type="http://schemas.openxmlformats.org/officeDocument/2006/relationships/hyperlink" Id="rId131" Target="https://doi.org/10.1073/pnas.2118631119" TargetMode="External" /><Relationship Type="http://schemas.openxmlformats.org/officeDocument/2006/relationships/hyperlink" Id="rId78" Target="https://doi.org/10.1111/ajpy.12096" TargetMode="External" /><Relationship Type="http://schemas.openxmlformats.org/officeDocument/2006/relationships/hyperlink" Id="rId141" Target="https://doi.org/10.1136/bmj.309.6963.1189" TargetMode="External" /><Relationship Type="http://schemas.openxmlformats.org/officeDocument/2006/relationships/hyperlink" Id="rId137" Target="https://doi.org/10.1136/bmj.n71" TargetMode="External" /><Relationship Type="http://schemas.openxmlformats.org/officeDocument/2006/relationships/hyperlink" Id="rId149" Target="https://doi.org/10.1136/bmjebm-2022-111928" TargetMode="External" /><Relationship Type="http://schemas.openxmlformats.org/officeDocument/2006/relationships/hyperlink" Id="rId145" Target="https://doi.org/10.1161/JAHA.124.037633" TargetMode="External" /><Relationship Type="http://schemas.openxmlformats.org/officeDocument/2006/relationships/hyperlink" Id="rId166" Target="https://doi.org/10.1177/0013164495055004001" TargetMode="External" /><Relationship Type="http://schemas.openxmlformats.org/officeDocument/2006/relationships/hyperlink" Id="rId107" Target="https://doi.org/10.1177/0272989X13481110" TargetMode="External" /><Relationship Type="http://schemas.openxmlformats.org/officeDocument/2006/relationships/hyperlink" Id="rId172" Target="https://doi.org/10.1186/s12874-025-02664-5" TargetMode="External" /><Relationship Type="http://schemas.openxmlformats.org/officeDocument/2006/relationships/hyperlink" Id="rId127" Target="https://doi.org/10.1186/s12940-019-0505-3" TargetMode="External" /><Relationship Type="http://schemas.openxmlformats.org/officeDocument/2006/relationships/hyperlink" Id="rId91" Target="https://doi.org/10.1186/s12940-023-01029-z" TargetMode="External" /><Relationship Type="http://schemas.openxmlformats.org/officeDocument/2006/relationships/hyperlink" Id="rId103" Target="https://doi.org/10.1186/s13643-022-01963-y" TargetMode="External" /><Relationship Type="http://schemas.openxmlformats.org/officeDocument/2006/relationships/hyperlink" Id="rId161" Target="https://doi.org/10.1186/s40537-018-0143-6" TargetMode="External" /><Relationship Type="http://schemas.openxmlformats.org/officeDocument/2006/relationships/hyperlink" Id="rId93" Target="https://doi.org/10.1201/9781003375821" TargetMode="External" /><Relationship Type="http://schemas.openxmlformats.org/officeDocument/2006/relationships/hyperlink" Id="rId87" Target="https://doi.org/10.1201/b16018" TargetMode="External" /><Relationship Type="http://schemas.openxmlformats.org/officeDocument/2006/relationships/hyperlink" Id="rId117" Target="https://doi.org/10.1289/EHP5685" TargetMode="External" /><Relationship Type="http://schemas.openxmlformats.org/officeDocument/2006/relationships/hyperlink" Id="rId153" Target="https://doi.org/10.1289/ehp.8552" TargetMode="External" /><Relationship Type="http://schemas.openxmlformats.org/officeDocument/2006/relationships/hyperlink" Id="rId56" Target="https://doi.org/10.1542/peds.90.6.855" TargetMode="External" /><Relationship Type="http://schemas.openxmlformats.org/officeDocument/2006/relationships/hyperlink" Id="rId170" Target="https://doi.org/10.18637/jss.v036.i03" TargetMode="External" /><Relationship Type="http://schemas.openxmlformats.org/officeDocument/2006/relationships/hyperlink" Id="rId58" Target="https://doi.org/10.18637/jss.v080.i01" TargetMode="External" /><Relationship Type="http://schemas.openxmlformats.org/officeDocument/2006/relationships/hyperlink" Id="rId82" Target="https://doi.org/10.2903/j.efsa.2010.1570" TargetMode="External" /><Relationship Type="http://schemas.openxmlformats.org/officeDocument/2006/relationships/hyperlink" Id="rId80" Target="https://doi.org/10.2903/j.efsa.2012.2831" TargetMode="External" /><Relationship Type="http://schemas.openxmlformats.org/officeDocument/2006/relationships/hyperlink" Id="rId139" Target="https://doi.org/10.2903/sp.efsa.2024.EN-8925" TargetMode="External" /><Relationship Type="http://schemas.openxmlformats.org/officeDocument/2006/relationships/hyperlink" Id="rId70" Target="https://doi.org/10.3109/10408444.2013.832726" TargetMode="External" /><Relationship Type="http://schemas.openxmlformats.org/officeDocument/2006/relationships/hyperlink" Id="rId105" Target="https://doi.org/10.3758/s13423-013-0572-3" TargetMode="External" /><Relationship Type="http://schemas.openxmlformats.org/officeDocument/2006/relationships/hyperlink" Id="rId60" Target="https://doi.org/10.47102/annals-acadmedsg.2025104" TargetMode="External" /><Relationship Type="http://schemas.openxmlformats.org/officeDocument/2006/relationships/hyperlink" Id="rId89" Target="https://doi.org/10.48550/ARXIV.2011.01808" TargetMode="External" /><Relationship Type="http://schemas.openxmlformats.org/officeDocument/2006/relationships/hyperlink" Id="rId54" Target="https://doi.org/doi:10.1289/EHP6803" TargetMode="External" /><Relationship Type="http://schemas.openxmlformats.org/officeDocument/2006/relationships/hyperlink" Id="rId109" Target="https://doi.org/doi:10.1289/ehp.1307420" TargetMode="External" /><Relationship Type="http://schemas.openxmlformats.org/officeDocument/2006/relationships/hyperlink" Id="rId68" Target="https://doi.org/doi:10.1289/ehp.7625" TargetMode="External" /><Relationship Type="http://schemas.openxmlformats.org/officeDocument/2006/relationships/hyperlink" Id="rId119" Target="https://doi.org/doi:10.1289/ehp.7688" TargetMode="External" /><Relationship Type="http://schemas.openxmlformats.org/officeDocument/2006/relationships/hyperlink" Id="rId26" Target="https://github.com/PaulinaSell/lead-IQ_meta-analysis" TargetMode="External" /><Relationship Type="http://schemas.openxmlformats.org/officeDocument/2006/relationships/hyperlink" Id="rId21" Target="https://www.eu-parc.eu" TargetMode="External" /><Relationship Type="http://schemas.openxmlformats.org/officeDocument/2006/relationships/hyperlink" Id="rId12"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134" Target="https://doi.org/10.1001/jama.1990.03440050067035" TargetMode="External" /><Relationship Type="http://schemas.openxmlformats.org/officeDocument/2006/relationships/hyperlink" Id="rId157" Target="https://doi.org/10.1002/jrsm.1397" TargetMode="External" /><Relationship Type="http://schemas.openxmlformats.org/officeDocument/2006/relationships/hyperlink" Id="rId155" Target="https://doi.org/10.1006/enrs.1994.1020" TargetMode="External" /><Relationship Type="http://schemas.openxmlformats.org/officeDocument/2006/relationships/hyperlink" Id="rId99" Target="https://doi.org/10.1007/978-3-319-19425-7" TargetMode="External" /><Relationship Type="http://schemas.openxmlformats.org/officeDocument/2006/relationships/hyperlink" Id="rId76" Target="https://doi.org/10.1007/s11121-023-01601-6" TargetMode="External" /><Relationship Type="http://schemas.openxmlformats.org/officeDocument/2006/relationships/hyperlink" Id="rId163" Target="https://doi.org/10.1007/s12403-023-00535-2" TargetMode="External" /><Relationship Type="http://schemas.openxmlformats.org/officeDocument/2006/relationships/hyperlink" Id="rId111" Target="https://doi.org/10.1007/s13193-025-02314-8" TargetMode="External" /><Relationship Type="http://schemas.openxmlformats.org/officeDocument/2006/relationships/hyperlink" Id="rId101" Target="https://doi.org/10.1016/S0140-6736(25)01637-X" TargetMode="External" /><Relationship Type="http://schemas.openxmlformats.org/officeDocument/2006/relationships/hyperlink" Id="rId121" Target="https://doi.org/10.1016/S2468-2667(18)30025-2" TargetMode="External" /><Relationship Type="http://schemas.openxmlformats.org/officeDocument/2006/relationships/hyperlink" Id="rId123" Target="https://doi.org/10.1016/S2542-5196(23)00166-3" TargetMode="External" /><Relationship Type="http://schemas.openxmlformats.org/officeDocument/2006/relationships/hyperlink" Id="rId115" Target="https://doi.org/10.1016/j.chemosphere.2023.138207" TargetMode="External" /><Relationship Type="http://schemas.openxmlformats.org/officeDocument/2006/relationships/hyperlink" Id="rId168" Target="https://doi.org/10.1016/j.ecoenv.2022.113257" TargetMode="External" /><Relationship Type="http://schemas.openxmlformats.org/officeDocument/2006/relationships/hyperlink" Id="rId74" Target="https://doi.org/10.1016/j.envint.2018.10.043" TargetMode="External" /><Relationship Type="http://schemas.openxmlformats.org/officeDocument/2006/relationships/hyperlink" Id="rId125" Target="https://doi.org/10.1016/j.envint.2021.106798" TargetMode="External" /><Relationship Type="http://schemas.openxmlformats.org/officeDocument/2006/relationships/hyperlink" Id="rId159" Target="https://doi.org/10.1016/j.envint.2025.109786" TargetMode="External" /><Relationship Type="http://schemas.openxmlformats.org/officeDocument/2006/relationships/hyperlink" Id="rId66" Target="https://doi.org/10.1016/j.envres.2005.10.004" TargetMode="External" /><Relationship Type="http://schemas.openxmlformats.org/officeDocument/2006/relationships/hyperlink" Id="rId129" Target="https://doi.org/10.1016/j.envres.2012.08.003" TargetMode="External" /><Relationship Type="http://schemas.openxmlformats.org/officeDocument/2006/relationships/hyperlink" Id="rId64" Target="https://doi.org/10.1016/j.envres.2019.02.023" TargetMode="External" /><Relationship Type="http://schemas.openxmlformats.org/officeDocument/2006/relationships/hyperlink" Id="rId84" Target="https://doi.org/10.1016/j.envres.2024.120013" TargetMode="External" /><Relationship Type="http://schemas.openxmlformats.org/officeDocument/2006/relationships/hyperlink" Id="rId147" Target="https://doi.org/10.1016/j.neuro.2013.05.005" TargetMode="External" /><Relationship Type="http://schemas.openxmlformats.org/officeDocument/2006/relationships/hyperlink" Id="rId72" Target="https://doi.org/10.1016/j.scitotenv.2019.134519" TargetMode="External" /><Relationship Type="http://schemas.openxmlformats.org/officeDocument/2006/relationships/hyperlink" Id="rId95" Target="https://doi.org/10.1038/s41370-022-00450-9" TargetMode="External" /><Relationship Type="http://schemas.openxmlformats.org/officeDocument/2006/relationships/hyperlink" Id="rId113" Target="https://doi.org/10.1038/s41562-021-01177-7" TargetMode="External" /><Relationship Type="http://schemas.openxmlformats.org/officeDocument/2006/relationships/hyperlink" Id="rId151" Target="https://doi.org/10.1038/s41598-025-17943-w" TargetMode="External" /><Relationship Type="http://schemas.openxmlformats.org/officeDocument/2006/relationships/hyperlink" Id="rId97" Target="https://doi.org/10.1053/j.ajkd.2018.02.358" TargetMode="External" /><Relationship Type="http://schemas.openxmlformats.org/officeDocument/2006/relationships/hyperlink" Id="rId52" Target="https://doi.org/10.1056/NEJM199210293271805" TargetMode="External" /><Relationship Type="http://schemas.openxmlformats.org/officeDocument/2006/relationships/hyperlink" Id="rId62" Target="https://doi.org/10.1056/NEJMoa022848" TargetMode="External" /><Relationship Type="http://schemas.openxmlformats.org/officeDocument/2006/relationships/hyperlink" Id="rId131" Target="https://doi.org/10.1073/pnas.2118631119" TargetMode="External" /><Relationship Type="http://schemas.openxmlformats.org/officeDocument/2006/relationships/hyperlink" Id="rId78" Target="https://doi.org/10.1111/ajpy.12096" TargetMode="External" /><Relationship Type="http://schemas.openxmlformats.org/officeDocument/2006/relationships/hyperlink" Id="rId141" Target="https://doi.org/10.1136/bmj.309.6963.1189" TargetMode="External" /><Relationship Type="http://schemas.openxmlformats.org/officeDocument/2006/relationships/hyperlink" Id="rId137" Target="https://doi.org/10.1136/bmj.n71" TargetMode="External" /><Relationship Type="http://schemas.openxmlformats.org/officeDocument/2006/relationships/hyperlink" Id="rId149" Target="https://doi.org/10.1136/bmjebm-2022-111928" TargetMode="External" /><Relationship Type="http://schemas.openxmlformats.org/officeDocument/2006/relationships/hyperlink" Id="rId145" Target="https://doi.org/10.1161/JAHA.124.037633" TargetMode="External" /><Relationship Type="http://schemas.openxmlformats.org/officeDocument/2006/relationships/hyperlink" Id="rId166" Target="https://doi.org/10.1177/0013164495055004001" TargetMode="External" /><Relationship Type="http://schemas.openxmlformats.org/officeDocument/2006/relationships/hyperlink" Id="rId107" Target="https://doi.org/10.1177/0272989X13481110" TargetMode="External" /><Relationship Type="http://schemas.openxmlformats.org/officeDocument/2006/relationships/hyperlink" Id="rId172" Target="https://doi.org/10.1186/s12874-025-02664-5" TargetMode="External" /><Relationship Type="http://schemas.openxmlformats.org/officeDocument/2006/relationships/hyperlink" Id="rId127" Target="https://doi.org/10.1186/s12940-019-0505-3" TargetMode="External" /><Relationship Type="http://schemas.openxmlformats.org/officeDocument/2006/relationships/hyperlink" Id="rId91" Target="https://doi.org/10.1186/s12940-023-01029-z" TargetMode="External" /><Relationship Type="http://schemas.openxmlformats.org/officeDocument/2006/relationships/hyperlink" Id="rId103" Target="https://doi.org/10.1186/s13643-022-01963-y" TargetMode="External" /><Relationship Type="http://schemas.openxmlformats.org/officeDocument/2006/relationships/hyperlink" Id="rId161" Target="https://doi.org/10.1186/s40537-018-0143-6" TargetMode="External" /><Relationship Type="http://schemas.openxmlformats.org/officeDocument/2006/relationships/hyperlink" Id="rId93" Target="https://doi.org/10.1201/9781003375821" TargetMode="External" /><Relationship Type="http://schemas.openxmlformats.org/officeDocument/2006/relationships/hyperlink" Id="rId87" Target="https://doi.org/10.1201/b16018" TargetMode="External" /><Relationship Type="http://schemas.openxmlformats.org/officeDocument/2006/relationships/hyperlink" Id="rId117" Target="https://doi.org/10.1289/EHP5685" TargetMode="External" /><Relationship Type="http://schemas.openxmlformats.org/officeDocument/2006/relationships/hyperlink" Id="rId153" Target="https://doi.org/10.1289/ehp.8552" TargetMode="External" /><Relationship Type="http://schemas.openxmlformats.org/officeDocument/2006/relationships/hyperlink" Id="rId56" Target="https://doi.org/10.1542/peds.90.6.855" TargetMode="External" /><Relationship Type="http://schemas.openxmlformats.org/officeDocument/2006/relationships/hyperlink" Id="rId170" Target="https://doi.org/10.18637/jss.v036.i03" TargetMode="External" /><Relationship Type="http://schemas.openxmlformats.org/officeDocument/2006/relationships/hyperlink" Id="rId58" Target="https://doi.org/10.18637/jss.v080.i01" TargetMode="External" /><Relationship Type="http://schemas.openxmlformats.org/officeDocument/2006/relationships/hyperlink" Id="rId82" Target="https://doi.org/10.2903/j.efsa.2010.1570" TargetMode="External" /><Relationship Type="http://schemas.openxmlformats.org/officeDocument/2006/relationships/hyperlink" Id="rId80" Target="https://doi.org/10.2903/j.efsa.2012.2831" TargetMode="External" /><Relationship Type="http://schemas.openxmlformats.org/officeDocument/2006/relationships/hyperlink" Id="rId139" Target="https://doi.org/10.2903/sp.efsa.2024.EN-8925" TargetMode="External" /><Relationship Type="http://schemas.openxmlformats.org/officeDocument/2006/relationships/hyperlink" Id="rId70" Target="https://doi.org/10.3109/10408444.2013.832726" TargetMode="External" /><Relationship Type="http://schemas.openxmlformats.org/officeDocument/2006/relationships/hyperlink" Id="rId105" Target="https://doi.org/10.3758/s13423-013-0572-3" TargetMode="External" /><Relationship Type="http://schemas.openxmlformats.org/officeDocument/2006/relationships/hyperlink" Id="rId60" Target="https://doi.org/10.47102/annals-acadmedsg.2025104" TargetMode="External" /><Relationship Type="http://schemas.openxmlformats.org/officeDocument/2006/relationships/hyperlink" Id="rId89" Target="https://doi.org/10.48550/ARXIV.2011.01808" TargetMode="External" /><Relationship Type="http://schemas.openxmlformats.org/officeDocument/2006/relationships/hyperlink" Id="rId54" Target="https://doi.org/doi:10.1289/EHP6803" TargetMode="External" /><Relationship Type="http://schemas.openxmlformats.org/officeDocument/2006/relationships/hyperlink" Id="rId109" Target="https://doi.org/doi:10.1289/ehp.1307420" TargetMode="External" /><Relationship Type="http://schemas.openxmlformats.org/officeDocument/2006/relationships/hyperlink" Id="rId68" Target="https://doi.org/doi:10.1289/ehp.7625" TargetMode="External" /><Relationship Type="http://schemas.openxmlformats.org/officeDocument/2006/relationships/hyperlink" Id="rId119" Target="https://doi.org/doi:10.1289/ehp.7688" TargetMode="External" /><Relationship Type="http://schemas.openxmlformats.org/officeDocument/2006/relationships/hyperlink" Id="rId26" Target="https://github.com/PaulinaSell/lead-IQ_meta-analysis" TargetMode="External" /><Relationship Type="http://schemas.openxmlformats.org/officeDocument/2006/relationships/hyperlink" Id="rId21" Target="https://www.eu-parc.eu" TargetMode="External" /><Relationship Type="http://schemas.openxmlformats.org/officeDocument/2006/relationships/hyperlink" Id="rId12"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comparison of Bayesian and frequentist meta-analytic frameworks applied to lead exposure and children’s IQ</dc:title>
  <dc:creator>Paulina Sell1,✉, Margaux Sanchez2, Philippe Palmont2, Simon Steiger3, and Dietrich Plass1</dc:creator>
  <cp:keywords/>
  <dcterms:created xsi:type="dcterms:W3CDTF">2026-04-14T12:21:37Z</dcterms:created>
  <dcterms:modified xsi:type="dcterms:W3CDTF">2026-04-14T12:21:37Z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elsevier-harvard.csl</vt:lpwstr>
  </property>
  <property fmtid="{D5CDD505-2E9C-101B-9397-08002B2CF9AE}" pid="8" name="date-format">
    <vt:lpwstr>D MMMM YYYY</vt:lpwstr>
  </property>
  <property fmtid="{D5CDD505-2E9C-101B-9397-08002B2CF9AE}" pid="9" name="date-modified">
    <vt:lpwstr>14 April 2026</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out-width">
    <vt:lpwstr>40%</vt:lpwstr>
  </property>
  <property fmtid="{D5CDD505-2E9C-101B-9397-08002B2CF9AE}" pid="16" name="reference-section-title">
    <vt:lpwstr>References</vt:lpwstr>
  </property>
  <property fmtid="{D5CDD505-2E9C-101B-9397-08002B2CF9AE}" pid="17" name="toc-title">
    <vt:lpwstr>Table of contents</vt:lpwstr>
  </property>
</Properties>
</file>