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9.png" ContentType="image/png"/>
  <Override PartName="/word/media/rId52.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Lead exposure and IQ loss in children: a Bayesian and frequentist meta-analysis of recent epidemiological studies</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Paulina Sell &lt;paulina.sell@uba.de&gt;</w:t>
        </w:r>
      </w:hyperlink>
    </w:p>
    <w:bookmarkStart w:id="24" w:name="notes"/>
    <w:p>
      <w:pPr>
        <w:pStyle w:val="Heading1"/>
      </w:pPr>
      <w:r>
        <w:t xml:space="preserve">Notes</w:t>
      </w:r>
    </w:p>
    <w:p>
      <w:pPr>
        <w:pStyle w:val="Compact"/>
        <w:numPr>
          <w:ilvl w:val="0"/>
          <w:numId w:val="1001"/>
        </w:numPr>
      </w:pPr>
      <w:r>
        <w:t xml:space="preserve">Journal:</w:t>
      </w:r>
      <w:r>
        <w:t xml:space="preserve"> </w:t>
      </w:r>
      <w:hyperlink r:id="rId21">
        <w:r>
          <w:rPr>
            <w:rStyle w:val="Hyperlink"/>
          </w:rPr>
          <w:t xml:space="preserve">Population Health Metrics, BMC</w:t>
        </w:r>
      </w:hyperlink>
    </w:p>
    <w:p>
      <w:pPr>
        <w:pStyle w:val="Compact"/>
        <w:numPr>
          <w:ilvl w:val="0"/>
          <w:numId w:val="1001"/>
        </w:numPr>
      </w:pPr>
      <w:r>
        <w:t xml:space="preserve">Using</w:t>
      </w:r>
      <w:r>
        <w:t xml:space="preserve"> </w:t>
      </w:r>
      <w:hyperlink r:id="rId22">
        <w:r>
          <w:rPr>
            <w:rStyle w:val="Hyperlink"/>
          </w:rPr>
          <w:t xml:space="preserve">PRISMA 2020 checklist</w:t>
        </w:r>
      </w:hyperlink>
      <w:r>
        <w:t xml:space="preserve"> </w:t>
      </w:r>
      <w:r>
        <w:t xml:space="preserve">for structure</w:t>
      </w:r>
    </w:p>
    <w:p>
      <w:pPr>
        <w:pStyle w:val="Compact"/>
        <w:numPr>
          <w:ilvl w:val="0"/>
          <w:numId w:val="1001"/>
        </w:numPr>
      </w:pPr>
      <w:r>
        <w:t xml:space="preserve">Using</w:t>
      </w:r>
      <w:r>
        <w:t xml:space="preserve"> </w:t>
      </w:r>
      <w:hyperlink r:id="rId23">
        <w:r>
          <w:rPr>
            <w:rStyle w:val="Hyperlink"/>
          </w:rPr>
          <w:t xml:space="preserve">raRoB tool</w:t>
        </w:r>
      </w:hyperlink>
      <w:r>
        <w:t xml:space="preserve"> </w:t>
      </w:r>
      <w:r>
        <w:t xml:space="preserve">for Risk of Bias Assessment</w:t>
      </w:r>
    </w:p>
    <w:bookmarkEnd w:id="24"/>
    <w:bookmarkStart w:id="25" w:name="abstract"/>
    <w:p>
      <w:pPr>
        <w:pStyle w:val="Heading1"/>
      </w:pPr>
      <w:r>
        <w:t xml:space="preserve">Abstract</w:t>
      </w:r>
    </w:p>
    <w:p>
      <w:r>
        <w:br w:type="page"/>
      </w:r>
    </w:p>
    <w:bookmarkEnd w:id="25"/>
    <w:bookmarkStart w:id="27"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human blood</w:t>
      </w:r>
      <w:r>
        <w:t xml:space="preserve"> </w:t>
      </w:r>
      <w:r>
        <w:t xml:space="preserve">(1,2)</w:t>
      </w:r>
      <w:r>
        <w:t xml:space="preserve">.</w:t>
      </w:r>
      <w:r>
        <w:t xml:space="preserve"> </w:t>
      </w:r>
      <w:r>
        <w:t xml:space="preserve">In Europe, primary exposure sources include dietary products, drinking water, and indoor dust</w:t>
      </w:r>
      <w:r>
        <w:t xml:space="preserve"> </w:t>
      </w:r>
      <w:r>
        <w:t xml:space="preserve">(3,4)</w:t>
      </w:r>
      <w:r>
        <w:t xml:space="preserve">.</w:t>
      </w:r>
      <w:r>
        <w:t xml:space="preserve"> </w:t>
      </w:r>
      <w:r>
        <w:t xml:space="preserve">The most recent Global Burden of Disease study estimated that in 2023, 3.4 million (95% Uncertainty Interval (UI): 2.7; 4.0 million) Disability-Adjusted Life Years (DALYs) were attributable to lead exposure in the European Union (EU)</w:t>
      </w:r>
      <w:r>
        <w:t xml:space="preserve"> </w:t>
      </w:r>
      <w:r>
        <w:t xml:space="preserve">(5)</w:t>
      </w:r>
      <w:r>
        <w:t xml:space="preserve">.</w:t>
      </w:r>
      <w:r>
        <w:t xml:space="preserve"> </w:t>
      </w:r>
      <w:r>
        <w:t xml:space="preserve">This highlights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(6)</w:t>
      </w:r>
      <w:r>
        <w:t xml:space="preserve">,</w:t>
      </w:r>
      <w:r>
        <w:t xml:space="preserve"> </w:t>
      </w:r>
      <w:r>
        <w:t xml:space="preserve">liver disease</w:t>
      </w:r>
      <w:r>
        <w:t xml:space="preserve"> </w:t>
      </w:r>
      <w:r>
        <w:t xml:space="preserve">(7)</w:t>
      </w:r>
      <w:r>
        <w:t xml:space="preserve">,</w:t>
      </w:r>
      <w:r>
        <w:t xml:space="preserve"> </w:t>
      </w:r>
      <w:r>
        <w:t xml:space="preserve">coronary artery atherosclerosis</w:t>
      </w:r>
      <w:r>
        <w:t xml:space="preserve"> </w:t>
      </w:r>
      <w:r>
        <w:t xml:space="preserve">(8)</w:t>
      </w:r>
      <w:r>
        <w:t xml:space="preserve">,</w:t>
      </w:r>
      <w:r>
        <w:t xml:space="preserve"> </w:t>
      </w:r>
      <w:r>
        <w:t xml:space="preserve">cardiovascular mortality</w:t>
      </w:r>
      <w:r>
        <w:t xml:space="preserve"> </w:t>
      </w:r>
      <w:r>
        <w:t xml:space="preserve">(9)</w:t>
      </w:r>
      <w:r>
        <w:t xml:space="preserve">,</w:t>
      </w:r>
      <w:r>
        <w:t xml:space="preserve"> </w:t>
      </w:r>
      <w:r>
        <w:t xml:space="preserve">infertility in women</w:t>
      </w:r>
      <w:r>
        <w:t xml:space="preserve"> </w:t>
      </w:r>
      <w:r>
        <w:t xml:space="preserve">(10)</w:t>
      </w:r>
      <w:r>
        <w:t xml:space="preserve">,</w:t>
      </w:r>
      <w:r>
        <w:t xml:space="preserve"> </w:t>
      </w:r>
      <w:r>
        <w:t xml:space="preserve">attention-deficit/hyperactivity disorder in children</w:t>
      </w:r>
      <w:r>
        <w:t xml:space="preserve"> </w:t>
      </w:r>
      <w:r>
        <w:t xml:space="preserve">(11)</w:t>
      </w:r>
      <w:r>
        <w:t xml:space="preserve">, and</w:t>
      </w:r>
      <w:r>
        <w:t xml:space="preserve"> </w:t>
      </w:r>
      <w:r>
        <w:t xml:space="preserve">antisocial behavior</w:t>
      </w:r>
      <w:r>
        <w:t xml:space="preserve"> </w:t>
      </w:r>
      <w:r>
        <w:t xml:space="preserve">(12)</w:t>
      </w:r>
      <w:r>
        <w:t xml:space="preserve">.</w:t>
      </w:r>
      <w:r>
        <w:t xml:space="preserve"> </w:t>
      </w:r>
      <w:r>
        <w:t xml:space="preserve">Among these endpoints, impaired cognitive development in children — manifested as reduced IQ scores —</w:t>
      </w:r>
      <w:r>
        <w:t xml:space="preserve"> </w:t>
      </w:r>
      <w:r>
        <w:t xml:space="preserve">(13–16)</w:t>
      </w:r>
      <w:r>
        <w:t xml:space="preserve"> </w:t>
      </w:r>
      <w:r>
        <w:t xml:space="preserve">represents a particularly critical endpoint for public health policy.</w:t>
      </w:r>
      <w:r>
        <w:t xml:space="preserve"> </w:t>
      </w:r>
      <w:r>
        <w:t xml:space="preserve">Children are especially vulnerable to lead’s neurotoxic effects due to their developing nervous systems and relatively high exposure per body mass.</w:t>
      </w:r>
      <w:r>
        <w:t xml:space="preserve"> </w:t>
      </w:r>
      <w:r>
        <w:t xml:space="preserve">Because lead-associated IQ decrements are irreversible and persist throughout life, they lead to substantial and enduring societal costs</w:t>
      </w:r>
      <w:r>
        <w:t xml:space="preserve"> </w:t>
      </w:r>
      <w:r>
        <w:t xml:space="preserve">(17)</w:t>
      </w:r>
      <w:r>
        <w:t xml:space="preserve">, making continued efforts to accurately characterize the exposure-response relationship important for evidence-based policy.</w:t>
      </w:r>
    </w:p>
    <w:p>
      <w:pPr>
        <w:pStyle w:val="BodyText"/>
      </w:pPr>
      <w:r>
        <w:t xml:space="preserve">Contemporary blood lead levels (BLL) in the EU have declined markedly and now predominantly fall below 5 µg/dL (</w:t>
      </w:r>
      <w:hyperlink r:id="rId26">
        <w:r>
          <w:rPr>
            <w:rStyle w:val="Hyperlink"/>
          </w:rPr>
          <w:t xml:space="preserve">HBM4EU Dashboard</w:t>
        </w:r>
      </w:hyperlink>
      <w:r>
        <w:t xml:space="preserve">), well below the concentrations examined in many earlier studies (&lt;10 µg/dL).</w:t>
      </w:r>
      <w:r>
        <w:t xml:space="preserve"> </w:t>
      </w:r>
      <w:r>
        <w:t xml:space="preserve">Importantly, there is no evidence for a threshold concentration below which the effects of lead on the IQ can be assumed to be negligible</w:t>
      </w:r>
      <w:r>
        <w:t xml:space="preserve"> </w:t>
      </w:r>
      <w:r>
        <w:t xml:space="preserve">(18,19)</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(16,20)</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(5,17,21–23)</w:t>
      </w:r>
      <w:r>
        <w:t xml:space="preserve"> </w:t>
      </w:r>
      <w:r>
        <w:t xml:space="preserve">have predominantly relied on the foundational study by Lanphear et al. (2005), a pooled analysis of seven cohort-studies, or subsequent re-analyses of the same data</w:t>
      </w:r>
      <w:r>
        <w:t xml:space="preserve"> </w:t>
      </w:r>
      <w:r>
        <w:t xml:space="preserve">(16,24)</w:t>
      </w:r>
      <w:r>
        <w:t xml:space="preserve">.</w:t>
      </w:r>
      <w:r>
        <w:t xml:space="preserve"> </w:t>
      </w:r>
      <w:r>
        <w:t xml:space="preserve">While this landmark studies has substantially shaped research and policy on childhood lead exposure, methodological issues and errors have been raised</w:t>
      </w:r>
      <w:r>
        <w:t xml:space="preserve"> </w:t>
      </w:r>
      <w:r>
        <w:t xml:space="preserve">(24,25)</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for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(26)</w:t>
      </w:r>
      <w:r>
        <w:t xml:space="preserve">.</w:t>
      </w:r>
      <w:r>
        <w:t xml:space="preserve"> </w:t>
      </w:r>
      <w:r>
        <w:t xml:space="preserve">Unlike frequentist confidence intervals, which are often misinterpreted as probabilistic</w:t>
      </w:r>
      <w:r>
        <w:t xml:space="preserve"> </w:t>
      </w:r>
      <w:r>
        <w:t xml:space="preserve">(27)</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will explore how inferential framework and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blood lead levels and IQ scores in children; and second, to conduct both a frequentist and Bayesian meta-analyses, comparing how these analytical frameworks influence exposure-response estimates, uncertainty characterization, and applicability to burden of disease and risk assessment.</w:t>
      </w:r>
    </w:p>
    <w:bookmarkEnd w:id="27"/>
    <w:bookmarkStart w:id="43" w:name="methods"/>
    <w:p>
      <w:pPr>
        <w:pStyle w:val="Heading1"/>
      </w:pPr>
      <w:r>
        <w:t xml:space="preserve">2. Methods</w:t>
      </w:r>
    </w:p>
    <w:p>
      <w:pPr>
        <w:pStyle w:val="Compact"/>
        <w:numPr>
          <w:ilvl w:val="0"/>
          <w:numId w:val="1002"/>
        </w:numPr>
      </w:pPr>
      <w:r>
        <w:t xml:space="preserve">Overview: systematic review and meta-analysis, comparing a frequentist to a Bayesian approach</w:t>
      </w:r>
    </w:p>
    <w:p>
      <w:pPr>
        <w:pStyle w:val="Compact"/>
        <w:numPr>
          <w:ilvl w:val="0"/>
          <w:numId w:val="1003"/>
        </w:numPr>
      </w:pPr>
      <w:r>
        <w:t xml:space="preserve">Inclusion &amp; exclusion criteria, databases, search strategy, screening process</w:t>
      </w:r>
    </w:p>
    <w:p>
      <w:pPr>
        <w:pStyle w:val="Compact"/>
        <w:numPr>
          <w:ilvl w:val="0"/>
          <w:numId w:val="1004"/>
        </w:numPr>
      </w:pPr>
      <w:r>
        <w:t xml:space="preserve">Risk of bias analysis method</w:t>
      </w:r>
    </w:p>
    <w:p>
      <w:pPr>
        <w:pStyle w:val="Compact"/>
        <w:numPr>
          <w:ilvl w:val="0"/>
          <w:numId w:val="1005"/>
        </w:numPr>
      </w:pPr>
      <w:r>
        <w:t xml:space="preserve">Description &amp; rationale of harmonization of reported effect measures</w:t>
      </w:r>
    </w:p>
    <w:p>
      <w:pPr>
        <w:pStyle w:val="Compact"/>
        <w:numPr>
          <w:ilvl w:val="0"/>
          <w:numId w:val="1006"/>
        </w:numPr>
      </w:pPr>
      <w:r>
        <w:t xml:space="preserve">Description of meta-analysis methodology (frequentist &amp; Bayesian), models and software used, heterogeneity identification, prior choice</w:t>
      </w:r>
    </w:p>
    <w:p>
      <w:pPr>
        <w:pStyle w:val="Compact"/>
        <w:numPr>
          <w:ilvl w:val="0"/>
          <w:numId w:val="1007"/>
        </w:numPr>
      </w:pPr>
      <w:r>
        <w:t xml:space="preserve">Sensitivity analysis</w:t>
      </w:r>
      <w:r>
        <w:br/>
      </w:r>
    </w:p>
    <w:bookmarkStart w:id="29"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(28)</w:t>
      </w:r>
      <w:r>
        <w:t xml:space="preserve">.</w:t>
      </w:r>
      <w:r>
        <w:t xml:space="preserve"> </w:t>
      </w:r>
      <w:r>
        <w:t xml:space="preserve">The checklist can be found in the supplementary file 1.</w:t>
      </w:r>
      <w:r>
        <w:t xml:space="preserve"> </w:t>
      </w:r>
      <w:r>
        <w:t xml:space="preserve">The reporting of the Bayesian methods and their results was guided by the Bayesian Analysis Reporting Guidelines (BARG)</w:t>
      </w:r>
      <w:r>
        <w:t xml:space="preserve"> </w:t>
      </w:r>
      <w:r>
        <w:t xml:space="preserve">(29)</w:t>
      </w:r>
      <w:r>
        <w:t xml:space="preserve">.</w:t>
      </w:r>
      <w:r>
        <w:br/>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 (</w:t>
      </w:r>
      <w:hyperlink r:id="rId28">
        <w:r>
          <w:rPr>
            <w:rStyle w:val="Hyperlink"/>
            <w:i/>
            <w:iCs/>
          </w:rPr>
          <w:t xml:space="preserve">PARC</w:t>
        </w:r>
      </w:hyperlink>
      <w:r>
        <w:rPr>
          <w:i/>
          <w:iCs/>
        </w:rPr>
        <w:t xml:space="preserve">)</w:t>
      </w:r>
      <w:r>
        <w:t xml:space="preserve">.</w:t>
      </w:r>
      <w:r>
        <w:t xml:space="preserve"> </w:t>
      </w:r>
      <w:r>
        <w:t xml:space="preserve">The literature review presented here was used in multiple studies within PARC, including one on the association of (methyl)mercury and lead on IQ loss for multiple exposure timeframes.</w:t>
      </w:r>
      <w:r>
        <w:t xml:space="preserve"> </w:t>
      </w:r>
      <w:r>
        <w:t xml:space="preserve">Here, we will only report results for concurrent lead exposure and IQ loss, but the figures and tables documenting the literature review do contain parts of the search for other associations and exposure timeframes.</w:t>
      </w:r>
      <w:r>
        <w:br/>
      </w:r>
      <w:r>
        <w:t xml:space="preserve">We searched for articles published between January 2005 and July 2023.</w:t>
      </w:r>
      <w:r>
        <w:t xml:space="preserve"> </w:t>
      </w:r>
      <w:r>
        <w:t xml:space="preserve">The year 2005 was chosen because, as described in the background section, burden of disease studies predominantely used a study published in 2005</w:t>
      </w:r>
      <w:r>
        <w:t xml:space="preserve"> </w:t>
      </w:r>
      <w:r>
        <w:t xml:space="preserve">(16)</w:t>
      </w:r>
      <w:r>
        <w:t xml:space="preserve"> </w:t>
      </w:r>
      <w:r>
        <w:t xml:space="preserve">and we aimed at updating the evidence base with recently published studies.</w:t>
      </w:r>
      <w:r>
        <w:t xml:space="preserve"> </w:t>
      </w:r>
      <w:r>
        <w:t xml:space="preserve">Also, lead concentrations have decreased significantly in the past decades and we aimed at identifying epidemiological studies conducted in populations with currently relevant exposure levels.</w:t>
      </w:r>
      <w:r>
        <w:br/>
      </w:r>
      <w:r>
        <w:t xml:space="preserve">Search queries in Pubmed and Scopus included the following terms:</w:t>
      </w:r>
      <w:r>
        <w:t xml:space="preserve"> </w:t>
      </w:r>
      <w:r>
        <w:t xml:space="preserve">substance (Pb - including Mesh terms), outcome (IQ and neurodevelopment), population (children) and results (association, ERF) (Table 1).</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 text was then assessed by one reviewer.</w:t>
      </w:r>
      <w:r>
        <w:t xml:space="preserve"> </w:t>
      </w:r>
      <w:r>
        <w:t xml:space="preserve">Publications were considered relevant according to predefined PECOTS – Population (children aged 0 to 11), Exposure (biological measures of Pb from all matrices), Comparator (no exposure or lower levels of exposure), Outcome (IQ), Timing of exposure (no restriction) and Setting (no restriction) (Table 2).</w:t>
      </w:r>
      <w:r>
        <w:t xml:space="preserve"> </w:t>
      </w:r>
      <w:r>
        <w:t xml:space="preserve">We excluded reviews and background articles that inventoried the literature with no new results.</w:t>
      </w:r>
      <w:r>
        <w:t xml:space="preserve"> </w:t>
      </w:r>
      <w:r>
        <w:t xml:space="preserve">We also excluded references written in languages other than English.</w:t>
      </w:r>
      <w:r>
        <w:br/>
      </w:r>
      <w:r>
        <w:t xml:space="preserve">As described above, the literature review was conducted with as the basis for multiple studies and thus had a larger scope.</w:t>
      </w:r>
      <w:r>
        <w:t xml:space="preserve"> </w:t>
      </w:r>
      <w:r>
        <w:t xml:space="preserve">For this study, only studies that used a continuous, log-transformed BLL scale were included, so that effect estimates could be harmonized.</w:t>
      </w:r>
      <w:r>
        <w:t xml:space="preserve"> </w:t>
      </w:r>
      <w:r>
        <w:t xml:space="preserve">The exposure timeframe for this study was restricted to concurrent, meaning that IQ and BLL measurement must be conducted at the same time.</w:t>
      </w:r>
      <w:r>
        <w:t xml:space="preserve"> </w:t>
      </w:r>
      <w:r>
        <w:t xml:space="preserve">Descriptive study data was extracted using a grid based on the one proposed by NTP OHAT</w:t>
      </w:r>
      <w:r>
        <w:t xml:space="preserve"> </w:t>
      </w:r>
      <w:r>
        <w:t xml:space="preserve">(30)</w:t>
      </w:r>
      <w:r>
        <w:t xml:space="preserve">.</w:t>
      </w:r>
      <w:r>
        <w:t xml:space="preserve"> </w:t>
      </w:r>
      <w:r>
        <w:t xml:space="preserve">For all included studies, effect estimates from the most-adjusted model were extracted and the set of confounders adjused for recorded.</w:t>
      </w:r>
    </w:p>
    <w:bookmarkEnd w:id="29"/>
    <w:bookmarkStart w:id="30"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(31)</w:t>
      </w:r>
      <w:r>
        <w:t xml:space="preserve">.</w:t>
      </w:r>
      <w:r>
        <w:t xml:space="preserve"> </w:t>
      </w:r>
      <w:r>
        <w:t xml:space="preserve">Each included publication was assessed for RoB in the domains selection, exposure, outcome, confounding, follow-up, analysis, and selective reporting.</w:t>
      </w:r>
      <w:r>
        <w:t xml:space="preserve"> </w:t>
      </w:r>
      <w:r>
        <w:t xml:space="preserve">In total, 15 items were evaluated for each study.</w:t>
      </w:r>
      <w:r>
        <w:t xml:space="preserve"> </w:t>
      </w:r>
      <w:r>
        <w:t xml:space="preserve">The overall RoB for each individual study was then categorized by one researcher as either low, moderate or high, following two different summary metrics provided by the RoB tool (for more information, see</w:t>
      </w:r>
      <w:r>
        <w:t xml:space="preserve"> </w:t>
      </w:r>
      <w:r>
        <w:t xml:space="preserve">(31)</w:t>
      </w:r>
      <w:r>
        <w:t xml:space="preserve">).</w:t>
      </w:r>
      <w:r>
        <w:t xml:space="preserve"> </w:t>
      </w:r>
      <w:r>
        <w:t xml:space="preserve">Each publication was first assessed by one researcher.</w:t>
      </w:r>
      <w:r>
        <w:t xml:space="preserve"> </w:t>
      </w:r>
      <w:r>
        <w:t xml:space="preserve">Subsequently, consensus with a large language model (LLM) was sought.</w:t>
      </w:r>
      <w:r>
        <w:t xml:space="preserve"> </w:t>
      </w:r>
      <w:r>
        <w:t xml:space="preserve">This was done by uploading the list of all raRoB items along with the respective publication.</w:t>
      </w:r>
      <w:r>
        <w:t xml:space="preserve"> </w:t>
      </w:r>
      <w:r>
        <w:t xml:space="preserve">Then, the LLM was promted to assess the study, using the raRoB items and possible answer categories.</w:t>
      </w:r>
      <w:r>
        <w:t xml:space="preserve"> </w:t>
      </w:r>
      <w:r>
        <w:t xml:space="preserve">If there were any deviations in the judgement of the researcher and the LLM, the respective item was revisited by the researcher and they made the final decision.</w:t>
      </w:r>
    </w:p>
    <w:bookmarkEnd w:id="30"/>
    <w:bookmarkStart w:id="32" w:name="harmonization-of-effect-estimates"/>
    <w:p>
      <w:pPr>
        <w:pStyle w:val="Heading2"/>
      </w:pPr>
      <w:r>
        <w:t xml:space="preserve">2.3 Harmonization of Effect Estimates</w:t>
      </w:r>
    </w:p>
    <w:p>
      <w:pPr>
        <w:pStyle w:val="FirstParagraph"/>
      </w:pPr>
      <w:r>
        <w:t xml:space="preserve">Studies investigating the association between lead exposure and IQ in children have made different assumptions regarding the shape of the exposure-response relationship.</w:t>
      </w:r>
      <w:r>
        <w:t xml:space="preserve"> </w:t>
      </w:r>
      <w:r>
        <w:t xml:space="preserve">While some studies assume a linear relationship</w:t>
      </w:r>
      <w:r>
        <w:t xml:space="preserve"> </w:t>
      </w:r>
      <w:r>
        <w:t xml:space="preserve">(32,33)</w:t>
      </w:r>
      <w:r>
        <w:t xml:space="preserve">, this assumption may only be valid at very low concentrations</w:t>
      </w:r>
      <w:r>
        <w:t xml:space="preserve"> </w:t>
      </w:r>
      <w:r>
        <w:t xml:space="preserve">(24)</w:t>
      </w:r>
      <w:r>
        <w:t xml:space="preserve">.</w:t>
      </w:r>
      <w:r>
        <w:t xml:space="preserve"> </w:t>
      </w:r>
      <w:r>
        <w:t xml:space="preserve">Studies that tested multiple shapes of the exposure-response function have concluded that a log-linear relationship, where BLL are logarithmically transformed, provides a more appropriate model</w:t>
      </w:r>
      <w:r>
        <w:t xml:space="preserve"> </w:t>
      </w:r>
      <w:r>
        <w:t xml:space="preserve">(24,34)</w:t>
      </w:r>
      <w:r>
        <w:t xml:space="preserve">.</w:t>
      </w:r>
    </w:p>
    <w:p>
      <w:pPr>
        <w:pStyle w:val="BodyText"/>
      </w:pPr>
      <w:r>
        <w:t xml:space="preserve">The general form of regression model used for a log-linear association is:</w:t>
      </w:r>
    </w:p>
    <w:p>
      <w:pPr>
        <w:pStyle w:val="BodyText"/>
      </w:pPr>
      <w:bookmarkStart w:id="31" w:name="eq-regression-model"/>
      <m:oMathPara>
        <m:oMathParaPr>
          <m:jc m:val="center"/>
        </m:oMathParaPr>
        <m:oMath>
          <m:r>
            <m:t>y</m:t>
          </m:r>
          <m:r>
            <m:rPr>
              <m:sty m:val="p"/>
            </m:rPr>
            <m:t>=</m:t>
          </m:r>
          <m:r>
            <m:t>α</m:t>
          </m:r>
          <m:r>
            <m:rPr>
              <m:sty m:val="p"/>
            </m:rPr>
            <m:t>+</m:t>
          </m:r>
          <m:r>
            <m:t>β</m:t>
          </m:r>
          <m:r>
            <m:rPr>
              <m:sty m:val="p"/>
            </m:rPr>
            <m:t>⋅</m:t>
          </m:r>
          <m:r>
            <m:t>l</m:t>
          </m:r>
          <m:r>
            <m:t>o</m:t>
          </m:r>
          <m:sSub>
            <m:e>
              <m:r>
                <m:t>g</m:t>
              </m:r>
            </m:e>
            <m:sub>
              <m:r>
                <m:t>b</m:t>
              </m:r>
            </m:sub>
          </m:sSub>
          <m:d>
            <m:dPr>
              <m:begChr m:val="("/>
              <m:sepChr m:val=""/>
              <m:endChr m:val=")"/>
              <m:grow/>
            </m:dPr>
            <m:e>
              <m:r>
                <m:t>X</m:t>
              </m:r>
            </m:e>
          </m:d>
          <m:r>
            <m:rPr>
              <m:sty m:val="p"/>
            </m:rPr>
            <m:t>+</m:t>
          </m:r>
          <m:r>
            <m:t>ε</m:t>
          </m:r>
          <m:r>
            <m:t>  </m:t>
          </m:r>
          <m:d>
            <m:dPr>
              <m:begChr m:val="("/>
              <m:sepChr m:val=""/>
              <m:endChr m:val=")"/>
              <m:grow/>
            </m:dPr>
            <m:e>
              <m:r>
                <m:t>1</m:t>
              </m:r>
            </m:e>
          </m:d>
        </m:oMath>
      </m:oMathPara>
      <w:bookmarkEnd w:id="31"/>
    </w:p>
    <w:p>
      <w:pPr>
        <w:pStyle w:val="FirstParagraph"/>
      </w:pPr>
      <w:r>
        <w:t xml:space="preserve">Where</w:t>
      </w:r>
      <w:r>
        <w:t xml:space="preserve"> </w:t>
      </w:r>
      <m:oMath>
        <m:r>
          <m:t>y</m:t>
        </m:r>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the natural logarithm (</w:t>
      </w:r>
      <m:oMath>
        <m:sSub>
          <m:e>
            <m:r>
              <m:rPr>
                <m:sty m:val="p"/>
              </m:rPr>
              <m:t>log</m:t>
            </m:r>
          </m:e>
          <m:sub>
            <m:r>
              <m:t>e</m:t>
            </m:r>
          </m:sub>
        </m:sSub>
      </m:oMath>
      <w:r>
        <w:t xml:space="preserve">​ where</w:t>
      </w:r>
      <w:r>
        <w:t xml:space="preserve"> </w:t>
      </w:r>
      <m:oMath>
        <m:r>
          <m:t>e</m:t>
        </m:r>
        <m:r>
          <m:rPr>
            <m:sty m:val="p"/>
          </m:rPr>
          <m:t>≈</m:t>
        </m:r>
        <m:r>
          <m:t>2.71828</m:t>
        </m:r>
      </m:oMath>
      <w:r>
        <w:t xml:space="preserve">), base 2, and base 10.</w:t>
      </w:r>
      <w:r>
        <w:t xml:space="preserve"> </w:t>
      </w:r>
      <w:r>
        <w:t xml:space="preserve">To enable pooling of the effect estimates, we harmonized all regression coefficients and their standard error (SE) to the natural logarithm scale (</w:t>
      </w:r>
      <m:oMath>
        <m:sSub>
          <m:e>
            <m:r>
              <m:rPr>
                <m:sty m:val="p"/>
              </m:rPr>
              <m:t>log</m:t>
            </m:r>
          </m:e>
          <m:sub>
            <m:r>
              <m:t>e</m:t>
            </m:r>
          </m:sub>
        </m:sSub>
      </m:oMath>
      <w:r>
        <w:t xml:space="preserve">).</w:t>
      </w:r>
      <w:r>
        <w:t xml:space="preserve"> </w:t>
      </w:r>
      <w:r>
        <w:t xml:space="preserve">The calculations are documented in suppl. file 2 (Screening documentation excel)</w:t>
      </w:r>
      <w:r>
        <w:br/>
      </w:r>
      <w:r>
        <w:t xml:space="preserve">In some publications, the BLL scale was left untransformed, so on a linear scale.</w:t>
      </w:r>
      <w:r>
        <w:t xml:space="preserve"> </w:t>
      </w:r>
      <w:r>
        <w:t xml:space="preserve">These were excluded from the meta-analysis, as transformation of effect estimates for linear BLL to log-linear could not be justified based on visual inspection (supplement: plots?).</w:t>
      </w:r>
    </w:p>
    <w:bookmarkEnd w:id="32"/>
    <w:bookmarkStart w:id="39" w:name="meta-analysis-methodology"/>
    <w:p>
      <w:pPr>
        <w:pStyle w:val="Heading2"/>
      </w:pPr>
      <w:r>
        <w:t xml:space="preserve">2.4 Meta-Analysis Methodology</w:t>
      </w:r>
    </w:p>
    <w:p>
      <w:pPr>
        <w:pStyle w:val="FirstParagraph"/>
      </w:pPr>
      <w:r>
        <w:t xml:space="preserve">In order to quantitatively synthesize the available epidemiological literature on the association of children’s blood lead levels and IQ, we conducted a meta-analysis of the results, comparing a Bayesian to a frequentist approach.</w:t>
      </w:r>
      <w:r>
        <w:br/>
      </w:r>
      <w:r>
        <w:t xml:space="preserve">In both approaches, the same effect estimates from the identified publications were included and analogous models were chosen to enable comparison between the results.</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blood lead concentration (µg/dL).</w:t>
      </w:r>
      <w:r>
        <w:br/>
      </w:r>
      <w:r>
        <w:t xml:space="preserve">R version 4.4.2 (2024-10-31)</w:t>
      </w:r>
      <w:r>
        <w:t xml:space="preserve"> </w:t>
      </w:r>
      <w:r>
        <w:t xml:space="preserve">(35)</w:t>
      </w:r>
      <w:r>
        <w:t xml:space="preserve"> </w:t>
      </w:r>
      <w:r>
        <w:t xml:space="preserve">was used for all computations.</w:t>
      </w:r>
      <w:r>
        <w:t xml:space="preserve"> </w:t>
      </w:r>
      <w:r>
        <w:t xml:space="preserve">All computational code for this study is publicly available on</w:t>
      </w:r>
      <w:r>
        <w:t xml:space="preserve"> </w:t>
      </w:r>
      <w:hyperlink r:id="rId33">
        <w:r>
          <w:rPr>
            <w:rStyle w:val="Hyperlink"/>
          </w:rPr>
          <w:t xml:space="preserve">GitHub</w:t>
        </w:r>
      </w:hyperlink>
      <w:r>
        <w:t xml:space="preserve">.</w:t>
      </w:r>
    </w:p>
    <w:bookmarkStart w:id="35" w:name="bayesian-meta-analysis"/>
    <w:p>
      <w:pPr>
        <w:pStyle w:val="Heading3"/>
      </w:pPr>
      <w:r>
        <w:t xml:space="preserve">2.4.1 Bayesian Meta-Analysis</w:t>
      </w:r>
    </w:p>
    <w:p>
      <w:pPr>
        <w:pStyle w:val="FirstParagraph"/>
      </w:pPr>
      <w:r>
        <w:t xml:space="preserve">For the Bayesian approach, we employed a random-effects meta-analysis model with two hierarchical levels.</w:t>
      </w:r>
      <w:r>
        <w:t xml:space="preserve"> </w:t>
      </w:r>
      <w:r>
        <w:t xml:space="preserve">At the first level, the observed effect size from each study</w:t>
      </w:r>
      <w:r>
        <w:t xml:space="preserve"> </w:t>
      </w:r>
      <m:oMath>
        <m:sSub>
          <m:e>
            <m:acc>
              <m:accPr>
                <m:chr m:val="̂"/>
              </m:accPr>
              <m:e>
                <m:r>
                  <m:t>θ</m:t>
                </m:r>
              </m:e>
            </m:acc>
          </m:e>
          <m:sub>
            <m:r>
              <m:t>k</m:t>
            </m:r>
          </m:sub>
        </m:sSub>
      </m:oMath>
      <w:r>
        <w:t xml:space="preserve"> </w:t>
      </w:r>
      <w:r>
        <w:t xml:space="preserve">is modeled as an estimate of that study’s true underlying effect</w:t>
      </w:r>
      <w:r>
        <w:t xml:space="preserve"> </w:t>
      </w:r>
      <m:oMath>
        <m:sSub>
          <m:e>
            <m:r>
              <m:t>θ</m:t>
            </m:r>
          </m:e>
          <m:sub>
            <m:r>
              <m:t>k</m:t>
            </m:r>
          </m:sub>
        </m:sSub>
      </m:oMath>
      <w:r>
        <w:t xml:space="preserve">, with deviation from the true effect determined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At the second level, these study-specific true effects are themselves assumed to vary across studies following a normal distribution, characterized by an overall pooled effect</w:t>
      </w:r>
      <w:r>
        <w:t xml:space="preserve"> </w:t>
      </w:r>
      <m:oMath>
        <m:r>
          <m:t>μ</m:t>
        </m:r>
      </m:oMath>
      <w:r>
        <w:t xml:space="preserve"> </w:t>
      </w:r>
      <w:r>
        <w:t xml:space="preserve">and between-study standard deviation (heterogeneity)</w:t>
      </w:r>
      <w:r>
        <w:t xml:space="preserve"> </w:t>
      </w:r>
      <m:oMath>
        <m:r>
          <m:t>τ</m:t>
        </m:r>
      </m:oMath>
      <w:r>
        <w:t xml:space="preserve">.</w:t>
      </w:r>
    </w:p>
    <w:p>
      <w:pPr>
        <w:pStyle w:val="BodyText"/>
      </w:pPr>
      <w:bookmarkStart w:id="34" w:name="eq-model"/>
      <m:oMathPara>
        <m:oMathParaPr>
          <m:jc m:val="center"/>
        </m:oMathParaPr>
        <m:oMath>
          <m:m>
            <m:mPr>
              <m:baseJc m:val="center"/>
              <m:plcHide m:val="on"/>
              <m:mcs>
                <m:mc>
                  <m:mcPr>
                    <m:mcJc m:val="right"/>
                    <m:count m:val="1"/>
                  </m:mcPr>
                </m:mc>
                <m:mc>
                  <m:mcPr>
                    <m:mcJc m:val="left"/>
                    <m:count m:val="1"/>
                  </m:mcPr>
                </m:mc>
              </m:mcs>
            </m:mPr>
            <m:mr>
              <m:e>
                <m:sSub>
                  <m:e>
                    <m:acc>
                      <m:accPr>
                        <m:chr m:val="̂"/>
                      </m:accPr>
                      <m:e>
                        <m:r>
                          <m:t>θ</m:t>
                        </m:r>
                      </m:e>
                    </m:acc>
                  </m:e>
                  <m:sub>
                    <m:r>
                      <m:t>k</m:t>
                    </m:r>
                  </m:sub>
                </m:sSub>
              </m:e>
              <m:e>
                <m:r>
                  <m:rPr>
                    <m:sty m:val="p"/>
                  </m:rPr>
                  <m:t>∼</m:t>
                </m:r>
                <m:r>
                  <m:rPr>
                    <m:sty m:val="p"/>
                    <m:scr m:val="script"/>
                  </m:rPr>
                  <m:t>N</m:t>
                </m:r>
                <m:d>
                  <m:dPr>
                    <m:begChr m:val="("/>
                    <m:sepChr m:val=""/>
                    <m:endChr m:val=")"/>
                    <m:grow/>
                  </m:dPr>
                  <m:e>
                    <m:sSub>
                      <m:e>
                        <m:r>
                          <m:t>θ</m:t>
                        </m:r>
                      </m:e>
                      <m:sub>
                        <m:r>
                          <m:t>k</m:t>
                        </m:r>
                      </m:sub>
                    </m:sSub>
                    <m:r>
                      <m:rPr>
                        <m:sty m:val="p"/>
                      </m:rPr>
                      <m:t>,</m:t>
                    </m:r>
                    <m:sSub>
                      <m:e>
                        <m:r>
                          <m:t>σ</m:t>
                        </m:r>
                      </m:e>
                      <m:sub>
                        <m:r>
                          <m:t>k</m:t>
                        </m:r>
                      </m:sub>
                    </m:sSub>
                  </m:e>
                </m:d>
              </m:e>
            </m:mr>
            <m:mr>
              <m:e>
                <m:sSub>
                  <m:e>
                    <m:r>
                      <m:t>θ</m:t>
                    </m:r>
                  </m:e>
                  <m:sub>
                    <m:r>
                      <m:t>k</m:t>
                    </m:r>
                  </m:sub>
                </m:sSub>
              </m:e>
              <m:e>
                <m:r>
                  <m:rPr>
                    <m:sty m:val="p"/>
                  </m:rPr>
                  <m:t>∼</m:t>
                </m:r>
                <m:r>
                  <m:rPr>
                    <m:sty m:val="p"/>
                    <m:scr m:val="script"/>
                  </m:rPr>
                  <m:t>N</m:t>
                </m:r>
                <m:d>
                  <m:dPr>
                    <m:begChr m:val="("/>
                    <m:sepChr m:val=""/>
                    <m:endChr m:val=")"/>
                    <m:grow/>
                  </m:dPr>
                  <m:e>
                    <m:r>
                      <m:t>μ</m:t>
                    </m:r>
                    <m:r>
                      <m:rPr>
                        <m:sty m:val="p"/>
                      </m:rPr>
                      <m:t>,</m:t>
                    </m:r>
                    <m:r>
                      <m:t>τ</m:t>
                    </m:r>
                  </m:e>
                </m:d>
              </m:e>
            </m:mr>
            <m:mr>
              <m:e/>
            </m:mr>
          </m:m>
          <m:r>
            <m:t>  </m:t>
          </m:r>
          <m:d>
            <m:dPr>
              <m:begChr m:val="("/>
              <m:sepChr m:val=""/>
              <m:endChr m:val=")"/>
              <m:grow/>
            </m:dPr>
            <m:e>
              <m:r>
                <m:t>2</m:t>
              </m:r>
            </m:e>
          </m:d>
        </m:oMath>
      </m:oMathPara>
      <w:bookmarkEnd w:id="34"/>
    </w:p>
    <w:p>
      <w:pPr>
        <w:pStyle w:val="FirstParagraph"/>
      </w:pPr>
      <w:r>
        <w:t xml:space="preserve">Where:</w:t>
      </w:r>
      <w:r>
        <w:br/>
      </w:r>
      <m:oMath>
        <m:sSub>
          <m:e>
            <m:acc>
              <m:accPr>
                <m:chr m:val="̂"/>
              </m:accPr>
              <m:e>
                <m:r>
                  <m:t>θ</m:t>
                </m:r>
              </m:e>
            </m:acc>
          </m:e>
          <m:sub>
            <m:r>
              <m:t>k</m:t>
            </m:r>
          </m:sub>
        </m:sSub>
      </m:oMath>
      <w:r>
        <w:t xml:space="preserve"> </w:t>
      </w:r>
      <w:r>
        <w:t xml:space="preserve">= Observed effect size for study</w:t>
      </w:r>
      <w:r>
        <w:t xml:space="preserve"> </w:t>
      </w:r>
      <m:oMath>
        <m:r>
          <m:t>k</m:t>
        </m:r>
      </m:oMath>
      <w:r>
        <w:br/>
      </w:r>
      <m:oMath>
        <m:sSub>
          <m:e>
            <m:r>
              <m:t>σ</m:t>
            </m:r>
          </m:e>
          <m:sub>
            <m:r>
              <m:t>k</m:t>
            </m:r>
          </m:sub>
        </m:sSub>
      </m:oMath>
      <w:r>
        <w:t xml:space="preserve"> </w:t>
      </w:r>
      <w:r>
        <w:t xml:space="preserve">= Within-study sampling standard deviation for study</w:t>
      </w:r>
      <w:r>
        <w:t xml:space="preserve"> </w:t>
      </w:r>
      <m:oMath>
        <m:r>
          <m:t>k</m:t>
        </m:r>
      </m:oMath>
      <w:r>
        <w:br/>
      </w:r>
      <m:oMath>
        <m:sSub>
          <m:e>
            <m:r>
              <m:t>θ</m:t>
            </m:r>
          </m:e>
          <m:sub>
            <m:r>
              <m:t>k</m:t>
            </m:r>
          </m:sub>
        </m:sSub>
      </m:oMath>
      <w:r>
        <w:t xml:space="preserve"> </w:t>
      </w:r>
      <w:r>
        <w:t xml:space="preserve">= True underlying effect for study</w:t>
      </w:r>
      <w:r>
        <w:t xml:space="preserve"> </w:t>
      </w:r>
      <m:oMath>
        <m:r>
          <m:t>k</m:t>
        </m:r>
      </m:oMath>
      <w:r>
        <w:br/>
      </w:r>
      <m:oMath>
        <m:r>
          <m:t>μ</m:t>
        </m:r>
      </m:oMath>
      <w:r>
        <w:t xml:space="preserve"> </w:t>
      </w:r>
      <w:r>
        <w:t xml:space="preserve">= Overall pooled effect</w:t>
      </w:r>
      <w:r>
        <w:br/>
      </w:r>
      <m:oMath>
        <m:r>
          <m:t>τ</m:t>
        </m:r>
      </m:oMath>
      <w:r>
        <w:t xml:space="preserve"> </w:t>
      </w:r>
      <w:r>
        <w:t xml:space="preserve">= Between-study standard deviation (heterogeneity)</w:t>
      </w:r>
      <w:r>
        <w:br/>
      </w:r>
    </w:p>
    <w:p>
      <w:pPr>
        <w:pStyle w:val="BodyText"/>
      </w:pPr>
      <w:r>
        <w:t xml:space="preserve">The Bayesian model was fit using the R package</w:t>
      </w:r>
      <w:r>
        <w:t xml:space="preserve"> </w:t>
      </w:r>
      <w:r>
        <w:rPr>
          <w:rStyle w:val="VerbatimChar"/>
        </w:rPr>
        <w:t xml:space="preserve">brms</w:t>
      </w:r>
      <w:r>
        <w:t xml:space="preserve"> </w:t>
      </w:r>
      <w:r>
        <w:t xml:space="preserve">(36)</w:t>
      </w:r>
      <w:r>
        <w:t xml:space="preserve"> </w:t>
      </w:r>
      <w:r>
        <w:t xml:space="preserve">version 2.22.0.</w:t>
      </w:r>
      <w:r>
        <w:t xml:space="preserve"> </w:t>
      </w:r>
      <w:r>
        <w:t xml:space="preserve">Posterior draws were sampled using Markov chain Monte Carlo (MCMC) and the No-U-Turn sampler (NUTS)</w:t>
      </w:r>
      <w:r>
        <w:t xml:space="preserve"> </w:t>
      </w:r>
      <w:r>
        <w:t xml:space="preserve">(37)</w:t>
      </w:r>
      <w:r>
        <w:t xml:space="preserve">.</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the Gelman-Rubin statistic (</w:t>
      </w:r>
      <m:oMath>
        <m:acc>
          <m:accPr>
            <m:chr m:val="̂"/>
          </m:accPr>
          <m:e>
            <m:r>
              <m:t>R</m:t>
            </m:r>
          </m:e>
        </m:acc>
      </m:oMath>
      <w:r>
        <w:t xml:space="preserve">) and chain resolution was assessed using the effective sample size (ESS).</w:t>
      </w:r>
      <w:r>
        <w:t xml:space="preserve"> </w:t>
      </w:r>
      <w:r>
        <w:t xml:space="preserve">As shown in</w:t>
      </w:r>
      <w:r>
        <w:t xml:space="preserve"> </w:t>
      </w:r>
      <w:hyperlink w:anchor="eq-model">
        <w:r>
          <w:rPr>
            <w:rStyle w:val="Hyperlink"/>
          </w:rPr>
          <w:t xml:space="preserve">Equation 2</w:t>
        </w:r>
      </w:hyperlink>
      <w:r>
        <w:t xml:space="preserve">, heterogeneity</w:t>
      </w:r>
      <w:r>
        <w:t xml:space="preserve"> </w:t>
      </w:r>
      <m:oMath>
        <m:r>
          <m:t>τ</m:t>
        </m:r>
      </m:oMath>
      <w:r>
        <w:t xml:space="preserve"> </w:t>
      </w:r>
      <w:r>
        <w:t xml:space="preserve">was modelled as a parameter directly and</w:t>
      </w:r>
      <w:r>
        <w:t xml:space="preserve"> </w:t>
      </w:r>
      <m:oMath>
        <m:sSup>
          <m:e>
            <m:r>
              <m:t>I</m:t>
            </m:r>
          </m:e>
          <m:sup>
            <m:r>
              <m:t>2</m:t>
            </m:r>
          </m:sup>
        </m:sSup>
      </m:oMath>
      <w:r>
        <w:t xml:space="preserve"> </w:t>
      </w:r>
      <w:r>
        <w:t xml:space="preserve">was calculated using the typical within-study variance that is used in the frequentist approach so that it is comparable.</w:t>
      </w:r>
    </w:p>
    <w:bookmarkEnd w:id="35"/>
    <w:bookmarkStart w:id="37" w:name="priors"/>
    <w:p>
      <w:pPr>
        <w:pStyle w:val="Heading3"/>
      </w:pPr>
      <w:r>
        <w:t xml:space="preserve">2.4.2 Priors</w:t>
      </w:r>
    </w:p>
    <w:p>
      <w:pPr>
        <w:pStyle w:val="FirstParagraph"/>
      </w:pPr>
      <w:r>
        <w:t xml:space="preserve">In Bayesian statistics, prior knowledge or assumptions from previously published studies, domain knowledge or beliefs are updated by the newly observed data and together result in a posterior distribution.</w:t>
      </w:r>
      <w:r>
        <w:t xml:space="preserve"> </w:t>
      </w:r>
      <w:r>
        <w:t xml:space="preserve">Prior distributions must be chosen for all parameters to be estimated in the analysis, which in this case are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 conservative priors were chosen so that the posterior distributions are softly being bounded to a realistic range.</w:t>
      </w:r>
      <w:r>
        <w:t xml:space="preserve"> </w:t>
      </w:r>
      <w:r>
        <w:t xml:space="preserve">Because the unit scale of the included effect estimates was harmonized to IQ shift per unit increase in</w:t>
      </w:r>
      <w:r>
        <w:t xml:space="preserve"> </w:t>
      </w:r>
      <m:oMath>
        <m:sSub>
          <m:e>
            <m:r>
              <m:rPr>
                <m:sty m:val="p"/>
              </m:rPr>
              <m:t>log</m:t>
            </m:r>
          </m:e>
          <m:sub>
            <m:r>
              <m:t>e</m:t>
            </m:r>
          </m:sub>
        </m:sSub>
      </m:oMath>
      <w:r>
        <w:t xml:space="preserve">-transformed blood lead concentration (µg/dL), the priors will be specified on the same scale.</w:t>
      </w:r>
    </w:p>
    <w:p>
      <w:pPr>
        <w:pStyle w:val="BodyText"/>
      </w:pPr>
      <w:r>
        <w:t xml:space="preserve">For the overall pooled effect</w:t>
      </w:r>
      <w:r>
        <w:t xml:space="preserve"> </w:t>
      </w:r>
      <m:oMath>
        <m:r>
          <m:t>μ</m:t>
        </m:r>
      </m:oMath>
      <w:r>
        <w:t xml:space="preserve">, a normally distributed prior centered at -1 with a standard deviation (SD) of 2 was chosen.</w:t>
      </w:r>
      <w:r>
        <w:t xml:space="preserve"> </w:t>
      </w:r>
      <w:r>
        <w:t xml:space="preserve">This translates to the assumption that the overall pooled effect lies between -5 and 3 with about 95% probability.</w:t>
      </w:r>
      <w:r>
        <w:t xml:space="preserve"> </w:t>
      </w:r>
      <w:r>
        <w:t xml:space="preserve">The center point of the prior was chosen to be -1 because the negative effects of lead on the developing nervous system and its toxicological mechanisms of action are well established in the scientific literature</w:t>
      </w:r>
      <w:r>
        <w:t xml:space="preserve"> </w:t>
      </w:r>
      <w:r>
        <w:t xml:space="preserve">(18)</w:t>
      </w:r>
      <w:r>
        <w:t xml:space="preserve">.</w:t>
      </w:r>
      <w:r>
        <w:br/>
      </w:r>
      <w:r>
        <w:t xml:space="preserve">Since between-study standard deviation (heterogeneity)</w:t>
      </w:r>
      <w:r>
        <w:t xml:space="preserve"> </w:t>
      </w:r>
      <m:oMath>
        <m:r>
          <m:t>τ</m:t>
        </m:r>
      </m:oMath>
      <w:r>
        <w:t xml:space="preserve"> </w:t>
      </w:r>
      <w:r>
        <w:t xml:space="preserve">must by definition be positive, a truncated normal distribution centered at 0 with a SD of 2 was specified.</w:t>
      </w:r>
      <w:r>
        <w:t xml:space="preserve"> </w:t>
      </w:r>
      <w:r>
        <w:t xml:space="preserve">This translates to the assumption that</w:t>
      </w:r>
      <w:r>
        <w:t xml:space="preserve"> </w:t>
      </w:r>
      <m:oMath>
        <m:r>
          <m:t>τ</m:t>
        </m:r>
      </m:oMath>
      <w:r>
        <w:t xml:space="preserve"> </w:t>
      </w:r>
      <w:r>
        <w:t xml:space="preserve">is small, but due to its wide SD, the prior is still vague and thus weakly-informative.</w:t>
      </w:r>
      <w:r>
        <w:t xml:space="preserve"> </w:t>
      </w:r>
      <w:r>
        <w:t xml:space="preserve">In summary, the following priors were specified for the Bayesian model:</w:t>
      </w:r>
    </w:p>
    <w:p>
      <w:pPr>
        <w:pStyle w:val="BodyText"/>
      </w:pPr>
      <w:bookmarkStart w:id="36" w:name="eq-priors"/>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rPr>
                        <m:sty m:val="p"/>
                      </m:rPr>
                      <m:t>−</m:t>
                    </m:r>
                    <m:r>
                      <m:t>1</m:t>
                    </m:r>
                    <m:r>
                      <m:rPr>
                        <m:sty m:val="p"/>
                      </m:rPr>
                      <m:t>,</m:t>
                    </m:r>
                    <m:r>
                      <m:t>2</m:t>
                    </m:r>
                  </m:e>
                </m:d>
              </m:e>
            </m:mr>
            <m:mr>
              <m:e>
                <m:r>
                  <m:t>τ</m:t>
                </m:r>
              </m:e>
              <m:e>
                <m:r>
                  <m:rPr>
                    <m:sty m:val="p"/>
                  </m:rPr>
                  <m:t>∼</m:t>
                </m:r>
                <m:sSup>
                  <m:e>
                    <m:r>
                      <m:rPr>
                        <m:sty m:val="p"/>
                        <m:scr m:val="script"/>
                      </m:rPr>
                      <m:t>N</m:t>
                    </m:r>
                  </m:e>
                  <m:sup>
                    <m:r>
                      <m:rPr>
                        <m:sty m:val="p"/>
                        <m:scr m:val="script"/>
                      </m:rPr>
                      <m:t>+</m:t>
                    </m:r>
                  </m:sup>
                </m:sSup>
                <m:d>
                  <m:dPr>
                    <m:begChr m:val="("/>
                    <m:sepChr m:val=""/>
                    <m:endChr m:val=")"/>
                    <m:grow/>
                  </m:dPr>
                  <m:e>
                    <m:r>
                      <m:t>0</m:t>
                    </m:r>
                    <m:r>
                      <m:rPr>
                        <m:sty m:val="p"/>
                      </m:rPr>
                      <m:t>,</m:t>
                    </m:r>
                    <m:r>
                      <m:t>2</m:t>
                    </m:r>
                  </m:e>
                </m:d>
              </m:e>
            </m:mr>
          </m:m>
          <m:r>
            <m:t>  </m:t>
          </m:r>
          <m:d>
            <m:dPr>
              <m:begChr m:val="("/>
              <m:sepChr m:val=""/>
              <m:endChr m:val=")"/>
              <m:grow/>
            </m:dPr>
            <m:e>
              <m:r>
                <m:t>3</m:t>
              </m:r>
            </m:e>
          </m:d>
        </m:oMath>
      </m:oMathPara>
      <w:bookmarkEnd w:id="36"/>
    </w:p>
    <w:p>
      <w:pPr>
        <w:pStyle w:val="FirstParagraph"/>
      </w:pPr>
      <w:r>
        <w:t xml:space="preserve">Prior and posterior predictive checks were conducted using the</w:t>
      </w:r>
      <w:r>
        <w:t xml:space="preserve"> </w:t>
      </w:r>
      <w:r>
        <w:rPr>
          <w:rStyle w:val="VerbatimChar"/>
        </w:rPr>
        <w:t xml:space="preserve">bayesplot</w:t>
      </w:r>
      <w:r>
        <w:t xml:space="preserve"> </w:t>
      </w:r>
      <w:r>
        <w:t xml:space="preserve">package</w:t>
      </w:r>
      <w:r>
        <w:t xml:space="preserve"> </w:t>
      </w:r>
      <w:r>
        <w:t xml:space="preserve">(38)</w:t>
      </w:r>
      <w:r>
        <w:t xml:space="preserve"> </w:t>
      </w:r>
      <w:r>
        <w:t xml:space="preserve">to assess the appropriateness of the specified priors.</w:t>
      </w:r>
      <w:r>
        <w:t xml:space="preserve"> </w:t>
      </w:r>
      <w:r>
        <w:t xml:space="preserve">Additionally, a sensitivity analysis with alternatice priors was conduced, as described below.</w:t>
      </w:r>
    </w:p>
    <w:bookmarkEnd w:id="37"/>
    <w:bookmarkStart w:id="38" w:name="frequentist-meta-analysis"/>
    <w:p>
      <w:pPr>
        <w:pStyle w:val="Heading3"/>
      </w:pPr>
      <w:r>
        <w:t xml:space="preserve">2.4.3 Frequentist Meta-Analysis</w:t>
      </w:r>
    </w:p>
    <w:p>
      <w:pPr>
        <w:pStyle w:val="FirstParagraph"/>
      </w:pPr>
      <w:r>
        <w:t xml:space="preserve">For the frequentist meta-analysis we employed a random-effects model, assuming the same multilevel structure as for the Bayesian model</w:t>
      </w:r>
      <w:r>
        <w:t xml:space="preserve"> </w:t>
      </w:r>
      <w:hyperlink w:anchor="eq-model">
        <w:r>
          <w:rPr>
            <w:rStyle w:val="Hyperlink"/>
          </w:rPr>
          <w:t xml:space="preserve">Equation 2</w:t>
        </w:r>
      </w:hyperlink>
      <w:r>
        <w:t xml:space="preserve">.</w:t>
      </w:r>
      <w:r>
        <w:t xml:space="preserve"> </w:t>
      </w:r>
      <w:r>
        <w:t xml:space="preserve">Parameters were estimated via the restricted maximum-likelihood (REML) estimation from the R package</w:t>
      </w:r>
      <w:r>
        <w:t xml:space="preserve"> </w:t>
      </w:r>
      <w:r>
        <w:rPr>
          <w:rStyle w:val="VerbatimChar"/>
        </w:rPr>
        <w:t xml:space="preserve">metafor</w:t>
      </w:r>
      <w:r>
        <w:t xml:space="preserve"> </w:t>
      </w:r>
      <w:r>
        <w:t xml:space="preserve">version 4.8-0</w:t>
      </w:r>
      <w:r>
        <w:t xml:space="preserve"> </w:t>
      </w:r>
      <w:r>
        <w:t xml:space="preserve">(39)</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38"/>
    <w:bookmarkEnd w:id="39"/>
    <w:bookmarkStart w:id="42" w:name="sensitivity-analysis"/>
    <w:p>
      <w:pPr>
        <w:pStyle w:val="Heading2"/>
      </w:pPr>
      <w:r>
        <w:t xml:space="preserve">2.5 Sensitivity Analysis</w:t>
      </w:r>
    </w:p>
    <w:p>
      <w:pPr>
        <w:pStyle w:val="FirstParagraph"/>
      </w:pPr>
      <w:r>
        <w:t xml:space="preserve">We conducted two sets of sensitivity analyses.</w:t>
      </w:r>
      <w:r>
        <w:t xml:space="preserve"> </w:t>
      </w:r>
      <w:r>
        <w:t xml:space="preserve">To examine the sensitivity of the results to possibly biased study estimates, we ran both the frequentist and Bayesian models again twice, excluding (1) studies with a high RoB and (2) with a high or medium RoB.</w:t>
      </w:r>
    </w:p>
    <w:p>
      <w:pPr>
        <w:pStyle w:val="BodyText"/>
      </w:pPr>
      <w:r>
        <w:t xml:space="preserve">To examine the sensitivity of the results to the choice of prior distributions, we fit the Bayesian model again twice, with alternative priors for both the main effect (</w:t>
      </w:r>
      <m:oMath>
        <m:r>
          <m:t>μ</m:t>
        </m:r>
      </m:oMath>
      <w:r>
        <w:t xml:space="preserve">) and heterogeneity (</w:t>
      </w:r>
      <m:oMath>
        <m:r>
          <m:t>τ</m:t>
        </m:r>
      </m:oMath>
      <w:r>
        <w:t xml:space="preserve">).</w:t>
      </w:r>
      <w:r>
        <w:t xml:space="preserve"> </w:t>
      </w:r>
      <w:r>
        <w:t xml:space="preserve">The first set of priors was more informative (more narrow) than the main priors, with</w:t>
      </w:r>
      <w:r>
        <w:t xml:space="preserve">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w:t>
      </w:r>
      <w:r>
        <w:t xml:space="preserve"> </w:t>
      </w:r>
      <w:r>
        <w:t xml:space="preserve">The second set of priors was less informative (or broader) with</w:t>
      </w:r>
      <w:r>
        <w:t xml:space="preserve"> </w:t>
      </w:r>
      <m:oMath>
        <m:r>
          <m:t>μ</m:t>
        </m:r>
        <m:r>
          <m:rPr>
            <m:sty m:val="p"/>
          </m:rPr>
          <m:t>∼</m:t>
        </m:r>
        <m:r>
          <m:rPr>
            <m:sty m:val="p"/>
            <m:scr m:val="script"/>
          </m:rPr>
          <m:t>N</m:t>
        </m:r>
        <m:d>
          <m:dPr>
            <m:begChr m:val="("/>
            <m:sepChr m:val=""/>
            <m:endChr m:val=")"/>
            <m:grow/>
          </m:dPr>
          <m:e>
            <m:r>
              <m:t>0</m:t>
            </m:r>
            <m:r>
              <m:rPr>
                <m:sty m:val="p"/>
              </m:rPr>
              <m:t>,</m:t>
            </m:r>
            <m:r>
              <m:t>6</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w:t>
      </w:r>
      <w:r>
        <w:t xml:space="preserve"> </w:t>
      </w:r>
      <w:r>
        <w:t xml:space="preserve">Notice that for the main effect, we centered the broader prior around 0, giving equal weight to the probability of a protective and detrimental effect of lead.</w:t>
      </w:r>
    </w:p>
    <w:p>
      <w:pPr>
        <w:pStyle w:val="BodyText"/>
      </w:pPr>
      <w:r>
        <w:t xml:space="preserve">More informative priors (less conservative):</w:t>
      </w:r>
    </w:p>
    <w:p>
      <w:pPr>
        <w:pStyle w:val="BodyText"/>
      </w:pPr>
      <w:bookmarkStart w:id="40" w:name="eq-prior-sensitivity1"/>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rPr>
                        <m:sty m:val="p"/>
                      </m:rPr>
                      <m:t>−</m:t>
                    </m:r>
                    <m:r>
                      <m:t>1</m:t>
                    </m:r>
                    <m:r>
                      <m:rPr>
                        <m:sty m:val="p"/>
                      </m:rPr>
                      <m:t>,</m:t>
                    </m:r>
                    <m:r>
                      <m:t>1</m:t>
                    </m:r>
                  </m:e>
                </m:d>
              </m:e>
            </m:mr>
            <m:mr>
              <m:e>
                <m:r>
                  <m:t>τ</m:t>
                </m:r>
              </m:e>
              <m:e>
                <m:r>
                  <m:rPr>
                    <m:sty m:val="p"/>
                  </m:rPr>
                  <m:t>∼</m:t>
                </m:r>
                <m:sSup>
                  <m:e>
                    <m:r>
                      <m:rPr>
                        <m:sty m:val="p"/>
                        <m:scr m:val="script"/>
                      </m:rPr>
                      <m:t>N</m:t>
                    </m:r>
                  </m:e>
                  <m:sup>
                    <m:r>
                      <m:rPr>
                        <m:sty m:val="p"/>
                      </m:rPr>
                      <m:t>+</m:t>
                    </m:r>
                  </m:sup>
                </m:sSup>
                <m:d>
                  <m:dPr>
                    <m:begChr m:val="("/>
                    <m:sepChr m:val=""/>
                    <m:endChr m:val=")"/>
                    <m:grow/>
                  </m:dPr>
                  <m:e>
                    <m:r>
                      <m:t>0</m:t>
                    </m:r>
                    <m:r>
                      <m:rPr>
                        <m:sty m:val="p"/>
                      </m:rPr>
                      <m:t>,</m:t>
                    </m:r>
                    <m:r>
                      <m:t>1</m:t>
                    </m:r>
                  </m:e>
                </m:d>
              </m:e>
            </m:mr>
          </m:m>
          <m:r>
            <m:t>  </m:t>
          </m:r>
          <m:d>
            <m:dPr>
              <m:begChr m:val="("/>
              <m:sepChr m:val=""/>
              <m:endChr m:val=")"/>
              <m:grow/>
            </m:dPr>
            <m:e>
              <m:r>
                <m:t>4</m:t>
              </m:r>
            </m:e>
          </m:d>
        </m:oMath>
      </m:oMathPara>
      <w:bookmarkEnd w:id="40"/>
    </w:p>
    <w:p>
      <w:pPr>
        <w:pStyle w:val="FirstParagraph"/>
      </w:pPr>
      <w:r>
        <w:t xml:space="preserve">Less informative priors (more conservative):</w:t>
      </w:r>
    </w:p>
    <w:p>
      <w:pPr>
        <w:pStyle w:val="BodyText"/>
      </w:pPr>
      <w:bookmarkStart w:id="41" w:name="eq-prior-sensitivity2"/>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t>0</m:t>
                    </m:r>
                    <m:r>
                      <m:rPr>
                        <m:sty m:val="p"/>
                      </m:rPr>
                      <m:t>,</m:t>
                    </m:r>
                    <m:r>
                      <m:t>6</m:t>
                    </m:r>
                  </m:e>
                </m:d>
              </m:e>
            </m:mr>
            <m:mr>
              <m:e>
                <m:r>
                  <m:t>τ</m:t>
                </m:r>
              </m:e>
              <m:e>
                <m:r>
                  <m:rPr>
                    <m:sty m:val="p"/>
                  </m:rPr>
                  <m:t>∼</m:t>
                </m:r>
                <m:sSup>
                  <m:e>
                    <m:r>
                      <m:rPr>
                        <m:sty m:val="p"/>
                        <m:scr m:val="script"/>
                      </m:rPr>
                      <m:t>N</m:t>
                    </m:r>
                  </m:e>
                  <m:sup>
                    <m:r>
                      <m:rPr>
                        <m:sty m:val="p"/>
                      </m:rPr>
                      <m:t>+</m:t>
                    </m:r>
                  </m:sup>
                </m:sSup>
                <m:d>
                  <m:dPr>
                    <m:begChr m:val="("/>
                    <m:sepChr m:val=""/>
                    <m:endChr m:val=")"/>
                    <m:grow/>
                  </m:dPr>
                  <m:e>
                    <m:r>
                      <m:t>0</m:t>
                    </m:r>
                    <m:r>
                      <m:rPr>
                        <m:sty m:val="p"/>
                      </m:rPr>
                      <m:t>,</m:t>
                    </m:r>
                    <m:r>
                      <m:t>6</m:t>
                    </m:r>
                  </m:e>
                </m:d>
              </m:e>
            </m:mr>
          </m:m>
          <m:r>
            <m:t>  </m:t>
          </m:r>
          <m:d>
            <m:dPr>
              <m:begChr m:val="("/>
              <m:sepChr m:val=""/>
              <m:endChr m:val=")"/>
              <m:grow/>
            </m:dPr>
            <m:e>
              <m:r>
                <m:t>5</m:t>
              </m:r>
            </m:e>
          </m:d>
        </m:oMath>
      </m:oMathPara>
      <w:bookmarkEnd w:id="41"/>
    </w:p>
    <w:bookmarkEnd w:id="42"/>
    <w:bookmarkEnd w:id="43"/>
    <w:bookmarkStart w:id="57" w:name="results"/>
    <w:p>
      <w:pPr>
        <w:pStyle w:val="Heading1"/>
      </w:pPr>
      <w:r>
        <w:t xml:space="preserve">3. Results</w:t>
      </w:r>
    </w:p>
    <w:p>
      <w:pPr>
        <w:pStyle w:val="Compact"/>
        <w:numPr>
          <w:ilvl w:val="0"/>
          <w:numId w:val="1008"/>
        </w:numPr>
      </w:pPr>
      <w:r>
        <w:t xml:space="preserve">Cite studies that might appear to meet inclusion criteria, but were excluded &amp; explain why (no citation so far)</w:t>
      </w:r>
    </w:p>
    <w:p>
      <w:pPr>
        <w:pStyle w:val="Compact"/>
        <w:numPr>
          <w:ilvl w:val="0"/>
          <w:numId w:val="1009"/>
        </w:numPr>
      </w:pPr>
      <w:r>
        <w:t xml:space="preserve">Study characteristics (table), including original and harmonized effect measures</w:t>
      </w:r>
    </w:p>
    <w:p>
      <w:pPr>
        <w:pStyle w:val="Compact"/>
        <w:numPr>
          <w:ilvl w:val="0"/>
          <w:numId w:val="1010"/>
        </w:numPr>
      </w:pPr>
      <w:r>
        <w:t xml:space="preserve">Flow diagram, description of (full text) screening results</w:t>
      </w:r>
    </w:p>
    <w:p>
      <w:pPr>
        <w:pStyle w:val="Compact"/>
        <w:numPr>
          <w:ilvl w:val="0"/>
          <w:numId w:val="1011"/>
        </w:numPr>
      </w:pPr>
      <w:r>
        <w:t xml:space="preserve">RoB results for each included study</w:t>
      </w:r>
    </w:p>
    <w:p>
      <w:pPr>
        <w:pStyle w:val="Compact"/>
        <w:numPr>
          <w:ilvl w:val="0"/>
          <w:numId w:val="1012"/>
        </w:numPr>
      </w:pPr>
      <w:r>
        <w:t xml:space="preserve">Forest plots</w:t>
      </w:r>
    </w:p>
    <w:p>
      <w:pPr>
        <w:pStyle w:val="Compact"/>
        <w:numPr>
          <w:ilvl w:val="0"/>
          <w:numId w:val="1013"/>
        </w:numPr>
      </w:pPr>
      <w:r>
        <w:t xml:space="preserve">Sensitivity analysis results</w:t>
      </w:r>
    </w:p>
    <w:bookmarkStart w:id="47" w:name="literature-review-1"/>
    <w:p>
      <w:pPr>
        <w:pStyle w:val="Heading2"/>
      </w:pPr>
      <w:r>
        <w:t xml:space="preserve">3.1 Literature Review</w:t>
      </w:r>
    </w:p>
    <w:p>
      <w:pPr>
        <w:pStyle w:val="FirstParagraph"/>
      </w:pPr>
      <w:r>
        <w:t xml:space="preserve">As described in the methods, the systematic review was conducted with a larger scope, because it was used as a basis for multiple studies, which is why it includes another substance (mercury, Hg).</w:t>
      </w:r>
      <w:r>
        <w:t xml:space="preserve"> </w:t>
      </w:r>
      <w:r>
        <w:t xml:space="preserve">The systematic search in PubMed and Scopus yielded 1,073 records for lead.</w:t>
      </w:r>
      <w:r>
        <w:t xml:space="preserve"> </w:t>
      </w:r>
      <w:r>
        <w:t xml:space="preserve">After duplicate removal, 974 records (Pb &amp; Hg) were screened in abstract and title, which lead to 149 records (Pb &amp; Hg) to be screened in fulltext.</w:t>
      </w:r>
      <w:r>
        <w:t xml:space="preserve"> </w:t>
      </w:r>
      <w:r>
        <w:t xml:space="preserve">After fulltext-screening, 36 records remained for Pb.</w:t>
      </w:r>
      <w:r>
        <w:t xml:space="preserve"> </w:t>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included in the study were already included in another study and would have been a duplicate.</w:t>
      </w:r>
      <w:r>
        <w:t xml:space="preserve"> </w:t>
      </w:r>
      <w:r>
        <w:t xml:space="preserve">Four additional studies were excluded because they either solely reported effects of chemical mixtures, because they used non-linear models or failed to report essential statistics.</w:t>
      </w:r>
      <w:r>
        <w:t xml:space="preserve"> </w:t>
      </w:r>
      <w:r>
        <w:t xml:space="preserve">Finally, twelve studies were included in the meta-analysis.</w:t>
      </w:r>
      <w:r>
        <w:t xml:space="preserve"> </w:t>
      </w:r>
      <w:r>
        <w:t xml:space="preserve">Study characteristics and regression coefficients are shown in table 2.</w:t>
      </w:r>
    </w:p>
    <w:p>
      <w:pPr>
        <w:pStyle w:val="BodyText"/>
      </w:pPr>
      <w:r>
        <w:t xml:space="preserve">A PRISMA flow diagram summarizing the review process is shown as in figure 1</w:t>
      </w:r>
      <w:r>
        <w:t xml:space="preserve"> </w:t>
      </w:r>
      <w:r>
        <w:t xml:space="preserve">(28)</w:t>
      </w:r>
      <w:r>
        <w:t xml:space="preserve">.</w:t>
      </w:r>
      <w:r>
        <w:t xml:space="preserve"> </w:t>
      </w:r>
      <w:r>
        <w:t xml:space="preserve">A file containing detailed information on the screening process and exclusion reasons can be found in suppl. file 2.</w:t>
      </w:r>
    </w:p>
    <w:p>
      <w:pPr>
        <w:pStyle w:val="CaptionedFigure"/>
      </w:pPr>
      <w:r>
        <w:drawing>
          <wp:inline>
            <wp:extent cx="2971800" cy="4205471"/>
            <wp:effectExtent b="0" l="0" r="0" t="0"/>
            <wp:docPr descr="Figure 1: PRISMA flow diagram" title="" id="45" name="Picture"/>
            <a:graphic>
              <a:graphicData uri="http://schemas.openxmlformats.org/drawingml/2006/picture">
                <pic:pic>
                  <pic:nvPicPr>
                    <pic:cNvPr descr="tables_figures/main/figure1.png" id="46" name="Picture"/>
                    <pic:cNvPicPr>
                      <a:picLocks noChangeArrowheads="1" noChangeAspect="1"/>
                    </pic:cNvPicPr>
                  </pic:nvPicPr>
                  <pic:blipFill>
                    <a:blip r:embed="rId44"/>
                    <a:stretch>
                      <a:fillRect/>
                    </a:stretch>
                  </pic:blipFill>
                  <pic:spPr bwMode="auto">
                    <a:xfrm>
                      <a:off x="0" y="0"/>
                      <a:ext cx="2971800" cy="4205471"/>
                    </a:xfrm>
                    <a:prstGeom prst="rect">
                      <a:avLst/>
                    </a:prstGeom>
                    <a:noFill/>
                    <a:ln w="9525">
                      <a:noFill/>
                      <a:headEnd/>
                      <a:tailEnd/>
                    </a:ln>
                  </pic:spPr>
                </pic:pic>
              </a:graphicData>
            </a:graphic>
          </wp:inline>
        </w:drawing>
      </w:r>
    </w:p>
    <w:p>
      <w:pPr>
        <w:pStyle w:val="ImageCaption"/>
      </w:pPr>
      <w:r>
        <w:t xml:space="preserve">Figure 1: PRISMA flow diagram</w:t>
      </w:r>
    </w:p>
    <w:bookmarkEnd w:id="47"/>
    <w:bookmarkStart w:id="48" w:name="risk-of-bias"/>
    <w:p>
      <w:pPr>
        <w:pStyle w:val="Heading2"/>
      </w:pPr>
      <w:r>
        <w:t xml:space="preserve">3.2 Risk of Bias</w:t>
      </w:r>
    </w:p>
    <w:p>
      <w:pPr>
        <w:pStyle w:val="FirstParagraph"/>
      </w:pPr>
      <w:r>
        <w:t xml:space="preserve">The rapid RoB assessment resulted in eight studies with a low risk</w:t>
      </w:r>
      <w:r>
        <w:t xml:space="preserve"> </w:t>
      </w:r>
      <w:r>
        <w:t xml:space="preserve">(34)</w:t>
      </w:r>
      <w:r>
        <w:t xml:space="preserve">,</w:t>
      </w:r>
      <w:r>
        <w:t xml:space="preserve"> </w:t>
      </w:r>
      <w:r>
        <w:t xml:space="preserve">two with a moderate risk</w:t>
      </w:r>
      <w:r>
        <w:t xml:space="preserve"> </w:t>
      </w:r>
      <w:r>
        <w:t xml:space="preserve">(48)</w:t>
      </w:r>
      <w:r>
        <w:t xml:space="preserve"> </w:t>
      </w:r>
      <w:r>
        <w:t xml:space="preserve">and two studies with a high RoB</w:t>
      </w:r>
      <w:r>
        <w:t xml:space="preserve"> </w:t>
      </w:r>
      <w:r>
        <w:t xml:space="preserve">(49)</w:t>
      </w:r>
      <w:r>
        <w:t xml:space="preserve">.</w:t>
      </w:r>
      <w:r>
        <w:br/>
      </w:r>
      <w:r>
        <w:t xml:space="preserve">Domains with a higher RoB were</w:t>
      </w:r>
      <w:r>
        <w:t xml:space="preserve"> </w:t>
      </w:r>
      <w:r>
        <w:rPr>
          <w:i/>
          <w:iCs/>
        </w:rPr>
        <w:t xml:space="preserve">non-response rate</w:t>
      </w:r>
      <w:r>
        <w:t xml:space="preserve"> </w:t>
      </w:r>
      <w:r>
        <w:t xml:space="preserve">(Selection), where many of the studies did not report the non-response rate or did not discuss wether non-responding individuals might systematically differ from participants in the studies, leading to selection bias.</w:t>
      </w:r>
      <w:r>
        <w:t xml:space="preserve"> </w:t>
      </w:r>
      <w:r>
        <w:t xml:space="preserve">Another domain with overall higher RoB in the included studies was</w:t>
      </w:r>
      <w:r>
        <w:t xml:space="preserve"> </w:t>
      </w:r>
      <w:r>
        <w:rPr>
          <w:i/>
          <w:iCs/>
        </w:rPr>
        <w:t xml:space="preserve">accounting for confounding</w:t>
      </w:r>
      <w:r>
        <w:t xml:space="preserve"> </w:t>
      </w:r>
      <w:r>
        <w:t xml:space="preserve">(Confounding), where important confounders like maternal IQ were left out or the authors used a data-driven selection approach for covariate selection, when a theory-driven approach is preferable</w:t>
      </w:r>
      <w:r>
        <w:t xml:space="preserve"> </w:t>
      </w:r>
      <w:r>
        <w:t xml:space="preserve">(50)</w:t>
      </w:r>
      <w:r>
        <w:t xml:space="preserve">.</w:t>
      </w:r>
      <w:r>
        <w:t xml:space="preserve"> </w:t>
      </w:r>
      <w:r>
        <w:t xml:space="preserve">Finally, in the domain</w:t>
      </w:r>
      <w:r>
        <w:t xml:space="preserve"> </w:t>
      </w:r>
      <w:r>
        <w:rPr>
          <w:i/>
          <w:iCs/>
        </w:rPr>
        <w:t xml:space="preserve">handling of missing values</w:t>
      </w:r>
      <w:r>
        <w:t xml:space="preserve"> </w:t>
      </w:r>
      <w:r>
        <w:t xml:space="preserve">(Analysis), some of the studies gave no information on how they handeled missing values and others handeled them inadequately.</w:t>
      </w:r>
      <w:r>
        <w:t xml:space="preserve"> </w:t>
      </w:r>
      <w:r>
        <w:t xml:space="preserve">Results from the RoB assessment is presented in table 3.</w:t>
      </w:r>
    </w:p>
    <w:bookmarkEnd w:id="48"/>
    <w:bookmarkStart w:id="55" w:name="meta-analysis-results"/>
    <w:p>
      <w:pPr>
        <w:pStyle w:val="Heading2"/>
      </w:pPr>
      <w:r>
        <w:t xml:space="preserve">3.3 Meta Analysis Results</w:t>
      </w:r>
    </w:p>
    <w:p>
      <w:pPr>
        <w:pStyle w:val="FirstParagraph"/>
      </w:pPr>
      <w:r>
        <w:t xml:space="preserve">The prior predictive check indicated that the specified priors are appropriate (suppl. file 3).</w:t>
      </w:r>
      <w:r>
        <w:t xml:space="preserve"> </w:t>
      </w:r>
      <w:r>
        <w:t xml:space="preserve">The posterior predictive check suggested appropriate model specification (suppl. file 4).</w:t>
      </w:r>
      <w:r>
        <w:t xml:space="preserve"> </w:t>
      </w:r>
      <m:oMath>
        <m:acc>
          <m:accPr>
            <m:chr m:val="̂"/>
          </m:accPr>
          <m:e>
            <m:r>
              <m:t>R</m:t>
            </m:r>
          </m:e>
        </m:acc>
      </m:oMath>
      <w:r>
        <w:t xml:space="preserve"> </w:t>
      </w:r>
      <w:r>
        <w:t xml:space="preserve">values indicate well converged MCMC chains (1.00 for both</w:t>
      </w:r>
      <w:r>
        <w:t xml:space="preserve"> </w:t>
      </w:r>
      <m:oMath>
        <m:r>
          <m:t>μ</m:t>
        </m:r>
      </m:oMath>
      <w:r>
        <w:t xml:space="preserve"> </w:t>
      </w:r>
      <w:r>
        <w:t xml:space="preserve">and</w:t>
      </w:r>
      <w:r>
        <w:t xml:space="preserve"> </w:t>
      </w:r>
      <m:oMath>
        <m:r>
          <m:t>τ</m:t>
        </m:r>
      </m:oMath>
      <w:r>
        <w:t xml:space="preserve">).</w:t>
      </w:r>
      <w:r>
        <w:t xml:space="preserve"> </w:t>
      </w:r>
      <w:r>
        <w:t xml:space="preserve">ESS for the central part of the posterior distribution for</w:t>
      </w:r>
      <w:r>
        <w:t xml:space="preserve"> </w:t>
      </w:r>
      <m:oMath>
        <m:r>
          <m:t>μ</m:t>
        </m:r>
      </m:oMath>
      <w:r>
        <w:t xml:space="preserve"> </w:t>
      </w:r>
      <w:r>
        <w:t xml:space="preserve">is 1,872 and 3,179 for the tails of the distribution.</w:t>
      </w:r>
      <w:r>
        <w:t xml:space="preserve"> </w:t>
      </w:r>
      <w:r>
        <w:t xml:space="preserve">Both values exceed 1,000, indicating efficiently sampled posterior distribution of</w:t>
      </w:r>
      <w:r>
        <w:t xml:space="preserve"> </w:t>
      </w:r>
      <m:oMath>
        <m:r>
          <m:t>μ</m:t>
        </m:r>
      </m:oMath>
      <w:r>
        <w:t xml:space="preserve"> </w:t>
      </w:r>
      <w:r>
        <w:t xml:space="preserve">across both its central tendency and tail regions, and that central point estimates and credible intervals can be interpreted with confidence.</w:t>
      </w:r>
      <w:r>
        <w:t xml:space="preserve"> </w:t>
      </w:r>
    </w:p>
    <w:p>
      <w:pPr>
        <w:pStyle w:val="BodyText"/>
      </w:pPr>
      <w:r>
        <w:t xml:space="preserve">The Bayesian random-effects meta-analysis yielded a posterior mean pooled estimate of -2.15 (95% credible interval (CrI): -3.48; -0.92) IQ points per unit increase in</w:t>
      </w:r>
      <w:r>
        <w:t xml:space="preserve"> </w:t>
      </w:r>
      <m:oMath>
        <m:sSub>
          <m:e>
            <m:r>
              <m:rPr>
                <m:sty m:val="p"/>
              </m:rPr>
              <m:t>log</m:t>
            </m:r>
          </m:e>
          <m:sub>
            <m:r>
              <m:t>e</m:t>
            </m:r>
          </m:sub>
        </m:sSub>
      </m:oMath>
      <w:r>
        <w:t xml:space="preserve">-transformed BLL (µg/dL).</w:t>
      </w:r>
      <w:r>
        <w:t xml:space="preserve"> </w:t>
      </w:r>
      <w:r>
        <w:t xml:space="preserve">The frequentist approach produced a comparable pooled estimate of -2.35 (95% confidence interval (CI): -3.65; -1.05).</w:t>
      </w:r>
      <w:r>
        <w:t xml:space="preserve"> </w:t>
      </w:r>
      <w:r>
        <w:t xml:space="preserve">Substantial between-study heterogeneity was observed under both frameworks.</w:t>
      </w:r>
      <w:r>
        <w:t xml:space="preserve"> </w:t>
      </w:r>
      <w:r>
        <w:t xml:space="preserve">In the Bayesian model, between-study heterogeneity was estimated as</w:t>
      </w:r>
      <w:r>
        <w:t xml:space="preserve"> </w:t>
      </w:r>
      <m:oMath>
        <m:sSup>
          <m:e>
            <m:r>
              <m:t>τ</m:t>
            </m:r>
          </m:e>
          <m:sup>
            <m:r>
              <m:t>2</m:t>
            </m:r>
          </m:sup>
        </m:sSup>
      </m:oMath>
      <w:r>
        <w:t xml:space="preserve"> </w:t>
      </w:r>
      <w:r>
        <w:t xml:space="preserve">= 4.32 [95% CrI: 1.28; 10.6], corresponding to an</w:t>
      </w:r>
      <w:r>
        <w:t xml:space="preserve"> </w:t>
      </w:r>
      <m:oMath>
        <m:sSup>
          <m:e>
            <m:r>
              <m:rPr>
                <m:nor/>
                <m:sty m:val="p"/>
              </m:rPr>
              <m:t>I</m:t>
            </m:r>
          </m:e>
          <m:sup>
            <m:r>
              <m:t>2</m:t>
            </m:r>
          </m:sup>
        </m:sSup>
      </m:oMath>
      <w:r>
        <w:t xml:space="preserve"> </w:t>
      </w:r>
      <w:r>
        <w:t xml:space="preserve">of 98.3% [95% CrI: 95.8%; 99.5%].</w:t>
      </w:r>
      <w:r>
        <w:t xml:space="preserve"> </w:t>
      </w:r>
      <w:r>
        <w:t xml:space="preserve">Similarly, the frequentist model estimated</w:t>
      </w:r>
      <w:r>
        <w:t xml:space="preserve"> </w:t>
      </w:r>
      <m:oMath>
        <m:sSup>
          <m:e>
            <m:r>
              <m:t>τ</m:t>
            </m:r>
          </m:e>
          <m:sup>
            <m:r>
              <m:t>2</m:t>
            </m:r>
          </m:sup>
        </m:sSup>
      </m:oMath>
      <w:r>
        <w:t xml:space="preserve"> </w:t>
      </w:r>
      <w:r>
        <w:t xml:space="preserve">= 3.79 (95% CI: 1.24; 3.79), with</w:t>
      </w:r>
      <w:r>
        <w:t xml:space="preserve"> </w:t>
      </w:r>
      <m:oMath>
        <m:sSup>
          <m:e>
            <m:r>
              <m:rPr>
                <m:nor/>
                <m:sty m:val="p"/>
              </m:rPr>
              <m:t>I</m:t>
            </m:r>
          </m:e>
          <m:sup>
            <m:r>
              <m:t>2</m:t>
            </m:r>
          </m:sup>
        </m:sSup>
      </m:oMath>
      <w:r>
        <w:t xml:space="preserve"> </w:t>
      </w:r>
      <w:r>
        <w:t xml:space="preserve">= 98.5% (95% CI: 95.65; 99.57%).</w:t>
      </w:r>
    </w:p>
    <w:p>
      <w:pPr>
        <w:pStyle w:val="BodyText"/>
      </w:pPr>
      <w:r>
        <w:t xml:space="preserve">Forest plots of both approaches are shown in figure 2:</w:t>
      </w:r>
    </w:p>
    <w:tbl>
      <w:tblPr>
        <w:tblStyle w:val="Table"/>
        <w:tblW w:type="pct" w:w="5000"/>
        <w:tblLayout w:type="fixed"/>
        <w:tblLook w:firstRow="0" w:lastRow="0" w:firstColumn="0" w:lastColumn="0" w:noHBand="0" w:noVBand="0" w:val="0000"/>
      </w:tblPr>
      <w:tblGrid>
        <w:gridCol w:w="3960"/>
        <w:gridCol w:w="3960"/>
      </w:tblGrid>
      <w:tr>
        <w:tc>
          <w:tcPr/>
          <w:p>
            <w:pPr>
              <w:pStyle w:val="CaptionedFigure"/>
              <w:jc w:val="left"/>
            </w:pPr>
            <w:r>
              <w:drawing>
                <wp:inline>
                  <wp:extent cx="5943600" cy="6400800"/>
                  <wp:effectExtent b="0" l="0" r="0" t="0"/>
                  <wp:docPr descr="Figure 2: forest plots" title="" id="50" name="Picture"/>
                  <a:graphic>
                    <a:graphicData uri="http://schemas.openxmlformats.org/drawingml/2006/picture">
                      <pic:pic>
                        <pic:nvPicPr>
                          <pic:cNvPr descr="manuscript_files/figure-docx/figure_2_forestplots-1.png" id="51" name="Picture"/>
                          <pic:cNvPicPr>
                            <a:picLocks noChangeArrowheads="1" noChangeAspect="1"/>
                          </pic:cNvPicPr>
                        </pic:nvPicPr>
                        <pic:blipFill>
                          <a:blip r:embed="rId49"/>
                          <a:stretch>
                            <a:fillRect/>
                          </a:stretch>
                        </pic:blipFill>
                        <pic:spPr bwMode="auto">
                          <a:xfrm>
                            <a:off x="0" y="0"/>
                            <a:ext cx="5943600" cy="6400800"/>
                          </a:xfrm>
                          <a:prstGeom prst="rect">
                            <a:avLst/>
                          </a:prstGeom>
                          <a:noFill/>
                          <a:ln w="9525">
                            <a:noFill/>
                            <a:headEnd/>
                            <a:tailEnd/>
                          </a:ln>
                        </pic:spPr>
                      </pic:pic>
                    </a:graphicData>
                  </a:graphic>
                </wp:inline>
              </w:drawing>
            </w:r>
          </w:p>
          <w:p>
            <w:pPr>
              <w:pStyle w:val="ImageCaption"/>
              <w:jc w:val="left"/>
            </w:pPr>
            <w:r>
              <w:t xml:space="preserve">Figure 2: forest plots</w:t>
            </w:r>
          </w:p>
        </w:tc>
        <w:tc>
          <w:tcPr/>
          <w:p>
            <w:pPr>
              <w:pStyle w:val="CaptionedFigure"/>
              <w:jc w:val="left"/>
            </w:pPr>
            <w:r>
              <w:drawing>
                <wp:inline>
                  <wp:extent cx="5943600" cy="6400800"/>
                  <wp:effectExtent b="0" l="0" r="0" t="0"/>
                  <wp:docPr descr="Figure 2: forest plots" title="" id="53" name="Picture"/>
                  <a:graphic>
                    <a:graphicData uri="http://schemas.openxmlformats.org/drawingml/2006/picture">
                      <pic:pic>
                        <pic:nvPicPr>
                          <pic:cNvPr descr="manuscript_files/figure-docx/figure_2_forestplots-2.png" id="54" name="Picture"/>
                          <pic:cNvPicPr>
                            <a:picLocks noChangeArrowheads="1" noChangeAspect="1"/>
                          </pic:cNvPicPr>
                        </pic:nvPicPr>
                        <pic:blipFill>
                          <a:blip r:embed="rId52"/>
                          <a:stretch>
                            <a:fillRect/>
                          </a:stretch>
                        </pic:blipFill>
                        <pic:spPr bwMode="auto">
                          <a:xfrm>
                            <a:off x="0" y="0"/>
                            <a:ext cx="5943600" cy="6400800"/>
                          </a:xfrm>
                          <a:prstGeom prst="rect">
                            <a:avLst/>
                          </a:prstGeom>
                          <a:noFill/>
                          <a:ln w="9525">
                            <a:noFill/>
                            <a:headEnd/>
                            <a:tailEnd/>
                          </a:ln>
                        </pic:spPr>
                      </pic:pic>
                    </a:graphicData>
                  </a:graphic>
                </wp:inline>
              </w:drawing>
            </w:r>
          </w:p>
          <w:p>
            <w:pPr>
              <w:pStyle w:val="ImageCaption"/>
              <w:jc w:val="left"/>
            </w:pPr>
            <w:r>
              <w:t xml:space="preserve">Figure 2: forest plots</w:t>
            </w:r>
          </w:p>
        </w:tc>
      </w:tr>
    </w:tbl>
    <w:p>
      <w:pPr>
        <w:pStyle w:val="BodyText"/>
      </w:pPr>
      <w:r>
        <w:t xml:space="preserve">The study estimates depicted in figure 2 are not the same in both approaches because the Bayesian model estimates a posterior distribution for every individual study that is influenced by all of the included studies as well as the priors.</w:t>
      </w:r>
      <w:r>
        <w:t xml:space="preserve"> </w:t>
      </w:r>
      <w:r>
        <w:t xml:space="preserve">This leads to a shrinkage of the mean coefficients towards the pooled effect and is comparable to the inverse-variance weighting in frequentist meta-analyses.</w:t>
      </w:r>
    </w:p>
    <w:bookmarkEnd w:id="55"/>
    <w:bookmarkStart w:id="56" w:name="sensitivity-analysis-results"/>
    <w:p>
      <w:pPr>
        <w:pStyle w:val="Heading2"/>
      </w:pPr>
      <w:r>
        <w:t xml:space="preserve">3.4 Sensitivity Analysis Results</w:t>
      </w:r>
    </w:p>
    <w:p>
      <w:pPr>
        <w:pStyle w:val="FirstParagraph"/>
      </w:pPr>
      <w:r>
        <w:t xml:space="preserve">We conducted two sets of sensitivity analyses, the results are shown in table 4.</w:t>
      </w:r>
      <w:r>
        <w:t xml:space="preserve"> </w:t>
      </w:r>
      <w:r>
        <w:t xml:space="preserve">First, in order to test the sensitivity of the results to possibly biased study estimates, we excluded (1) studies with high RoB and (2) with high or medium RoB.</w:t>
      </w:r>
      <w:r>
        <w:t xml:space="preserve"> </w:t>
      </w:r>
      <w:r>
        <w:t xml:space="preserve">For both the frequentist and Bayesian models, the strength of the mean effect decreased after removing studies with high risk of bias and slightly increased again after removing high and medium RoB studies.</w:t>
      </w:r>
      <w:r>
        <w:t xml:space="preserve"> </w:t>
      </w:r>
      <w:r>
        <w:t xml:space="preserve">Because the margin of shift in effects are small and the effects shifted in both directions, we concluded that the results are generally robust to possible individual-study bias.</w:t>
      </w:r>
    </w:p>
    <w:p>
      <w:pPr>
        <w:pStyle w:val="BodyText"/>
      </w:pPr>
      <w:r>
        <w:t xml:space="preserve">The second set of sensitivity analyses examined the sensitivity of the results of the Bayesian meta-analysis to prior specification.</w:t>
      </w:r>
      <w:r>
        <w:t xml:space="preserve"> </w:t>
      </w:r>
      <w:r>
        <w:t xml:space="preserve">With more informative (narrower) priors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),the posterior mean</w:t>
      </w:r>
      <w:r>
        <w:t xml:space="preserve"> </w:t>
      </w:r>
      <m:oMath>
        <m:r>
          <m:t>μ</m:t>
        </m:r>
      </m:oMath>
      <w:r>
        <w:t xml:space="preserve"> </w:t>
      </w:r>
      <w:r>
        <w:t xml:space="preserve">decreases.</w:t>
      </w:r>
      <w:r>
        <w:t xml:space="preserve"> </w:t>
      </w:r>
      <w:r>
        <w:t xml:space="preserve">This is expected, because the narrow prior restricts the posterior distribution to lower effect ranges.</w:t>
      </w:r>
      <w:r>
        <w:br/>
      </w:r>
      <w:r>
        <w:t xml:space="preserve">When using less informative (broader) priors (</w:t>
      </w:r>
      <m:oMath>
        <m:r>
          <m:t>μ</m:t>
        </m:r>
        <m:r>
          <m:rPr>
            <m:sty m:val="p"/>
          </m:rPr>
          <m:t>∼</m:t>
        </m:r>
        <m:r>
          <m:rPr>
            <m:sty m:val="p"/>
            <m:scr m:val="script"/>
          </m:rPr>
          <m:t>N</m:t>
        </m:r>
        <m:d>
          <m:dPr>
            <m:begChr m:val="("/>
            <m:sepChr m:val=""/>
            <m:endChr m:val=")"/>
            <m:grow/>
          </m:dPr>
          <m:e>
            <m:r>
              <m:t>0</m:t>
            </m:r>
            <m:r>
              <m:rPr>
                <m:sty m:val="p"/>
              </m:rPr>
              <m:t>,</m:t>
            </m:r>
            <m:r>
              <m:t>6</m:t>
            </m:r>
          </m:e>
        </m:d>
      </m:oMath>
      <w:r>
        <w:t xml:space="preserve">,</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 the posterior mean</w:t>
      </w:r>
      <w:r>
        <w:t xml:space="preserve"> </w:t>
      </w:r>
      <m:oMath>
        <m:r>
          <m:t>μ</m:t>
        </m:r>
      </m:oMath>
      <w:r>
        <w:t xml:space="preserve"> </w:t>
      </w:r>
      <w:r>
        <w:t xml:space="preserve">increases slightly.</w:t>
      </w:r>
      <w:r>
        <w:t xml:space="preserve"> </w:t>
      </w:r>
      <w:r>
        <w:t xml:space="preserve">In this case, more</w:t>
      </w:r>
      <w:r>
        <w:t xml:space="preserve"> </w:t>
      </w:r>
      <w:r>
        <w:t xml:space="preserve">“trust”</w:t>
      </w:r>
      <w:r>
        <w:t xml:space="preserve"> </w:t>
      </w:r>
      <w:r>
        <w:t xml:space="preserve">is given to studies reporting high effects with large uncertainty ranges.</w:t>
      </w:r>
      <w:r>
        <w:t xml:space="preserve"> </w:t>
      </w:r>
      <w:r>
        <w:t xml:space="preserve">The results of the prior sensitivity analysis strengthens the priors specified for the main analysis.</w:t>
      </w:r>
      <w:r>
        <w:t xml:space="preserve"> </w:t>
      </w:r>
      <w:r>
        <w:t xml:space="preserve">Suppl. file 5 shows prior, observed data and posterior distributions of all three prior specifications.</w:t>
      </w:r>
    </w:p>
    <w:bookmarkEnd w:id="56"/>
    <w:bookmarkEnd w:id="57"/>
    <w:bookmarkStart w:id="62" w:name="discussion"/>
    <w:p>
      <w:pPr>
        <w:pStyle w:val="Heading1"/>
      </w:pPr>
      <w:r>
        <w:t xml:space="preserve">4. Discussion</w:t>
      </w:r>
    </w:p>
    <w:bookmarkStart w:id="58" w:name="Xe4fd33c14a4d85ff45876f16d4ff6029ee422c4"/>
    <w:p>
      <w:pPr>
        <w:pStyle w:val="Heading2"/>
      </w:pPr>
      <w:r>
        <w:t xml:space="preserve">4.1 General interpretation in light of evidence</w:t>
      </w:r>
    </w:p>
    <w:p>
      <w:pPr>
        <w:pStyle w:val="FirstParagraph"/>
      </w:pPr>
      <w:r>
        <w:t xml:space="preserve">In this study, we provide updated pooled effect estimates for the association of children’s lead exposure on their IQ.</w:t>
      </w:r>
      <w:r>
        <w:t xml:space="preserve"> </w:t>
      </w:r>
      <w:r>
        <w:t xml:space="preserve">Our results are in line with previous toxicological and epidemiological studies</w:t>
      </w:r>
      <w:r>
        <w:t xml:space="preserve"> </w:t>
      </w:r>
      <w:r>
        <w:t xml:space="preserve">(13,15,16,18)</w:t>
      </w:r>
      <w:r>
        <w:t xml:space="preserve"> </w:t>
      </w:r>
      <w:r>
        <w:t xml:space="preserve">and previous meta-analyses.</w:t>
      </w:r>
      <w:r>
        <w:t xml:space="preserve"> </w:t>
      </w:r>
      <w:r>
        <w:t xml:space="preserve">However, because of methodological differences, the magnitude of the pooled effect cannot be directly compared to previous meta-analyses.</w:t>
      </w:r>
      <w:r>
        <w:t xml:space="preserve"> </w:t>
      </w:r>
      <w:r>
        <w:t xml:space="preserve">For example, in previous studies, the effect of lead has been estimated for increases in defined exposure categories</w:t>
      </w:r>
      <w:r>
        <w:t xml:space="preserve"> </w:t>
      </w:r>
      <w:r>
        <w:t xml:space="preserve">(19,51,52)</w:t>
      </w:r>
      <w:r>
        <w:t xml:space="preserve">.</w:t>
      </w:r>
      <w:r>
        <w:t xml:space="preserve"> </w:t>
      </w:r>
      <w:r>
        <w:t xml:space="preserve">Also, different coefficients like partial r</w:t>
      </w:r>
      <w:r>
        <w:t xml:space="preserve"> </w:t>
      </w:r>
      <w:r>
        <w:t xml:space="preserve">(14)</w:t>
      </w:r>
      <w:r>
        <w:t xml:space="preserve"> </w:t>
      </w:r>
      <w:r>
        <w:t xml:space="preserve">or standardized differences in mean</w:t>
      </w:r>
      <w:r>
        <w:t xml:space="preserve"> </w:t>
      </w:r>
      <w:r>
        <w:t xml:space="preserve">(53)</w:t>
      </w:r>
      <w:r>
        <w:t xml:space="preserve"> </w:t>
      </w:r>
      <w:r>
        <w:t xml:space="preserve">have been estimated in previous meta-analyses.</w:t>
      </w:r>
    </w:p>
    <w:p>
      <w:pPr>
        <w:pStyle w:val="BodyText"/>
      </w:pPr>
      <w:r>
        <w:t xml:space="preserve">We observed substantial heterogeneity in the studies included in this meta-analysis.</w:t>
      </w:r>
      <w:r>
        <w:t xml:space="preserve"> </w:t>
      </w:r>
      <w:r>
        <w:t xml:space="preserve">We identified no single obvious source of heterogeneity.</w:t>
      </w:r>
      <w:r>
        <w:t xml:space="preserve"> </w:t>
      </w:r>
      <w:r>
        <w:t xml:space="preserve">Instead, multiple differences in study population (size, location, age, exposure range) and statistical methods, especially the covariates included in the statistical models (adjustment set) might have caused heterogeneity between the studies (see table 2).</w:t>
      </w:r>
      <w:r>
        <w:t xml:space="preserve"> </w:t>
      </w:r>
      <w:r>
        <w:t xml:space="preserve">For example, one of the included studies that reported a very low effect has been conducted within populations that lived in an exposure hotspot (highly industrial area)</w:t>
      </w:r>
      <w:r>
        <w:t xml:space="preserve">(48)</w:t>
      </w:r>
      <w:r>
        <w:t xml:space="preserve">.</w:t>
      </w:r>
      <w:r>
        <w:t xml:space="preserve"> </w:t>
      </w:r>
      <w:r>
        <w:t xml:space="preserve">If there is little variation in exposure in the sample, a strong effect cannot be detected.</w:t>
      </w:r>
      <w:r>
        <w:br/>
      </w:r>
      <w:r>
        <w:t xml:space="preserve">Using an IQ test that has not been culturally adapted to the population it is used in, the IQ score results may be an underestimate of the true IQ.</w:t>
      </w:r>
      <w:r>
        <w:t xml:space="preserve"> </w:t>
      </w:r>
      <w:r>
        <w:t xml:space="preserve">This might be the case in</w:t>
      </w:r>
      <w:r>
        <w:t xml:space="preserve"> </w:t>
      </w:r>
      <w:r>
        <w:t xml:space="preserve">(45)</w:t>
      </w:r>
      <w:r>
        <w:t xml:space="preserve">.</w:t>
      </w:r>
      <w:r>
        <w:t xml:space="preserve"> </w:t>
      </w:r>
      <w:r>
        <w:t xml:space="preserve">Studies that reported a larger standard error of the regression coefficient also tended to reported larger effects.</w:t>
      </w:r>
      <w:r>
        <w:t xml:space="preserve"> </w:t>
      </w:r>
      <w:r>
        <w:t xml:space="preserve">This might indicate publication bias and is one explanation for the substantial heterogeneity in this meta-analysis.</w:t>
      </w:r>
      <w:r>
        <w:br/>
      </w:r>
      <w:r>
        <w:t xml:space="preserve">By incorporating prior knowledge and thus laying less</w:t>
      </w:r>
      <w:r>
        <w:t xml:space="preserve"> </w:t>
      </w:r>
      <w:r>
        <w:t xml:space="preserve">“trust”</w:t>
      </w:r>
      <w:r>
        <w:t xml:space="preserve"> </w:t>
      </w:r>
      <w:r>
        <w:t xml:space="preserve">on such studies, Bayesian models are less sensitive to such outliers, especially when pooling a small number of studies.</w:t>
      </w:r>
      <w:r>
        <w:br/>
      </w:r>
      <w:r>
        <w:t xml:space="preserve">As mentioned above, the included studies are based on population samples from multiple different regions (North America: 4, South America: 1, Europe: 3, Asia: 3, Australia: 1) and some populations have been sampled in hotspot regions with presumably higher lead concentrations</w:t>
      </w:r>
      <w:r>
        <w:t xml:space="preserve"> </w:t>
      </w:r>
      <w:r>
        <w:t xml:space="preserve">(40,45,49)</w:t>
      </w:r>
      <w:r>
        <w:t xml:space="preserve">.</w:t>
      </w:r>
      <w:r>
        <w:t xml:space="preserve"> </w:t>
      </w:r>
      <w:r>
        <w:t xml:space="preserve">This limits the generalizability of our findings.</w:t>
      </w:r>
    </w:p>
    <w:p>
      <w:pPr>
        <w:pStyle w:val="BodyText"/>
      </w:pPr>
      <w:r>
        <w:t xml:space="preserve">The RoB sensitivity analysis suggested that the results are generally robust to possible individual-study bias.</w:t>
      </w:r>
      <w:r>
        <w:t xml:space="preserve"> </w:t>
      </w:r>
      <w:r>
        <w:t xml:space="preserve">Importantly, the study published by Crump et al. (2013)</w:t>
      </w:r>
      <w:r>
        <w:t xml:space="preserve"> </w:t>
      </w:r>
      <w:r>
        <w:t xml:space="preserve">(24)</w:t>
      </w:r>
      <w:r>
        <w:t xml:space="preserve">, which is a re-analysis of the landmark study by Lanphear et al (2005)</w:t>
      </w:r>
      <w:r>
        <w:t xml:space="preserve"> </w:t>
      </w:r>
      <w:r>
        <w:t xml:space="preserve">(16)</w:t>
      </w:r>
      <w:r>
        <w:t xml:space="preserve"> </w:t>
      </w:r>
      <w:r>
        <w:t xml:space="preserve">received a high RoB rating in our assessment.</w:t>
      </w:r>
      <w:r>
        <w:t xml:space="preserve"> </w:t>
      </w:r>
      <w:r>
        <w:t xml:space="preserve">The results of this study have been used in multiple down-stream analyses, including in the most recent Global Burden of Disease study</w:t>
      </w:r>
      <w:r>
        <w:t xml:space="preserve"> </w:t>
      </w:r>
      <w:r>
        <w:t xml:space="preserve">(5)</w:t>
      </w:r>
      <w:r>
        <w:t xml:space="preserve">.</w:t>
      </w:r>
      <w:r>
        <w:t xml:space="preserve"> </w:t>
      </w:r>
      <w:r>
        <w:t xml:space="preserve">In this study, the burden of disease in 204 countries and for several health risks, including lead exposure was estimated.</w:t>
      </w:r>
      <w:r>
        <w:t xml:space="preserve"> </w:t>
      </w:r>
      <w:r>
        <w:t xml:space="preserve">The main driver for the high RoB identified in the analysis of Crump et al. is the stepwise backward-elimination regression approach, which is central to their findings and has received substantial criticism</w:t>
      </w:r>
      <w:r>
        <w:t xml:space="preserve"> </w:t>
      </w:r>
      <w:r>
        <w:t xml:space="preserve">(50,54,55)</w:t>
      </w:r>
      <w:r>
        <w:t xml:space="preserve">.</w:t>
      </w:r>
      <w:r>
        <w:t xml:space="preserve"> </w:t>
      </w:r>
      <w:r>
        <w:t xml:space="preserve">This highlights the need for an updated evidence synthesis which we provide in this study.</w:t>
      </w:r>
    </w:p>
    <w:p>
      <w:pPr>
        <w:pStyle w:val="BodyText"/>
      </w:pPr>
      <w:r>
        <w:t xml:space="preserve">This study does not only provide an updated effect measure for the association of lead and IQ, but additionally compares a more conventional, frequentist approach to meta-analysis to a Bayesian approach that is less used in environmental epidemiology to date.</w:t>
      </w:r>
    </w:p>
    <w:bookmarkEnd w:id="58"/>
    <w:bookmarkStart w:id="59" w:name="Xe5ac57d0eff2b1210c69c5d0ce3670b3d74f7a3"/>
    <w:p>
      <w:pPr>
        <w:pStyle w:val="Heading2"/>
      </w:pPr>
      <w:r>
        <w:t xml:space="preserve">4.2 Differences, similarities, strengths &amp; weaknesses of both approaches</w:t>
      </w:r>
    </w:p>
    <w:p>
      <w:pPr>
        <w:pStyle w:val="FirstParagraph"/>
      </w:pPr>
      <w:r>
        <w:t xml:space="preserve">Pooled effects and measures of heterogeneity were largely consistent in both approaches.</w:t>
      </w:r>
      <w:r>
        <w:t xml:space="preserve"> </w:t>
      </w:r>
      <w:r>
        <w:t xml:space="preserve">Slightly lower mean pooled effects were estimated by the Bayesian model.</w:t>
      </w:r>
      <w:r>
        <w:t xml:space="preserve"> </w:t>
      </w:r>
      <w:r>
        <w:t xml:space="preserve">The prior sensitivity analyses shows that this is caused by posterior shrinkage of the study-level estimates, comparable to inverse-variance weighting in frequentist meta-analysis, together with the regularizing effect of the specified priors.</w:t>
      </w:r>
      <w:r>
        <w:t xml:space="preserve"> </w:t>
      </w:r>
      <w:r>
        <w:t xml:space="preserve">Importantly, this difference does not materially affect the overall interpretation of the association between lead exposure and IQ.</w:t>
      </w:r>
      <w:r>
        <w:t xml:space="preserve"> </w:t>
      </w:r>
      <w:r>
        <w:t xml:space="preserve">However, it illustrates that Bayesian meta-analysis can be less sensitive to outlier studies reporting large effects with substantial uncertainty, if priors (more specifically the prior for heterogeneity) reflecting plausible domain knowledge or expectations are specified.</w:t>
      </w:r>
      <w:r>
        <w:t xml:space="preserve"> </w:t>
      </w:r>
      <w:r>
        <w:t xml:space="preserve">In contrast, frequentist meta-analytic models implicitly rely on flat or non-informative priors, which result in greater sensitivity to outliers</w:t>
      </w:r>
      <w:r>
        <w:t xml:space="preserve"> </w:t>
      </w:r>
      <w:r>
        <w:t xml:space="preserve">(56)</w:t>
      </w:r>
      <w:r>
        <w:t xml:space="preserve">.</w:t>
      </w:r>
      <w:r>
        <w:br/>
      </w:r>
      <w:r>
        <w:t xml:space="preserve">Conducting a Bayesian meta-analysis can be laborious compared to frequentist approaches, as it requires more statistical knowledge, explicit consideration of modelling assumptions, and in practice often more programming effort</w:t>
      </w:r>
      <w:r>
        <w:t xml:space="preserve"> </w:t>
      </w:r>
      <w:r>
        <w:t xml:space="preserve">(57)</w:t>
      </w:r>
      <w:r>
        <w:t xml:space="preserve">.</w:t>
      </w:r>
      <w:r>
        <w:t xml:space="preserve"> </w:t>
      </w:r>
      <w:r>
        <w:t xml:space="preserve">While these might initially appear as disadvantages, they can equally be understood as methodological safeguards:</w:t>
      </w:r>
      <w:r>
        <w:t xml:space="preserve"> </w:t>
      </w:r>
      <w:r>
        <w:t xml:space="preserve">by requiring researchers to state their assumptions explicitly rather than accepting defaults embedded in software, the Bayesian approach encourages engagement with the data and the modelling assumptions being made.</w:t>
      </w:r>
    </w:p>
    <w:bookmarkEnd w:id="59"/>
    <w:bookmarkStart w:id="60" w:name="outlook"/>
    <w:p>
      <w:pPr>
        <w:pStyle w:val="Heading2"/>
      </w:pPr>
      <w:r>
        <w:t xml:space="preserve">4.3 Outlook</w:t>
      </w:r>
    </w:p>
    <w:p>
      <w:pPr>
        <w:pStyle w:val="Compact"/>
        <w:numPr>
          <w:ilvl w:val="0"/>
          <w:numId w:val="1014"/>
        </w:numPr>
      </w:pPr>
      <w:r>
        <w:t xml:space="preserve">full posterior distributions for mu and tau in Bayesian approach can be used for:</w:t>
      </w:r>
    </w:p>
    <w:p>
      <w:pPr>
        <w:pStyle w:val="Compact"/>
        <w:numPr>
          <w:ilvl w:val="1"/>
          <w:numId w:val="1015"/>
        </w:numPr>
      </w:pPr>
      <w:r>
        <w:rPr>
          <w:strike/>
        </w:rPr>
        <w:t xml:space="preserve">comparative risk assessment</w:t>
      </w:r>
    </w:p>
    <w:p>
      <w:pPr>
        <w:pStyle w:val="Compact"/>
        <w:numPr>
          <w:ilvl w:val="1"/>
          <w:numId w:val="1015"/>
        </w:numPr>
      </w:pPr>
      <w:r>
        <w:rPr>
          <w:strike/>
        </w:rPr>
        <w:t xml:space="preserve">calculating exceedance probabilities of threshold values</w:t>
      </w:r>
    </w:p>
    <w:p>
      <w:pPr>
        <w:pStyle w:val="Compact"/>
        <w:numPr>
          <w:ilvl w:val="1"/>
          <w:numId w:val="1015"/>
        </w:numPr>
      </w:pPr>
      <w:r>
        <w:rPr>
          <w:strike/>
        </w:rPr>
        <w:t xml:space="preserve">flexible credible intervals</w:t>
      </w:r>
    </w:p>
    <w:p>
      <w:pPr>
        <w:pStyle w:val="Compact"/>
        <w:numPr>
          <w:ilvl w:val="1"/>
          <w:numId w:val="1015"/>
        </w:numPr>
      </w:pPr>
      <w:r>
        <w:t xml:space="preserve">prediction of theoretical future studies (simulation)</w:t>
      </w:r>
    </w:p>
    <w:p>
      <w:pPr>
        <w:pStyle w:val="Compact"/>
        <w:numPr>
          <w:ilvl w:val="0"/>
          <w:numId w:val="1014"/>
        </w:numPr>
      </w:pPr>
      <w:r>
        <w:t xml:space="preserve">possible use-cases of probabilistic meta-analysis (risk assessment, EBD)</w:t>
      </w:r>
    </w:p>
    <w:p>
      <w:pPr>
        <w:pStyle w:val="Compact"/>
        <w:numPr>
          <w:ilvl w:val="1"/>
          <w:numId w:val="1016"/>
        </w:numPr>
      </w:pPr>
      <w:r>
        <w:t xml:space="preserve">probabilistic EBD (give examples of deterministic approach?)</w:t>
      </w:r>
    </w:p>
    <w:p>
      <w:pPr>
        <w:pStyle w:val="FirstParagraph"/>
      </w:pPr>
      <w:r>
        <w:t xml:space="preserve">The results of Bayesian models always are distributional, which is a central difference to point estimates (central estimate, CI) produced by frequentist models.</w:t>
      </w:r>
      <w:r>
        <w:t xml:space="preserve"> </w:t>
      </w:r>
      <w:r>
        <w:t xml:space="preserve">Distributional results offer distinct advantages, especially for risk assessment and policy-making.</w:t>
      </w:r>
      <w:r>
        <w:t xml:space="preserve"> </w:t>
      </w:r>
      <w:r>
        <w:t xml:space="preserve">First, credible intervals are not limited to 95% and any interval can be estimated from the posterior distribution.</w:t>
      </w:r>
      <w:r>
        <w:t xml:space="preserve"> </w:t>
      </w:r>
      <w:r>
        <w:t xml:space="preserve">These can then be interpreted in terms of probability, which confidence intervals, even though often misinterpreted as that, can’t be.</w:t>
      </w:r>
      <w:r>
        <w:t xml:space="preserve"> </w:t>
      </w:r>
      <w:r>
        <w:t xml:space="preserve">Whenever multiple health risks are to be compared, probability distributions make it possible to calculate the probability of one health risk being greater than the other.</w:t>
      </w:r>
      <w:r>
        <w:t xml:space="preserve"> </w:t>
      </w:r>
      <w:r>
        <w:t xml:space="preserve">In case there are meaningful thresholds of effect strength / health risk to be evaluated, exceedance probabilities can be calculated from the posterior distribution.</w:t>
      </w:r>
      <w:r>
        <w:br/>
      </w:r>
      <w:r>
        <w:t xml:space="preserve">Posterior distributions of meta-analyses together with the specified statistical model can be used to either predict theoretical future epidemiological studies, which (why interesting?) or the theoretical population health impact of the exposure in another population.</w:t>
      </w:r>
      <w:r>
        <w:t xml:space="preserve"> </w:t>
      </w:r>
      <w:r>
        <w:t xml:space="preserve">This second approach is known as environmental Burden of Disease.</w:t>
      </w:r>
    </w:p>
    <w:bookmarkEnd w:id="60"/>
    <w:bookmarkStart w:id="61" w:name="study-limitations-strengths"/>
    <w:p>
      <w:pPr>
        <w:pStyle w:val="Heading2"/>
      </w:pPr>
      <w:r>
        <w:t xml:space="preserve">4.4 Study limitations &amp; strengths</w:t>
      </w:r>
    </w:p>
    <w:p>
      <w:pPr>
        <w:pStyle w:val="FirstParagraph"/>
      </w:pPr>
      <w:r>
        <w:t xml:space="preserve">This study has several limitations and strengths that should be taken into consideration when interpreting the results.</w:t>
      </w:r>
      <w:r>
        <w:t xml:space="preserve"> </w:t>
      </w:r>
      <w:r>
        <w:t xml:space="preserve">The included studies are heterogenous and have for example adjusted for varying sets of covariates.</w:t>
      </w:r>
      <w:r>
        <w:t xml:space="preserve"> </w:t>
      </w:r>
      <w:r>
        <w:t xml:space="preserve">Also, as mentioned above, the locations of cohorts in the included studies vary.</w:t>
      </w:r>
      <w:r>
        <w:t xml:space="preserve"> </w:t>
      </w:r>
      <w:r>
        <w:t xml:space="preserve">Both of these limit the generalizability of the results or their applicability to a specific population.</w:t>
      </w:r>
    </w:p>
    <w:p>
      <w:pPr>
        <w:pStyle w:val="BodyText"/>
      </w:pPr>
      <w:r>
        <w:t xml:space="preserve">While there are publications that compare Bayesian and frequentist approaches to meta-analysis, they either have a focus on evidence-based medicine</w:t>
      </w:r>
      <w:r>
        <w:t xml:space="preserve"> </w:t>
      </w:r>
      <w:r>
        <w:t xml:space="preserve">(58–61)</w:t>
      </w:r>
      <w:r>
        <w:t xml:space="preserve"> </w:t>
      </w:r>
      <w:r>
        <w:t xml:space="preserve">or network meta-analysis</w:t>
      </w:r>
      <w:r>
        <w:t xml:space="preserve"> </w:t>
      </w:r>
      <w:r>
        <w:t xml:space="preserve">(62,63)</w:t>
      </w:r>
      <w:r>
        <w:t xml:space="preserve">.</w:t>
      </w:r>
      <w:r>
        <w:t xml:space="preserve"> </w:t>
      </w:r>
      <w:r>
        <w:t xml:space="preserve">While these publications certainly provide valuable insights into the choice of meta-analytic methods, they come with different methodological challenges than only partially overlap with those covered in this study.</w:t>
      </w:r>
      <w:r>
        <w:t xml:space="preserve"> </w:t>
      </w:r>
      <w:r>
        <w:t xml:space="preserve">To our knowledge, this is the first study to compare Bayesian and frequentist approaches to meta-analysis in the field of environmental epidemiology.</w:t>
      </w:r>
      <w:r>
        <w:t xml:space="preserve"> </w:t>
      </w:r>
      <w:r>
        <w:t xml:space="preserve">All of the data and computational code used in this study are available on</w:t>
      </w:r>
      <w:r>
        <w:t xml:space="preserve"> </w:t>
      </w:r>
      <w:hyperlink r:id="rId33">
        <w:r>
          <w:rPr>
            <w:rStyle w:val="Hyperlink"/>
          </w:rPr>
          <w:t xml:space="preserve">GitHub</w:t>
        </w:r>
      </w:hyperlink>
      <w:r>
        <w:t xml:space="preserve"> </w:t>
      </w:r>
      <w:r>
        <w:t xml:space="preserve">which makes it fully reproducible.</w:t>
      </w:r>
    </w:p>
    <w:bookmarkEnd w:id="61"/>
    <w:bookmarkEnd w:id="62"/>
    <w:bookmarkStart w:id="63" w:name="conclusions"/>
    <w:p>
      <w:pPr>
        <w:pStyle w:val="Heading1"/>
      </w:pPr>
      <w:r>
        <w:t xml:space="preserve">5. Conclusions</w:t>
      </w:r>
    </w:p>
    <w:p>
      <w:pPr>
        <w:pStyle w:val="Compact"/>
        <w:numPr>
          <w:ilvl w:val="0"/>
          <w:numId w:val="1017"/>
        </w:numPr>
      </w:pPr>
      <w:r>
        <w:t xml:space="preserve">Conclusion, with reference to aim of study</w:t>
      </w:r>
    </w:p>
    <w:p>
      <w:pPr>
        <w:pStyle w:val="Compact"/>
        <w:numPr>
          <w:ilvl w:val="0"/>
          <w:numId w:val="1018"/>
        </w:numPr>
      </w:pPr>
      <w:r>
        <w:t xml:space="preserve">Implications of results: policy, (scientific?) practice, future research needs</w:t>
      </w:r>
    </w:p>
    <w:bookmarkEnd w:id="63"/>
    <w:bookmarkStart w:id="64" w:name="list-of-abbreviations"/>
    <w:p>
      <w:pPr>
        <w:pStyle w:val="Heading1"/>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BLL</w:t>
            </w:r>
          </w:p>
        </w:tc>
        <w:tc>
          <w:tcPr/>
          <w:p>
            <w:pPr>
              <w:pStyle w:val="Compact"/>
              <w:jc w:val="left"/>
            </w:pPr>
            <w:r>
              <w:t xml:space="preserve">Blood lead levels</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REML</w:t>
            </w:r>
          </w:p>
        </w:tc>
        <w:tc>
          <w:tcPr/>
          <w:p>
            <w:pPr>
              <w:pStyle w:val="Compact"/>
              <w:jc w:val="left"/>
            </w:pPr>
            <w:r>
              <w:t xml:space="preserve">Restricted maximum-likelihood</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r>
        <w:tc>
          <w:tcPr/>
          <w:p>
            <w:pPr>
              <w:pStyle w:val="Compact"/>
              <w:jc w:val="left"/>
            </w:pPr>
            <w:r>
              <w:t xml:space="preserve">DALY</w:t>
            </w:r>
          </w:p>
        </w:tc>
        <w:tc>
          <w:tcPr/>
          <w:p>
            <w:pPr>
              <w:pStyle w:val="Compact"/>
              <w:jc w:val="left"/>
            </w:pPr>
            <w:r>
              <w:t xml:space="preserve">Disability-adjusted Life Year</w:t>
            </w:r>
          </w:p>
        </w:tc>
      </w:tr>
    </w:tbl>
    <w:bookmarkEnd w:id="64"/>
    <w:bookmarkStart w:id="65" w:name="acknowledgements"/>
    <w:p>
      <w:pPr>
        <w:pStyle w:val="Heading1"/>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screening process.</w:t>
      </w:r>
    </w:p>
    <w:bookmarkEnd w:id="65"/>
    <w:bookmarkStart w:id="66"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66"/>
    <w:bookmarkStart w:id="190" w:name="bibliography"/>
    <w:p>
      <w:pPr>
        <w:pStyle w:val="Heading1"/>
      </w:pPr>
      <w:r>
        <w:t xml:space="preserve">References</w:t>
      </w:r>
    </w:p>
    <w:bookmarkStart w:id="189" w:name="refs"/>
    <w:bookmarkStart w:id="68" w:name="Xe38019c88c6d2792bb296bad7dc0a4dd55f1319"/>
    <w:p>
      <w:pPr>
        <w:pStyle w:val="Bibliography"/>
      </w:pPr>
      <w:r>
        <w:t xml:space="preserve">1.</w:t>
      </w:r>
      <w:r>
        <w:t xml:space="preserve"> </w:t>
      </w:r>
      <w:r>
        <w:t xml:space="preserve">	</w:t>
      </w:r>
      <w:r>
        <w:t xml:space="preserve">Salamanca-Fernández E, Peinado FM, Esteban-López M, Puklova V, Poyatos RM, Govarts E, et al.</w:t>
      </w:r>
      <w:r>
        <w:t xml:space="preserve"> </w:t>
      </w:r>
      <w:hyperlink r:id="rId67">
        <w:r>
          <w:rPr>
            <w:rStyle w:val="Hyperlink"/>
          </w:rPr>
          <w:t xml:space="preserve">Sociodemographic determinants and temporal variability of blood lead levels (2003–2019) in a pooled analysis of nine studies in four</w:t>
        </w:r>
        <w:r>
          <w:rPr>
            <w:rStyle w:val="Hyperlink"/>
          </w:rPr>
          <w:t xml:space="preserve"> </w:t>
        </w:r>
        <w:r>
          <w:rPr>
            <w:rStyle w:val="Hyperlink"/>
          </w:rPr>
          <w:t xml:space="preserve">European</w:t>
        </w:r>
        <w:r>
          <w:rPr>
            <w:rStyle w:val="Hyperlink"/>
          </w:rPr>
          <w:t xml:space="preserve"> </w:t>
        </w:r>
        <w:r>
          <w:rPr>
            <w:rStyle w:val="Hyperlink"/>
          </w:rPr>
          <w:t xml:space="preserve">countries</w:t>
        </w:r>
      </w:hyperlink>
      <w:r>
        <w:t xml:space="preserve">. Sci Rep. 2025 Oct;15(1):34562.</w:t>
      </w:r>
      <w:r>
        <w:t xml:space="preserve"> </w:t>
      </w:r>
    </w:p>
    <w:bookmarkEnd w:id="68"/>
    <w:bookmarkStart w:id="70" w:name="ref-lacerda2023GlobalDecreaseBlood"/>
    <w:p>
      <w:pPr>
        <w:pStyle w:val="Bibliography"/>
      </w:pPr>
      <w:r>
        <w:t xml:space="preserve">2.</w:t>
      </w:r>
      <w:r>
        <w:t xml:space="preserve"> </w:t>
      </w:r>
      <w:r>
        <w:t xml:space="preserve">	</w:t>
      </w:r>
      <w:r>
        <w:t xml:space="preserve">Lacerda D, Pestana IA, Santos Vergilio CD, de Rezende CE.</w:t>
      </w:r>
      <w:r>
        <w:t xml:space="preserve"> </w:t>
      </w:r>
      <w:hyperlink r:id="rId69">
        <w:r>
          <w:rPr>
            <w:rStyle w:val="Hyperlink"/>
          </w:rPr>
          <w:t xml:space="preserve">Global decrease in blood lead concentrations due to the removal of leaded gasoline</w:t>
        </w:r>
      </w:hyperlink>
      <w:r>
        <w:t xml:space="preserve">. Chemosphere. 2023;324:138207.</w:t>
      </w:r>
      <w:r>
        <w:t xml:space="preserve"> </w:t>
      </w:r>
    </w:p>
    <w:bookmarkEnd w:id="70"/>
    <w:bookmarkStart w:id="72" w:name="X4707f3a4b72a0982487545f9dc3d674642af108"/>
    <w:p>
      <w:pPr>
        <w:pStyle w:val="Bibliography"/>
      </w:pPr>
      <w:r>
        <w:t xml:space="preserve">3.</w:t>
      </w:r>
      <w:r>
        <w:t xml:space="preserve"> </w:t>
      </w:r>
      <w:r>
        <w:t xml:space="preserve">	</w:t>
      </w:r>
      <w:r>
        <w:t xml:space="preserve">European Food Safety Authority.</w:t>
      </w:r>
      <w:r>
        <w:t xml:space="preserve"> </w:t>
      </w:r>
      <w:hyperlink r:id="rId71">
        <w:r>
          <w:rPr>
            <w:rStyle w:val="Hyperlink"/>
          </w:rPr>
          <w:t xml:space="preserve">Lead dietary exposure in the</w:t>
        </w:r>
        <w:r>
          <w:rPr>
            <w:rStyle w:val="Hyperlink"/>
          </w:rPr>
          <w:t xml:space="preserve"> </w:t>
        </w:r>
        <w:r>
          <w:rPr>
            <w:rStyle w:val="Hyperlink"/>
          </w:rPr>
          <w:t xml:space="preserve">European</w:t>
        </w:r>
        <w:r>
          <w:rPr>
            <w:rStyle w:val="Hyperlink"/>
          </w:rPr>
          <w:t xml:space="preserve"> </w:t>
        </w:r>
        <w:r>
          <w:rPr>
            <w:rStyle w:val="Hyperlink"/>
          </w:rPr>
          <w:t xml:space="preserve">population</w:t>
        </w:r>
      </w:hyperlink>
      <w:r>
        <w:t xml:space="preserve">. EFS2. 2012 Jul;10(7).</w:t>
      </w:r>
      <w:r>
        <w:t xml:space="preserve"> </w:t>
      </w:r>
    </w:p>
    <w:bookmarkEnd w:id="72"/>
    <w:bookmarkStart w:id="74" w:name="ref-sy2024AssessmentLongTermExposure"/>
    <w:p>
      <w:pPr>
        <w:pStyle w:val="Bibliography"/>
      </w:pPr>
      <w:r>
        <w:t xml:space="preserve">4.</w:t>
      </w:r>
      <w:r>
        <w:t xml:space="preserve"> </w:t>
      </w:r>
      <w:r>
        <w:t xml:space="preserve">	</w:t>
      </w:r>
      <w:r>
        <w:t xml:space="preserve">Sy M, Eleftheriadou D, Jung C, Lindtner O, Karakitsios S, Sarigiannis D, et al.</w:t>
      </w:r>
      <w:r>
        <w:t xml:space="preserve"> </w:t>
      </w:r>
      <w:hyperlink r:id="rId73">
        <w:r>
          <w:rPr>
            <w:rStyle w:val="Hyperlink"/>
          </w:rPr>
          <w:t xml:space="preserve">Assessment of the</w:t>
        </w:r>
        <w:r>
          <w:rPr>
            <w:rStyle w:val="Hyperlink"/>
          </w:rPr>
          <w:t xml:space="preserve"> </w:t>
        </w:r>
        <w:r>
          <w:rPr>
            <w:rStyle w:val="Hyperlink"/>
          </w:rPr>
          <w:t xml:space="preserve">Long-Term 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Four European Countries Using PBPK Modeling</w:t>
        </w:r>
      </w:hyperlink>
      <w:r>
        <w:t xml:space="preserve">. Expo Health. 2024 Feb;16(1):21–39.</w:t>
      </w:r>
      <w:r>
        <w:t xml:space="preserve"> </w:t>
      </w:r>
    </w:p>
    <w:bookmarkEnd w:id="74"/>
    <w:bookmarkStart w:id="76" w:name="ref-brauer2024GlobalBurdenStrength"/>
    <w:p>
      <w:pPr>
        <w:pStyle w:val="Bibliography"/>
      </w:pPr>
      <w:r>
        <w:t xml:space="preserve">5.</w:t>
      </w:r>
      <w:r>
        <w:t xml:space="preserve"> </w:t>
      </w:r>
      <w:r>
        <w:t xml:space="preserve">	</w:t>
      </w:r>
      <w:r>
        <w:t xml:space="preserve">Brauer M, Roth GA, Aravkin AY, Zheng P, Abate KH, Abate YH, et al.</w:t>
      </w:r>
      <w:r>
        <w:t xml:space="preserve"> </w:t>
      </w:r>
      <w:hyperlink r:id="rId75">
        <w:r>
          <w:rPr>
            <w:rStyle w:val="Hyperlink"/>
          </w:rPr>
          <w:t xml:space="preserve">Global burden and strength of evidence for 88 risk factors in 204 countries and 811 subnational locations, 1990&amp;#x2013;2021: A systematic analysis for the</w:t>
        </w:r>
        <w:r>
          <w:rPr>
            <w:rStyle w:val="Hyperlink"/>
          </w:rPr>
          <w:t xml:space="preserve"> </w:t>
        </w:r>
        <w:r>
          <w:rPr>
            <w:rStyle w:val="Hyperlink"/>
          </w:rPr>
          <w:t xml:space="preserve">Global Burden</w:t>
        </w:r>
        <w:r>
          <w:rPr>
            <w:rStyle w:val="Hyperlink"/>
          </w:rPr>
          <w:t xml:space="preserve"> </w:t>
        </w:r>
        <w:r>
          <w:rPr>
            <w:rStyle w:val="Hyperlink"/>
          </w:rPr>
          <w:t xml:space="preserve">of</w:t>
        </w:r>
        <w:r>
          <w:rPr>
            <w:rStyle w:val="Hyperlink"/>
          </w:rPr>
          <w:t xml:space="preserve"> </w:t>
        </w:r>
        <w:r>
          <w:rPr>
            <w:rStyle w:val="Hyperlink"/>
          </w:rPr>
          <w:t xml:space="preserve">Disease Study</w:t>
        </w:r>
        <w:r>
          <w:rPr>
            <w:rStyle w:val="Hyperlink"/>
          </w:rPr>
          <w:t xml:space="preserve"> </w:t>
        </w:r>
        <w:r>
          <w:rPr>
            <w:rStyle w:val="Hyperlink"/>
          </w:rPr>
          <w:t xml:space="preserve">2021</w:t>
        </w:r>
      </w:hyperlink>
      <w:r>
        <w:t xml:space="preserve">. The Lancet. 2024;403(10440):2162–203.</w:t>
      </w:r>
      <w:r>
        <w:t xml:space="preserve"> </w:t>
      </w:r>
    </w:p>
    <w:bookmarkEnd w:id="76"/>
    <w:bookmarkStart w:id="78" w:name="ref-harari2018BloodLeadLevels"/>
    <w:p>
      <w:pPr>
        <w:pStyle w:val="Bibliography"/>
      </w:pPr>
      <w:r>
        <w:t xml:space="preserve">6.</w:t>
      </w:r>
      <w:r>
        <w:t xml:space="preserve"> </w:t>
      </w:r>
      <w:r>
        <w:t xml:space="preserve">	</w:t>
      </w:r>
      <w:r>
        <w:t xml:space="preserve">Harari F, Sallsten G, Christensson A, Petkovic M, Hedblad B, Forsgard N, et al.</w:t>
      </w:r>
      <w:r>
        <w:t xml:space="preserve"> </w:t>
      </w:r>
      <w:hyperlink r:id="rId77">
        <w:r>
          <w:rPr>
            <w:rStyle w:val="Hyperlink"/>
          </w:rPr>
          <w:t xml:space="preserve">Blood</w:t>
        </w:r>
        <w:r>
          <w:rPr>
            <w:rStyle w:val="Hyperlink"/>
          </w:rPr>
          <w:t xml:space="preserve"> </w:t>
        </w:r>
        <w:r>
          <w:rPr>
            <w:rStyle w:val="Hyperlink"/>
          </w:rPr>
          <w:t xml:space="preserve">Lead Levels</w:t>
        </w:r>
        <w:r>
          <w:rPr>
            <w:rStyle w:val="Hyperlink"/>
          </w:rPr>
          <w:t xml:space="preserve"> </w:t>
        </w:r>
        <w:r>
          <w:rPr>
            <w:rStyle w:val="Hyperlink"/>
          </w:rPr>
          <w:t xml:space="preserve">and</w:t>
        </w:r>
        <w:r>
          <w:rPr>
            <w:rStyle w:val="Hyperlink"/>
          </w:rPr>
          <w:t xml:space="preserve"> </w:t>
        </w:r>
        <w:r>
          <w:rPr>
            <w:rStyle w:val="Hyperlink"/>
          </w:rPr>
          <w:t xml:space="preserve">Decreased Kidney Function</w:t>
        </w:r>
        <w:r>
          <w:rPr>
            <w:rStyle w:val="Hyperlink"/>
          </w:rPr>
          <w:t xml:space="preserve"> </w:t>
        </w:r>
        <w:r>
          <w:rPr>
            <w:rStyle w:val="Hyperlink"/>
          </w:rPr>
          <w:t xml:space="preserve">in a</w:t>
        </w:r>
        <w:r>
          <w:rPr>
            <w:rStyle w:val="Hyperlink"/>
          </w:rPr>
          <w:t xml:space="preserve"> </w:t>
        </w:r>
        <w:r>
          <w:rPr>
            <w:rStyle w:val="Hyperlink"/>
          </w:rPr>
          <w:t xml:space="preserve">Population-Based Cohort</w:t>
        </w:r>
      </w:hyperlink>
      <w:r>
        <w:t xml:space="preserve">. American Journal of Kidney Diseases. 2018 Sep;72(3):381–9.</w:t>
      </w:r>
      <w:r>
        <w:t xml:space="preserve"> </w:t>
      </w:r>
    </w:p>
    <w:bookmarkEnd w:id="78"/>
    <w:bookmarkStart w:id="80" w:name="ref-wan2022ChronicLeadExposure"/>
    <w:p>
      <w:pPr>
        <w:pStyle w:val="Bibliography"/>
      </w:pPr>
      <w:r>
        <w:t xml:space="preserve">7.</w:t>
      </w:r>
      <w:r>
        <w:t xml:space="preserve"> </w:t>
      </w:r>
      <w:r>
        <w:t xml:space="preserve">	</w:t>
      </w:r>
      <w:r>
        <w:t xml:space="preserve">Wan H, Wang Y, Zhang H, Zhang K, Chen Y, Chen C, et al.</w:t>
      </w:r>
      <w:r>
        <w:t xml:space="preserve"> </w:t>
      </w:r>
      <w:hyperlink r:id="rId79">
        <w:r>
          <w:rPr>
            <w:rStyle w:val="Hyperlink"/>
          </w:rPr>
          <w:t xml:space="preserve">Chronic lead exposure induces fatty liver disease associated with the variations of gut microbiota</w:t>
        </w:r>
      </w:hyperlink>
      <w:r>
        <w:t xml:space="preserve">. Ecotoxicology and Environmental Safety. 2022 Mar;232:113257.</w:t>
      </w:r>
      <w:r>
        <w:t xml:space="preserve"> </w:t>
      </w:r>
    </w:p>
    <w:bookmarkEnd w:id="80"/>
    <w:bookmarkStart w:id="82" w:name="ref-rosengren2025ExposureLeadCoronary"/>
    <w:p>
      <w:pPr>
        <w:pStyle w:val="Bibliography"/>
      </w:pPr>
      <w:r>
        <w:t xml:space="preserve">8.</w:t>
      </w:r>
      <w:r>
        <w:t xml:space="preserve"> </w:t>
      </w:r>
      <w:r>
        <w:t xml:space="preserve">	</w:t>
      </w:r>
      <w:r>
        <w:t xml:space="preserve">Rosengren E, Barregard L, Sallsten G, Fagerberg B, Engström G, Fagman E, et al.</w:t>
      </w:r>
      <w:r>
        <w:t xml:space="preserve"> </w:t>
      </w:r>
      <w:hyperlink r:id="rId81">
        <w:r>
          <w:rPr>
            <w:rStyle w:val="Hyperlink"/>
          </w:rPr>
          <w:t xml:space="preserve">Exposure 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Coronary Artery Atherosclerosis</w:t>
        </w:r>
        <w:r>
          <w:rPr>
            <w:rStyle w:val="Hyperlink"/>
          </w:rPr>
          <w:t xml:space="preserve">:</w:t>
        </w:r>
        <w:r>
          <w:rPr>
            <w:rStyle w:val="Hyperlink"/>
          </w:rPr>
          <w:t xml:space="preserve"> </w:t>
        </w:r>
        <w:r>
          <w:rPr>
            <w:rStyle w:val="Hyperlink"/>
          </w:rPr>
          <w:t xml:space="preserve">A Swedish Cross</w:t>
        </w:r>
        <w:r>
          <w:rPr>
            <w:rStyle w:val="Hyperlink"/>
          </w:rPr>
          <w:t xml:space="preserve">-</w:t>
        </w:r>
        <w:r>
          <w:rPr>
            <w:rStyle w:val="Hyperlink"/>
          </w:rPr>
          <w:t xml:space="preserve">Sectional Population</w:t>
        </w:r>
        <w:r>
          <w:rPr>
            <w:rStyle w:val="Hyperlink"/>
          </w:rPr>
          <w:t xml:space="preserve">-</w:t>
        </w:r>
        <w:r>
          <w:rPr>
            <w:rStyle w:val="Hyperlink"/>
          </w:rPr>
          <w:t xml:space="preserve">Based Study</w:t>
        </w:r>
      </w:hyperlink>
      <w:r>
        <w:t xml:space="preserve">. JAHA. 2025 Mar;14(5):e037633.</w:t>
      </w:r>
      <w:r>
        <w:t xml:space="preserve"> </w:t>
      </w:r>
    </w:p>
    <w:bookmarkEnd w:id="82"/>
    <w:bookmarkStart w:id="84" w:name="ref-lanphear2018LowlevelLeadExposure"/>
    <w:p>
      <w:pPr>
        <w:pStyle w:val="Bibliography"/>
      </w:pPr>
      <w:r>
        <w:t xml:space="preserve">9.</w:t>
      </w:r>
      <w:r>
        <w:t xml:space="preserve"> </w:t>
      </w:r>
      <w:r>
        <w:t xml:space="preserve">	</w:t>
      </w:r>
      <w:r>
        <w:t xml:space="preserve">Lanphear BP, Rauch S, Auinger P, Allen RW, Hornung RW.</w:t>
      </w:r>
      <w:r>
        <w:t xml:space="preserve"> </w:t>
      </w:r>
      <w:hyperlink r:id="rId83">
        <w:r>
          <w:rPr>
            <w:rStyle w:val="Hyperlink"/>
          </w:rPr>
          <w:t xml:space="preserve">Low-level lead exposure and mortality in</w:t>
        </w:r>
        <w:r>
          <w:rPr>
            <w:rStyle w:val="Hyperlink"/>
          </w:rPr>
          <w:t xml:space="preserve"> </w:t>
        </w:r>
        <w:r>
          <w:rPr>
            <w:rStyle w:val="Hyperlink"/>
          </w:rPr>
          <w:t xml:space="preserve">US</w:t>
        </w:r>
        <w:r>
          <w:rPr>
            <w:rStyle w:val="Hyperlink"/>
          </w:rPr>
          <w:t xml:space="preserve"> </w:t>
        </w:r>
        <w:r>
          <w:rPr>
            <w:rStyle w:val="Hyperlink"/>
          </w:rPr>
          <w:t xml:space="preserve">adults: A population-based cohort study</w:t>
        </w:r>
      </w:hyperlink>
      <w:r>
        <w:t xml:space="preserve">. The Lancet Public Health. 2018 Apr;3(4):e177–84.</w:t>
      </w:r>
      <w:r>
        <w:t xml:space="preserve"> </w:t>
      </w:r>
    </w:p>
    <w:bookmarkEnd w:id="84"/>
    <w:bookmarkStart w:id="86" w:name="ref-chang2006LowBloodLead"/>
    <w:p>
      <w:pPr>
        <w:pStyle w:val="Bibliography"/>
      </w:pPr>
      <w:r>
        <w:t xml:space="preserve">10.</w:t>
      </w:r>
      <w:r>
        <w:t xml:space="preserve"> </w:t>
      </w:r>
      <w:r>
        <w:t xml:space="preserve">	</w:t>
      </w:r>
      <w:r>
        <w:t xml:space="preserve">Chang SH, Cheng BH, Lee SL, Chuang HY, Yang CY, Sung FC, et al.</w:t>
      </w:r>
      <w:r>
        <w:t xml:space="preserve"> </w:t>
      </w:r>
      <w:hyperlink r:id="rId85">
        <w:r>
          <w:rPr>
            <w:rStyle w:val="Hyperlink"/>
          </w:rPr>
          <w:t xml:space="preserve">Low blood lead concentration in association with infertility in women</w:t>
        </w:r>
      </w:hyperlink>
      <w:r>
        <w:t xml:space="preserve">. Environmental Research. 2006 Jul;101(3):380–6.</w:t>
      </w:r>
      <w:r>
        <w:t xml:space="preserve"> </w:t>
      </w:r>
    </w:p>
    <w:bookmarkEnd w:id="86"/>
    <w:bookmarkStart w:id="88" w:name="Xadfdab0209e4a364d9fdcffecfddb00700d2db9"/>
    <w:p>
      <w:pPr>
        <w:pStyle w:val="Bibliography"/>
      </w:pPr>
      <w:r>
        <w:t xml:space="preserve">11.</w:t>
      </w:r>
      <w:r>
        <w:t xml:space="preserve"> </w:t>
      </w:r>
      <w:r>
        <w:t xml:space="preserve">	</w:t>
      </w:r>
      <w:r>
        <w:t xml:space="preserve">Dimitrov LV, Kaminski JW, Holbrook JR, Bitsko RH, Yeh M, Courtney JG, et al.</w:t>
      </w:r>
      <w:r>
        <w:t xml:space="preserve"> </w:t>
      </w:r>
      <w:hyperlink r:id="rId87">
        <w:r>
          <w:rPr>
            <w:rStyle w:val="Hyperlink"/>
          </w:rPr>
          <w:t xml:space="preserve">A</w:t>
        </w:r>
        <w:r>
          <w:rPr>
            <w:rStyle w:val="Hyperlink"/>
          </w:rPr>
          <w:t xml:space="preserve"> </w:t>
        </w:r>
        <w:r>
          <w:rPr>
            <w:rStyle w:val="Hyperlink"/>
          </w:rPr>
          <w:t xml:space="preserve">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r>
          <w:rPr>
            <w:rStyle w:val="Hyperlink"/>
          </w:rPr>
          <w:t xml:space="preserve"> </w:t>
        </w:r>
        <w:r>
          <w:rPr>
            <w:rStyle w:val="Hyperlink"/>
          </w:rPr>
          <w:t xml:space="preserve">of</w:t>
        </w:r>
        <w:r>
          <w:rPr>
            <w:rStyle w:val="Hyperlink"/>
          </w:rPr>
          <w:t xml:space="preserve"> </w:t>
        </w:r>
        <w:r>
          <w:rPr>
            <w:rStyle w:val="Hyperlink"/>
          </w:rPr>
          <w:t xml:space="preserve">Chemical Exposures</w:t>
        </w:r>
        <w:r>
          <w:rPr>
            <w:rStyle w:val="Hyperlink"/>
          </w:rPr>
          <w:t xml:space="preserve"> </w:t>
        </w:r>
        <w:r>
          <w:rPr>
            <w:rStyle w:val="Hyperlink"/>
          </w:rPr>
          <w:t xml:space="preserve">and</w:t>
        </w:r>
        <w:r>
          <w:rPr>
            <w:rStyle w:val="Hyperlink"/>
          </w:rPr>
          <w:t xml:space="preserve"> </w:t>
        </w:r>
        <w:r>
          <w:rPr>
            <w:rStyle w:val="Hyperlink"/>
          </w:rPr>
          <w:t xml:space="preserve">Attention-Deficit</w:t>
        </w:r>
        <w:r>
          <w:rPr>
            <w:rStyle w:val="Hyperlink"/>
          </w:rPr>
          <w:t xml:space="preserve">/</w:t>
        </w:r>
        <w:r>
          <w:rPr>
            <w:rStyle w:val="Hyperlink"/>
          </w:rPr>
          <w:t xml:space="preserve">Hyperactivity Disorder</w:t>
        </w:r>
        <w:r>
          <w:rPr>
            <w:rStyle w:val="Hyperlink"/>
          </w:rPr>
          <w:t xml:space="preserve"> </w:t>
        </w:r>
        <w:r>
          <w:rPr>
            <w:rStyle w:val="Hyperlink"/>
          </w:rPr>
          <w:t xml:space="preserve">in</w:t>
        </w:r>
        <w:r>
          <w:rPr>
            <w:rStyle w:val="Hyperlink"/>
          </w:rPr>
          <w:t xml:space="preserve"> </w:t>
        </w:r>
        <w:r>
          <w:rPr>
            <w:rStyle w:val="Hyperlink"/>
          </w:rPr>
          <w:t xml:space="preserve">Children</w:t>
        </w:r>
      </w:hyperlink>
      <w:r>
        <w:t xml:space="preserve">. Prev Sci. 2024 May;25(S2):225–48.</w:t>
      </w:r>
      <w:r>
        <w:t xml:space="preserve"> </w:t>
      </w:r>
    </w:p>
    <w:bookmarkEnd w:id="88"/>
    <w:bookmarkStart w:id="90" w:name="ref-shaffer2025LeadExposureAntisocial"/>
    <w:p>
      <w:pPr>
        <w:pStyle w:val="Bibliography"/>
      </w:pPr>
      <w:r>
        <w:t xml:space="preserve">12.</w:t>
      </w:r>
      <w:r>
        <w:t xml:space="preserve"> </w:t>
      </w:r>
      <w:r>
        <w:t xml:space="preserve">	</w:t>
      </w:r>
      <w:r>
        <w:t xml:space="preserve">Shaffer RM, Carlson LM, Hester K, Kim H, Duffney P, Forsyth JE, et al.</w:t>
      </w:r>
      <w:r>
        <w:t xml:space="preserve"> </w:t>
      </w:r>
      <w:hyperlink r:id="rId89">
        <w:r>
          <w:rPr>
            <w:rStyle w:val="Hyperlink"/>
          </w:rPr>
          <w:t xml:space="preserve">Lead exposure and antisocial behavior:</w:t>
        </w:r>
        <w:r>
          <w:rPr>
            <w:rStyle w:val="Hyperlink"/>
          </w:rPr>
          <w:t xml:space="preserve"> </w:t>
        </w:r>
        <w:r>
          <w:rPr>
            <w:rStyle w:val="Hyperlink"/>
          </w:rPr>
          <w:t xml:space="preserve">A</w:t>
        </w:r>
        <w:r>
          <w:rPr>
            <w:rStyle w:val="Hyperlink"/>
          </w:rPr>
          <w:t xml:space="preserve"> </w:t>
        </w:r>
        <w:r>
          <w:rPr>
            <w:rStyle w:val="Hyperlink"/>
          </w:rPr>
          <w:t xml:space="preserve">systematic review of human and animal evidence</w:t>
        </w:r>
      </w:hyperlink>
      <w:r>
        <w:t xml:space="preserve">. Environment International. 2025;109786.</w:t>
      </w:r>
      <w:r>
        <w:t xml:space="preserve"> </w:t>
      </w:r>
    </w:p>
    <w:bookmarkEnd w:id="90"/>
    <w:bookmarkStart w:id="92" w:name="X06097e4c5e52362623b7f1c040457eb7d553acc"/>
    <w:p>
      <w:pPr>
        <w:pStyle w:val="Bibliography"/>
      </w:pPr>
      <w:r>
        <w:t xml:space="preserve">13.</w:t>
      </w:r>
      <w:r>
        <w:t xml:space="preserve"> </w:t>
      </w:r>
      <w:r>
        <w:t xml:space="preserve">	</w:t>
      </w:r>
      <w:r>
        <w:t xml:space="preserve">Baghurst PA, McMichael AJ, Wigg NR, Vimpani GV, Robertson EF, Roberts RJ, et al.</w:t>
      </w:r>
      <w:r>
        <w:t xml:space="preserve"> </w:t>
      </w:r>
      <w:hyperlink r:id="rId91">
        <w:r>
          <w:rPr>
            <w:rStyle w:val="Hyperlink"/>
          </w:rPr>
          <w:t xml:space="preserve">Environmental</w:t>
        </w:r>
        <w:r>
          <w:rPr>
            <w:rStyle w:val="Hyperlink"/>
          </w:rPr>
          <w:t xml:space="preserve"> </w:t>
        </w:r>
        <w:r>
          <w:rPr>
            <w:rStyle w:val="Hyperlink"/>
          </w:rPr>
          <w:t xml:space="preserve">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Intelligence</w:t>
        </w:r>
        <w:r>
          <w:rPr>
            <w:rStyle w:val="Hyperlink"/>
          </w:rPr>
          <w:t xml:space="preserve"> </w:t>
        </w:r>
        <w:r>
          <w:rPr>
            <w:rStyle w:val="Hyperlink"/>
          </w:rPr>
          <w:t xml:space="preserve">at the</w:t>
        </w:r>
        <w:r>
          <w:rPr>
            <w:rStyle w:val="Hyperlink"/>
          </w:rPr>
          <w:t xml:space="preserve"> </w:t>
        </w:r>
        <w:r>
          <w:rPr>
            <w:rStyle w:val="Hyperlink"/>
          </w:rPr>
          <w:t xml:space="preserve">Age</w:t>
        </w:r>
        <w:r>
          <w:rPr>
            <w:rStyle w:val="Hyperlink"/>
          </w:rPr>
          <w:t xml:space="preserve"> </w:t>
        </w:r>
        <w:r>
          <w:rPr>
            <w:rStyle w:val="Hyperlink"/>
          </w:rPr>
          <w:t xml:space="preserve">of</w:t>
        </w:r>
        <w:r>
          <w:rPr>
            <w:rStyle w:val="Hyperlink"/>
          </w:rPr>
          <w:t xml:space="preserve"> </w:t>
        </w:r>
        <w:r>
          <w:rPr>
            <w:rStyle w:val="Hyperlink"/>
          </w:rPr>
          <w:t xml:space="preserve">Seven Years</w:t>
        </w:r>
        <w:r>
          <w:rPr>
            <w:rStyle w:val="Hyperlink"/>
          </w:rPr>
          <w:t xml:space="preserve">:</w:t>
        </w:r>
        <w:r>
          <w:rPr>
            <w:rStyle w:val="Hyperlink"/>
          </w:rPr>
          <w:t xml:space="preserve"> </w:t>
        </w:r>
        <w:r>
          <w:rPr>
            <w:rStyle w:val="Hyperlink"/>
          </w:rPr>
          <w:t xml:space="preserve">The Port Pirie Cohort Study</w:t>
        </w:r>
      </w:hyperlink>
      <w:r>
        <w:t xml:space="preserve">. N Engl J Med. 1992 Oct;327(18):1279–84.</w:t>
      </w:r>
      <w:r>
        <w:t xml:space="preserve"> </w:t>
      </w:r>
    </w:p>
    <w:bookmarkEnd w:id="92"/>
    <w:bookmarkStart w:id="94" w:name="ref-needleman1990LowLevelLeadExposure"/>
    <w:p>
      <w:pPr>
        <w:pStyle w:val="Bibliography"/>
      </w:pPr>
      <w:r>
        <w:t xml:space="preserve">14.</w:t>
      </w:r>
      <w:r>
        <w:t xml:space="preserve"> </w:t>
      </w:r>
      <w:r>
        <w:t xml:space="preserve">	</w:t>
      </w:r>
      <w:r>
        <w:t xml:space="preserve">Needleman HL.</w:t>
      </w:r>
      <w:r>
        <w:t xml:space="preserve"> </w:t>
      </w:r>
      <w:hyperlink r:id="rId93">
        <w:r>
          <w:rPr>
            <w:rStyle w:val="Hyperlink"/>
          </w:rPr>
          <w:t xml:space="preserve">Low-</w:t>
        </w:r>
        <w:r>
          <w:rPr>
            <w:rStyle w:val="Hyperlink"/>
          </w:rPr>
          <w:t xml:space="preserve">Level Lead Exposure</w:t>
        </w:r>
        <w:r>
          <w:rPr>
            <w:rStyle w:val="Hyperlink"/>
          </w:rPr>
          <w:t xml:space="preserve"> </w:t>
        </w:r>
        <w:r>
          <w:rPr>
            <w:rStyle w:val="Hyperlink"/>
          </w:rPr>
          <w:t xml:space="preserve">and the</w:t>
        </w:r>
        <w:r>
          <w:rPr>
            <w:rStyle w:val="Hyperlink"/>
          </w:rPr>
          <w:t xml:space="preserve"> </w:t>
        </w:r>
        <w:r>
          <w:rPr>
            <w:rStyle w:val="Hyperlink"/>
          </w:rPr>
          <w:t xml:space="preserve">IQ</w:t>
        </w:r>
        <w:r>
          <w:rPr>
            <w:rStyle w:val="Hyperlink"/>
          </w:rPr>
          <w:t xml:space="preserve"> </w:t>
        </w:r>
        <w:r>
          <w:rPr>
            <w:rStyle w:val="Hyperlink"/>
          </w:rPr>
          <w:t xml:space="preserve">of</w:t>
        </w:r>
        <w:r>
          <w:rPr>
            <w:rStyle w:val="Hyperlink"/>
          </w:rPr>
          <w:t xml:space="preserve"> </w:t>
        </w:r>
        <w:r>
          <w:rPr>
            <w:rStyle w:val="Hyperlink"/>
          </w:rPr>
          <w:t xml:space="preserve">Children</w:t>
        </w:r>
        <w:r>
          <w:rPr>
            <w:rStyle w:val="Hyperlink"/>
          </w:rPr>
          <w:t xml:space="preserve">:</w:t>
        </w:r>
        <w:r>
          <w:rPr>
            <w:rStyle w:val="Hyperlink"/>
          </w:rPr>
          <w:t xml:space="preserve"> </w:t>
        </w:r>
        <w:r>
          <w:rPr>
            <w:rStyle w:val="Hyperlink"/>
          </w:rPr>
          <w:t xml:space="preserve">A Meta-analysis</w:t>
        </w:r>
        <w:r>
          <w:rPr>
            <w:rStyle w:val="Hyperlink"/>
          </w:rPr>
          <w:t xml:space="preserve"> </w:t>
        </w:r>
        <w:r>
          <w:rPr>
            <w:rStyle w:val="Hyperlink"/>
          </w:rPr>
          <w:t xml:space="preserve">of</w:t>
        </w:r>
        <w:r>
          <w:rPr>
            <w:rStyle w:val="Hyperlink"/>
          </w:rPr>
          <w:t xml:space="preserve"> </w:t>
        </w:r>
        <w:r>
          <w:rPr>
            <w:rStyle w:val="Hyperlink"/>
          </w:rPr>
          <w:t xml:space="preserve">Modern Studies</w:t>
        </w:r>
      </w:hyperlink>
      <w:r>
        <w:t xml:space="preserve">. JAMA. 1990 Feb;263(5):673.</w:t>
      </w:r>
      <w:r>
        <w:t xml:space="preserve"> </w:t>
      </w:r>
    </w:p>
    <w:bookmarkEnd w:id="94"/>
    <w:bookmarkStart w:id="96" w:name="ref-bellinger1992LowLevelLeadExposure"/>
    <w:p>
      <w:pPr>
        <w:pStyle w:val="Bibliography"/>
      </w:pPr>
      <w:r>
        <w:t xml:space="preserve">15.</w:t>
      </w:r>
      <w:r>
        <w:t xml:space="preserve"> </w:t>
      </w:r>
      <w:r>
        <w:t xml:space="preserve">	</w:t>
      </w:r>
      <w:r>
        <w:t xml:space="preserve">Bellinger DC, Stiles KM, Needleman HL.</w:t>
      </w:r>
      <w:r>
        <w:t xml:space="preserve"> </w:t>
      </w:r>
      <w:hyperlink r:id="rId95">
        <w:r>
          <w:rPr>
            <w:rStyle w:val="Hyperlink"/>
          </w:rPr>
          <w:t xml:space="preserve">Low-</w:t>
        </w:r>
        <w:r>
          <w:rPr>
            <w:rStyle w:val="Hyperlink"/>
          </w:rPr>
          <w:t xml:space="preserve">Level Lead Exposure</w:t>
        </w:r>
        <w:r>
          <w:rPr>
            <w:rStyle w:val="Hyperlink"/>
          </w:rPr>
          <w:t xml:space="preserve">,</w:t>
        </w:r>
        <w:r>
          <w:rPr>
            <w:rStyle w:val="Hyperlink"/>
          </w:rPr>
          <w:t xml:space="preserve"> </w:t>
        </w:r>
        <w:r>
          <w:rPr>
            <w:rStyle w:val="Hyperlink"/>
          </w:rPr>
          <w:t xml:space="preserve">Intelligence</w:t>
        </w:r>
        <w:r>
          <w:rPr>
            <w:rStyle w:val="Hyperlink"/>
          </w:rPr>
          <w:t xml:space="preserve"> </w:t>
        </w:r>
        <w:r>
          <w:rPr>
            <w:rStyle w:val="Hyperlink"/>
          </w:rPr>
          <w:t xml:space="preserve">and</w:t>
        </w:r>
        <w:r>
          <w:rPr>
            <w:rStyle w:val="Hyperlink"/>
          </w:rPr>
          <w:t xml:space="preserve"> </w:t>
        </w:r>
        <w:r>
          <w:rPr>
            <w:rStyle w:val="Hyperlink"/>
          </w:rPr>
          <w:t xml:space="preserve">Academic Achievement</w:t>
        </w:r>
        <w:r>
          <w:rPr>
            <w:rStyle w:val="Hyperlink"/>
          </w:rPr>
          <w:t xml:space="preserve">:</w:t>
        </w:r>
        <w:r>
          <w:rPr>
            <w:rStyle w:val="Hyperlink"/>
          </w:rPr>
          <w:t xml:space="preserve"> </w:t>
        </w:r>
        <w:r>
          <w:rPr>
            <w:rStyle w:val="Hyperlink"/>
          </w:rPr>
          <w:t xml:space="preserve">A Long-term Follow-up Study</w:t>
        </w:r>
      </w:hyperlink>
      <w:r>
        <w:t xml:space="preserve">. Pediatrics. 1992 Dec;90(6):855–61.</w:t>
      </w:r>
      <w:r>
        <w:t xml:space="preserve"> </w:t>
      </w:r>
    </w:p>
    <w:bookmarkEnd w:id="96"/>
    <w:bookmarkStart w:id="98" w:name="X9a8bad0b78f43066cb333fdedcdcad5d7017900"/>
    <w:p>
      <w:pPr>
        <w:pStyle w:val="Bibliography"/>
      </w:pPr>
      <w:r>
        <w:t xml:space="preserve">16.</w:t>
      </w:r>
      <w:r>
        <w:t xml:space="preserve"> </w:t>
      </w:r>
      <w:r>
        <w:t xml:space="preserve">	</w:t>
      </w:r>
      <w:r>
        <w:t xml:space="preserve">Lanphear BP, Hornung R, Khoury J, Yolton K, Baghurst P, Bellinger DC, et al.</w:t>
      </w:r>
      <w:r>
        <w:t xml:space="preserve"> </w:t>
      </w:r>
      <w:hyperlink r:id="rId97">
        <w:r>
          <w:rPr>
            <w:rStyle w:val="Hyperlink"/>
          </w:rPr>
          <w:t xml:space="preserve">Low-</w:t>
        </w:r>
        <w:r>
          <w:rPr>
            <w:rStyle w:val="Hyperlink"/>
          </w:rPr>
          <w:t xml:space="preserve">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hyperlink>
      <w:r>
        <w:t xml:space="preserve">. Environmental Health Perspectives. 2005;113(7):894–9.</w:t>
      </w:r>
      <w:r>
        <w:t xml:space="preserve"> </w:t>
      </w:r>
    </w:p>
    <w:bookmarkEnd w:id="98"/>
    <w:bookmarkStart w:id="100" w:name="ref-larsen2023GlobalHealthBurden"/>
    <w:p>
      <w:pPr>
        <w:pStyle w:val="Bibliography"/>
      </w:pPr>
      <w:r>
        <w:t xml:space="preserve">17.</w:t>
      </w:r>
      <w:r>
        <w:t xml:space="preserve"> </w:t>
      </w:r>
      <w:r>
        <w:t xml:space="preserve">	</w:t>
      </w:r>
      <w:r>
        <w:t xml:space="preserve">Larsen B, Sánchez-Triana E.</w:t>
      </w:r>
      <w:r>
        <w:t xml:space="preserve"> </w:t>
      </w:r>
      <w:hyperlink r:id="rId99">
        <w:r>
          <w:rPr>
            <w:rStyle w:val="Hyperlink"/>
          </w:rPr>
          <w:t xml:space="preserve">Global health burden and cost of lead exposure in children and adults: A health impact and economic modelling analysis</w:t>
        </w:r>
      </w:hyperlink>
      <w:r>
        <w:t xml:space="preserve">. The Lancet Planetary Health. 2023;7(10):e831–40.</w:t>
      </w:r>
      <w:r>
        <w:t xml:space="preserve"> </w:t>
      </w:r>
    </w:p>
    <w:bookmarkEnd w:id="100"/>
    <w:bookmarkStart w:id="102" w:name="X5615fc1cb9c455a90da75660348bda09fd0f967"/>
    <w:p>
      <w:pPr>
        <w:pStyle w:val="Bibliography"/>
      </w:pPr>
      <w:r>
        <w:t xml:space="preserve">18.</w:t>
      </w:r>
      <w:r>
        <w:t xml:space="preserve"> </w:t>
      </w:r>
      <w:r>
        <w:t xml:space="preserve">	</w:t>
      </w:r>
      <w:r>
        <w:t xml:space="preserve">EFSA Panel on Contaminants in the Food Chain (CONTAM).</w:t>
      </w:r>
      <w:r>
        <w:t xml:space="preserve"> </w:t>
      </w:r>
      <w:hyperlink r:id="rId101">
        <w:r>
          <w:rPr>
            <w:rStyle w:val="Hyperlink"/>
          </w:rPr>
          <w:t xml:space="preserve">Scientific</w:t>
        </w:r>
        <w:r>
          <w:rPr>
            <w:rStyle w:val="Hyperlink"/>
          </w:rPr>
          <w:t xml:space="preserve"> </w:t>
        </w:r>
        <w:r>
          <w:rPr>
            <w:rStyle w:val="Hyperlink"/>
          </w:rPr>
          <w:t xml:space="preserve">Opinion</w:t>
        </w:r>
        <w:r>
          <w:rPr>
            <w:rStyle w:val="Hyperlink"/>
          </w:rPr>
          <w:t xml:space="preserve"> </w:t>
        </w:r>
        <w:r>
          <w:rPr>
            <w:rStyle w:val="Hyperlink"/>
          </w:rPr>
          <w:t xml:space="preserve">on</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Food</w:t>
        </w:r>
      </w:hyperlink>
      <w:r>
        <w:t xml:space="preserve">. EFSA Journal. 2010;8(4):1570.</w:t>
      </w:r>
      <w:r>
        <w:t xml:space="preserve"> </w:t>
      </w:r>
    </w:p>
    <w:bookmarkEnd w:id="102"/>
    <w:bookmarkStart w:id="104" w:name="ref-schwartz1994LowLevelLeadExposure"/>
    <w:p>
      <w:pPr>
        <w:pStyle w:val="Bibliography"/>
      </w:pPr>
      <w:r>
        <w:t xml:space="preserve">19.</w:t>
      </w:r>
      <w:r>
        <w:t xml:space="preserve"> </w:t>
      </w:r>
      <w:r>
        <w:t xml:space="preserve">	</w:t>
      </w:r>
      <w:r>
        <w:t xml:space="preserve">Schwartz J.</w:t>
      </w:r>
      <w:r>
        <w:t xml:space="preserve"> </w:t>
      </w:r>
      <w:hyperlink r:id="rId103">
        <w:r>
          <w:rPr>
            <w:rStyle w:val="Hyperlink"/>
          </w:rPr>
          <w:t xml:space="preserve">Low-</w:t>
        </w:r>
        <w:r>
          <w:rPr>
            <w:rStyle w:val="Hyperlink"/>
          </w:rPr>
          <w:t xml:space="preserve">Level Lead Exposure</w:t>
        </w:r>
        <w:r>
          <w:rPr>
            <w:rStyle w:val="Hyperlink"/>
          </w:rPr>
          <w:t xml:space="preserve"> </w:t>
        </w:r>
        <w:r>
          <w:rPr>
            <w:rStyle w:val="Hyperlink"/>
          </w:rPr>
          <w:t xml:space="preserve">and</w:t>
        </w:r>
        <w:r>
          <w:rPr>
            <w:rStyle w:val="Hyperlink"/>
          </w:rPr>
          <w:t xml:space="preserve"> </w:t>
        </w:r>
        <w:r>
          <w:rPr>
            <w:rStyle w:val="Hyperlink"/>
          </w:rPr>
          <w:t xml:space="preserve">Children</w:t>
        </w:r>
        <m:oMath>
          <m:r>
            <m:rPr>
              <m:sty m:val="p"/>
            </m:rPr>
            <m:t>′</m:t>
          </m:r>
        </m:oMath>
        <w:r>
          <w:rPr>
            <w:rStyle w:val="Hyperlink"/>
          </w:rPr>
          <w:t xml:space="preserve">s</w:t>
        </w:r>
        <w:r>
          <w:rPr>
            <w:rStyle w:val="Hyperlink"/>
          </w:rPr>
          <w:t xml:space="preserve"> </w:t>
        </w:r>
        <w:r>
          <w:rPr>
            <w:rStyle w:val="Hyperlink"/>
          </w:rPr>
          <w:t xml:space="preserve">IQ</w:t>
        </w:r>
        <w:r>
          <w:rPr>
            <w:rStyle w:val="Hyperlink"/>
          </w:rPr>
          <w:t xml:space="preserve">:</w:t>
        </w:r>
        <w:r>
          <w:rPr>
            <w:rStyle w:val="Hyperlink"/>
          </w:rPr>
          <w:t xml:space="preserve"> </w:t>
        </w:r>
        <w:r>
          <w:rPr>
            <w:rStyle w:val="Hyperlink"/>
          </w:rPr>
          <w:t xml:space="preserve">A Metaanalysis</w:t>
        </w:r>
        <w:r>
          <w:rPr>
            <w:rStyle w:val="Hyperlink"/>
          </w:rPr>
          <w:t xml:space="preserve"> </w:t>
        </w:r>
        <w:r>
          <w:rPr>
            <w:rStyle w:val="Hyperlink"/>
          </w:rPr>
          <w:t xml:space="preserve">and</w:t>
        </w:r>
        <w:r>
          <w:rPr>
            <w:rStyle w:val="Hyperlink"/>
          </w:rPr>
          <w:t xml:space="preserve"> </w:t>
        </w:r>
        <w:r>
          <w:rPr>
            <w:rStyle w:val="Hyperlink"/>
          </w:rPr>
          <w:t xml:space="preserve">Search</w:t>
        </w:r>
        <w:r>
          <w:rPr>
            <w:rStyle w:val="Hyperlink"/>
          </w:rPr>
          <w:t xml:space="preserve"> </w:t>
        </w:r>
        <w:r>
          <w:rPr>
            <w:rStyle w:val="Hyperlink"/>
          </w:rPr>
          <w:t xml:space="preserve">for a</w:t>
        </w:r>
        <w:r>
          <w:rPr>
            <w:rStyle w:val="Hyperlink"/>
          </w:rPr>
          <w:t xml:space="preserve"> </w:t>
        </w:r>
        <w:r>
          <w:rPr>
            <w:rStyle w:val="Hyperlink"/>
          </w:rPr>
          <w:t xml:space="preserve">Threshold</w:t>
        </w:r>
      </w:hyperlink>
      <w:r>
        <w:t xml:space="preserve">. Environmental Research. 1994 Apr;65(1):42–55.</w:t>
      </w:r>
      <w:r>
        <w:t xml:space="preserve"> </w:t>
      </w:r>
    </w:p>
    <w:bookmarkEnd w:id="104"/>
    <w:bookmarkStart w:id="106" w:name="Xa2086c2c3f6a9ac4b676f66b1cdbbd5efdb3b23"/>
    <w:p>
      <w:pPr>
        <w:pStyle w:val="Bibliography"/>
      </w:pPr>
      <w:r>
        <w:t xml:space="preserve">20.</w:t>
      </w:r>
      <w:r>
        <w:t xml:space="preserve"> </w:t>
      </w:r>
      <w:r>
        <w:t xml:space="preserve">	</w:t>
      </w:r>
      <w:r>
        <w:t xml:space="preserve">Canfield RL, Henderson CR, Cory-Slechta DA, Cox C, Jusko TA, Lanphear BP.</w:t>
      </w:r>
      <w:r>
        <w:t xml:space="preserve"> </w:t>
      </w:r>
      <w:hyperlink r:id="rId105">
        <w:r>
          <w:rPr>
            <w:rStyle w:val="Hyperlink"/>
          </w:rPr>
          <w:t xml:space="preserve">Intellectual</w:t>
        </w:r>
        <w:r>
          <w:rPr>
            <w:rStyle w:val="Hyperlink"/>
          </w:rPr>
          <w:t xml:space="preserve"> </w:t>
        </w:r>
        <w:r>
          <w:rPr>
            <w:rStyle w:val="Hyperlink"/>
          </w:rPr>
          <w:t xml:space="preserve">Impairment</w:t>
        </w:r>
        <w:r>
          <w:rPr>
            <w:rStyle w:val="Hyperlink"/>
          </w:rPr>
          <w:t xml:space="preserve"> </w:t>
        </w:r>
        <w:r>
          <w:rPr>
            <w:rStyle w:val="Hyperlink"/>
          </w:rPr>
          <w:t xml:space="preserve">in</w:t>
        </w:r>
        <w:r>
          <w:rPr>
            <w:rStyle w:val="Hyperlink"/>
          </w:rPr>
          <w:t xml:space="preserve"> </w:t>
        </w:r>
        <w:r>
          <w:rPr>
            <w:rStyle w:val="Hyperlink"/>
          </w:rPr>
          <w:t xml:space="preserve">Children</w:t>
        </w:r>
        <w:r>
          <w:rPr>
            <w:rStyle w:val="Hyperlink"/>
          </w:rPr>
          <w:t xml:space="preserve"> </w:t>
        </w:r>
        <w:r>
          <w:rPr>
            <w:rStyle w:val="Hyperlink"/>
          </w:rPr>
          <w:t xml:space="preserve">with</w:t>
        </w:r>
        <w:r>
          <w:rPr>
            <w:rStyle w:val="Hyperlink"/>
          </w:rPr>
          <w:t xml:space="preserve"> </w:t>
        </w:r>
        <w:r>
          <w:rPr>
            <w:rStyle w:val="Hyperlink"/>
          </w:rPr>
          <w:t xml:space="preserve">Blood Lead Concentrations</w:t>
        </w:r>
        <w:r>
          <w:rPr>
            <w:rStyle w:val="Hyperlink"/>
          </w:rPr>
          <w:t xml:space="preserve"> </w:t>
        </w:r>
        <w:r>
          <w:rPr>
            <w:rStyle w:val="Hyperlink"/>
          </w:rPr>
          <w:t xml:space="preserve">below 10</w:t>
        </w:r>
        <w:r>
          <w:rPr>
            <w:rStyle w:val="Hyperlink"/>
          </w:rPr>
          <w:t xml:space="preserve"> </w:t>
        </w:r>
        <m:oMath>
          <m:r>
            <m:t>μ</m:t>
          </m:r>
        </m:oMath>
        <w:r>
          <w:rPr>
            <w:rStyle w:val="Hyperlink"/>
          </w:rPr>
          <w:t xml:space="preserve">g per</w:t>
        </w:r>
        <w:r>
          <w:rPr>
            <w:rStyle w:val="Hyperlink"/>
          </w:rPr>
          <w:t xml:space="preserve"> </w:t>
        </w:r>
        <w:r>
          <w:rPr>
            <w:rStyle w:val="Hyperlink"/>
          </w:rPr>
          <w:t xml:space="preserve">Deciliter</w:t>
        </w:r>
      </w:hyperlink>
      <w:r>
        <w:t xml:space="preserve">. N Engl J Med. 2003 Apr;348(16):1517–26.</w:t>
      </w:r>
      <w:r>
        <w:t xml:space="preserve"> </w:t>
      </w:r>
    </w:p>
    <w:bookmarkEnd w:id="106"/>
    <w:bookmarkStart w:id="108" w:name="X93c1fc7f8e1220d02cbab90c02ac44248f2b23e"/>
    <w:p>
      <w:pPr>
        <w:pStyle w:val="Bibliography"/>
      </w:pPr>
      <w:r>
        <w:t xml:space="preserve">21.</w:t>
      </w:r>
      <w:r>
        <w:t xml:space="preserve"> </w:t>
      </w:r>
      <w:r>
        <w:t xml:space="preserve">	</w:t>
      </w:r>
      <w:r>
        <w:t xml:space="preserve">Carrington C, Devleesschauwer B, Gibb HJ, Bolger PM.</w:t>
      </w:r>
      <w:r>
        <w:t xml:space="preserve"> </w:t>
      </w:r>
      <w:hyperlink r:id="rId107">
        <w:r>
          <w:rPr>
            <w:rStyle w:val="Hyperlink"/>
          </w:rPr>
          <w:t xml:space="preserve">Global burden of intellectual disability resulting from dietary exposure to lead, 2015</w:t>
        </w:r>
      </w:hyperlink>
      <w:r>
        <w:t xml:space="preserve">. Environmental Research. 2019;172:420–9.</w:t>
      </w:r>
      <w:r>
        <w:t xml:space="preserve"> </w:t>
      </w:r>
    </w:p>
    <w:bookmarkEnd w:id="108"/>
    <w:bookmarkStart w:id="110" w:name="ref-figueroa2024LossCognitiveFunction"/>
    <w:p>
      <w:pPr>
        <w:pStyle w:val="Bibliography"/>
      </w:pPr>
      <w:r>
        <w:t xml:space="preserve">22.</w:t>
      </w:r>
      <w:r>
        <w:t xml:space="preserve"> </w:t>
      </w:r>
      <w:r>
        <w:t xml:space="preserve">	</w:t>
      </w:r>
      <w:r>
        <w:t xml:space="preserve">Figueroa JL, Rodríguez-Atristain A, Bautista-Arredondo LF, Treviño CL, Martínez MR, Valdivia BT, et al.</w:t>
      </w:r>
      <w:r>
        <w:t xml:space="preserve"> </w:t>
      </w:r>
      <w:hyperlink r:id="rId109">
        <w:r>
          <w:rPr>
            <w:rStyle w:val="Hyperlink"/>
          </w:rPr>
          <w:t xml:space="preserve">Loss of cognitive function in</w:t>
        </w:r>
        <w:r>
          <w:rPr>
            <w:rStyle w:val="Hyperlink"/>
          </w:rPr>
          <w:t xml:space="preserve"> </w:t>
        </w:r>
        <w:r>
          <w:rPr>
            <w:rStyle w:val="Hyperlink"/>
          </w:rPr>
          <w:t xml:space="preserve">Mexican</w:t>
        </w:r>
        <w:r>
          <w:rPr>
            <w:rStyle w:val="Hyperlink"/>
          </w:rPr>
          <w:t xml:space="preserve"> </w:t>
        </w:r>
        <w:r>
          <w:rPr>
            <w:rStyle w:val="Hyperlink"/>
          </w:rPr>
          <w:t xml:space="preserve">children due to lead exposure and the associated economic costs</w:t>
        </w:r>
      </w:hyperlink>
      <w:r>
        <w:t xml:space="preserve">. Environmental Research. 2024 Dec;263:120013.</w:t>
      </w:r>
      <w:r>
        <w:t xml:space="preserve"> </w:t>
      </w:r>
    </w:p>
    <w:bookmarkEnd w:id="110"/>
    <w:bookmarkStart w:id="112" w:name="ref-mcfarland2022HalfUSPopulation"/>
    <w:p>
      <w:pPr>
        <w:pStyle w:val="Bibliography"/>
      </w:pPr>
      <w:r>
        <w:t xml:space="preserve">23.</w:t>
      </w:r>
      <w:r>
        <w:t xml:space="preserve"> </w:t>
      </w:r>
      <w:r>
        <w:t xml:space="preserve">	</w:t>
      </w:r>
      <w:r>
        <w:t xml:space="preserve">McFarland MJ, Hauer ME, Reuben A.</w:t>
      </w:r>
      <w:r>
        <w:t xml:space="preserve"> </w:t>
      </w:r>
      <w:hyperlink r:id="rId111">
        <w:r>
          <w:rPr>
            <w:rStyle w:val="Hyperlink"/>
          </w:rPr>
          <w:t xml:space="preserve">Half of</w:t>
        </w:r>
        <w:r>
          <w:rPr>
            <w:rStyle w:val="Hyperlink"/>
          </w:rPr>
          <w:t xml:space="preserve"> </w:t>
        </w:r>
        <w:r>
          <w:rPr>
            <w:rStyle w:val="Hyperlink"/>
          </w:rPr>
          <w:t xml:space="preserve">US</w:t>
        </w:r>
        <w:r>
          <w:rPr>
            <w:rStyle w:val="Hyperlink"/>
          </w:rPr>
          <w:t xml:space="preserve"> </w:t>
        </w:r>
        <w:r>
          <w:rPr>
            <w:rStyle w:val="Hyperlink"/>
          </w:rPr>
          <w:t xml:space="preserve">population exposed to adverse lead levels in early childhood</w:t>
        </w:r>
      </w:hyperlink>
      <w:r>
        <w:t xml:space="preserve">. Proc Natl Acad Sci USA. 2022 Mar;119(11):e2118631119.</w:t>
      </w:r>
      <w:r>
        <w:t xml:space="preserve"> </w:t>
      </w:r>
    </w:p>
    <w:bookmarkEnd w:id="112"/>
    <w:bookmarkStart w:id="114" w:name="ref-crump2013StatisticalReevaluationData"/>
    <w:p>
      <w:pPr>
        <w:pStyle w:val="Bibliography"/>
      </w:pPr>
      <w:r>
        <w:t xml:space="preserve">24.</w:t>
      </w:r>
      <w:r>
        <w:t xml:space="preserve"> </w:t>
      </w:r>
      <w:r>
        <w:t xml:space="preserve">	</w:t>
      </w:r>
      <w:r>
        <w:t xml:space="preserve">Crump KS, Van Landingham C, Bowers TS, Cahoy D, Chandalia JK.</w:t>
      </w:r>
      <w:r>
        <w:t xml:space="preserve"> </w:t>
      </w:r>
      <w:hyperlink r:id="rId113">
        <w:r>
          <w:rPr>
            <w:rStyle w:val="Hyperlink"/>
          </w:rPr>
          <w:t xml:space="preserve">A statistical reevaluation of the data used in the</w:t>
        </w:r>
        <w:r>
          <w:rPr>
            <w:rStyle w:val="Hyperlink"/>
          </w:rPr>
          <w:t xml:space="preserve"> </w:t>
        </w:r>
        <w:r>
          <w:rPr>
            <w:rStyle w:val="Hyperlink"/>
          </w:rPr>
          <w:t xml:space="preserve">Lanphear</w:t>
        </w:r>
        <w:r>
          <w:rPr>
            <w:rStyle w:val="Hyperlink"/>
          </w:rPr>
          <w:t xml:space="preserve"> </w:t>
        </w:r>
        <w:r>
          <w:rPr>
            <w:rStyle w:val="Hyperlink"/>
          </w:rPr>
          <w:t xml:space="preserve">et al. ( 2005 ) pooled-analysis that related low levels of blood lead to intellectual deficits in children</w:t>
        </w:r>
      </w:hyperlink>
      <w:r>
        <w:t xml:space="preserve">. Crit Rev Toxicol. 2013;43(9):785–99.</w:t>
      </w:r>
      <w:r>
        <w:t xml:space="preserve"> </w:t>
      </w:r>
    </w:p>
    <w:bookmarkEnd w:id="114"/>
    <w:bookmarkStart w:id="116" w:name="X33f03e29791f20cdbbbbf0729c723b16e55ed16"/>
    <w:p>
      <w:pPr>
        <w:pStyle w:val="Bibliography"/>
      </w:pPr>
      <w:r>
        <w:t xml:space="preserve">25.</w:t>
      </w:r>
      <w:r>
        <w:t xml:space="preserve"> </w:t>
      </w:r>
      <w:r>
        <w:t xml:space="preserve">	</w:t>
      </w:r>
      <w:r>
        <w:t xml:space="preserve">Lanphear BP, Hornung R, Khoury J, Yolton K, Baghurst P, Bellinger DC, et al.</w:t>
      </w:r>
      <w:r>
        <w:t xml:space="preserve"> </w:t>
      </w:r>
      <w:hyperlink r:id="rId115">
        <w:r>
          <w:rPr>
            <w:rStyle w:val="Hyperlink"/>
          </w:rPr>
          <w:t xml:space="preserve">Erratum:</w:t>
        </w:r>
        <w:r>
          <w:rPr>
            <w:rStyle w:val="Hyperlink"/>
          </w:rPr>
          <w:t xml:space="preserve"> </w:t>
        </w:r>
        <w:r>
          <w:rPr>
            <w:rStyle w:val="Hyperlink"/>
          </w:rPr>
          <w:t xml:space="preserve">“</w:t>
        </w:r>
        <w:r>
          <w:rPr>
            <w:rStyle w:val="Hyperlink"/>
          </w:rPr>
          <w:t xml:space="preserve">Low-Level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r>
          <w:rPr>
            <w:rStyle w:val="Hyperlink"/>
          </w:rPr>
          <w:t xml:space="preserve">”</w:t>
        </w:r>
      </w:hyperlink>
      <w:r>
        <w:t xml:space="preserve">. Environ Health Perspect. 2019 Sep;127(9):099001.</w:t>
      </w:r>
      <w:r>
        <w:t xml:space="preserve"> </w:t>
      </w:r>
    </w:p>
    <w:bookmarkEnd w:id="116"/>
    <w:bookmarkStart w:id="118" w:name="X035620408d1fb22c7ed381e74f0468c30df4612"/>
    <w:p>
      <w:pPr>
        <w:pStyle w:val="Bibliography"/>
      </w:pPr>
      <w:r>
        <w:t xml:space="preserve">26.</w:t>
      </w:r>
      <w:r>
        <w:t xml:space="preserve"> </w:t>
      </w:r>
      <w:r>
        <w:t xml:space="preserve">	</w:t>
      </w:r>
      <w:r>
        <w:t xml:space="preserve">Grant R, Di Tanna GL.</w:t>
      </w:r>
      <w:r>
        <w:t xml:space="preserve"> </w:t>
      </w:r>
      <w:hyperlink r:id="rId117">
        <w:r>
          <w:rPr>
            <w:rStyle w:val="Hyperlink"/>
          </w:rPr>
          <w:t xml:space="preserve">Bayesian</w:t>
        </w:r>
        <w:r>
          <w:rPr>
            <w:rStyle w:val="Hyperlink"/>
          </w:rPr>
          <w:t xml:space="preserve"> </w:t>
        </w:r>
        <w:r>
          <w:rPr>
            <w:rStyle w:val="Hyperlink"/>
          </w:rPr>
          <w:t xml:space="preserve">Meta-Analysis</w:t>
        </w:r>
        <w:r>
          <w:rPr>
            <w:rStyle w:val="Hyperlink"/>
          </w:rPr>
          <w:t xml:space="preserve">:</w:t>
        </w:r>
        <w:r>
          <w:rPr>
            <w:rStyle w:val="Hyperlink"/>
          </w:rPr>
          <w:t xml:space="preserve"> </w:t>
        </w:r>
        <w:r>
          <w:rPr>
            <w:rStyle w:val="Hyperlink"/>
          </w:rPr>
          <w:t xml:space="preserve">A Practical Introduction</w:t>
        </w:r>
      </w:hyperlink>
      <w:r>
        <w:t xml:space="preserve">. 1st ed. Boca Raton:</w:t>
      </w:r>
      <w:r>
        <w:t xml:space="preserve"> </w:t>
      </w:r>
      <w:r>
        <w:t xml:space="preserve">Chapman and Hall/CRC</w:t>
      </w:r>
      <w:r>
        <w:t xml:space="preserve">; 2025.</w:t>
      </w:r>
      <w:r>
        <w:t xml:space="preserve"> </w:t>
      </w:r>
    </w:p>
    <w:bookmarkEnd w:id="118"/>
    <w:bookmarkStart w:id="120" w:name="X837f91f784566061977da85c17a5755a81dedde"/>
    <w:p>
      <w:pPr>
        <w:pStyle w:val="Bibliography"/>
      </w:pPr>
      <w:r>
        <w:t xml:space="preserve">27.</w:t>
      </w:r>
      <w:r>
        <w:t xml:space="preserve"> </w:t>
      </w:r>
      <w:r>
        <w:t xml:space="preserve">	</w:t>
      </w:r>
      <w:r>
        <w:t xml:space="preserve">Hoekstra R, Morey RD, Rouder JN, Wagenmakers EJ.</w:t>
      </w:r>
      <w:r>
        <w:t xml:space="preserve"> </w:t>
      </w:r>
      <w:hyperlink r:id="rId119">
        <w:r>
          <w:rPr>
            <w:rStyle w:val="Hyperlink"/>
          </w:rPr>
          <w:t xml:space="preserve">Robust misinterpretation of confidence intervals</w:t>
        </w:r>
      </w:hyperlink>
      <w:r>
        <w:t xml:space="preserve">. Psychon Bull Rev. 2014 Oct;21(5):1157–64.</w:t>
      </w:r>
      <w:r>
        <w:t xml:space="preserve"> </w:t>
      </w:r>
    </w:p>
    <w:bookmarkEnd w:id="120"/>
    <w:bookmarkStart w:id="122" w:name="ref-page2021PRISMA2020Statement"/>
    <w:p>
      <w:pPr>
        <w:pStyle w:val="Bibliography"/>
      </w:pPr>
      <w:r>
        <w:t xml:space="preserve">28.</w:t>
      </w:r>
      <w:r>
        <w:t xml:space="preserve"> </w:t>
      </w:r>
      <w:r>
        <w:t xml:space="preserve">	</w:t>
      </w:r>
      <w:r>
        <w:t xml:space="preserve">Page MJ, McKenzie JE, Bossuyt PM, Boutron I, Hoffmann TC, Mulrow CD, et al.</w:t>
      </w:r>
      <w:r>
        <w:t xml:space="preserve"> </w:t>
      </w:r>
      <w:hyperlink r:id="rId121">
        <w:r>
          <w:rPr>
            <w:rStyle w:val="Hyperlink"/>
          </w:rPr>
          <w:t xml:space="preserve">The</w:t>
        </w:r>
        <w:r>
          <w:rPr>
            <w:rStyle w:val="Hyperlink"/>
          </w:rPr>
          <w:t xml:space="preserve"> </w:t>
        </w:r>
        <w:r>
          <w:rPr>
            <w:rStyle w:val="Hyperlink"/>
          </w:rPr>
          <w:t xml:space="preserve">PRISMA</w:t>
        </w:r>
        <w:r>
          <w:rPr>
            <w:rStyle w:val="Hyperlink"/>
          </w:rPr>
          <w:t xml:space="preserve"> </w:t>
        </w:r>
        <w:r>
          <w:rPr>
            <w:rStyle w:val="Hyperlink"/>
          </w:rPr>
          <w:t xml:space="preserve">2020 statement: An updated guideline for reporting systematic reviews</w:t>
        </w:r>
      </w:hyperlink>
      <w:r>
        <w:t xml:space="preserve">. BMJ. 2021 Mar;n71.</w:t>
      </w:r>
      <w:r>
        <w:t xml:space="preserve"> </w:t>
      </w:r>
    </w:p>
    <w:bookmarkEnd w:id="122"/>
    <w:bookmarkStart w:id="124" w:name="X5cae6442bbe0e1f5d8df6cd5008aab2dbfb65a6"/>
    <w:p>
      <w:pPr>
        <w:pStyle w:val="Bibliography"/>
      </w:pPr>
      <w:r>
        <w:t xml:space="preserve">29.</w:t>
      </w:r>
      <w:r>
        <w:t xml:space="preserve"> </w:t>
      </w:r>
      <w:r>
        <w:t xml:space="preserve">	</w:t>
      </w:r>
      <w:r>
        <w:t xml:space="preserve">Kruschke JK.</w:t>
      </w:r>
      <w:r>
        <w:t xml:space="preserve"> </w:t>
      </w:r>
      <w:hyperlink r:id="rId123">
        <w:r>
          <w:rPr>
            <w:rStyle w:val="Hyperlink"/>
          </w:rPr>
          <w:t xml:space="preserve">Bayesian</w:t>
        </w:r>
        <w:r>
          <w:rPr>
            <w:rStyle w:val="Hyperlink"/>
          </w:rPr>
          <w:t xml:space="preserve"> </w:t>
        </w:r>
        <w:r>
          <w:rPr>
            <w:rStyle w:val="Hyperlink"/>
          </w:rPr>
          <w:t xml:space="preserve">Analysis Reporting Guidelines</w:t>
        </w:r>
      </w:hyperlink>
      <w:r>
        <w:t xml:space="preserve">. Nat Hum Behav. 2021 Aug;5(10):1282–91.</w:t>
      </w:r>
      <w:r>
        <w:t xml:space="preserve"> </w:t>
      </w:r>
    </w:p>
    <w:bookmarkEnd w:id="124"/>
    <w:bookmarkStart w:id="125" w:name="Xf5486a80753c915bf34b5d8f3ad5e46aac479a7"/>
    <w:p>
      <w:pPr>
        <w:pStyle w:val="Bibliography"/>
      </w:pPr>
      <w:r>
        <w:t xml:space="preserve">30.</w:t>
      </w:r>
      <w:r>
        <w:t xml:space="preserve"> </w:t>
      </w:r>
      <w:r>
        <w:t xml:space="preserve">	</w:t>
      </w:r>
      <w:r>
        <w:t xml:space="preserve">NTP OHAT.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 2019;</w:t>
      </w:r>
      <w:r>
        <w:t xml:space="preserve"> </w:t>
      </w:r>
    </w:p>
    <w:bookmarkEnd w:id="125"/>
    <w:bookmarkStart w:id="127" w:name="ref-plate2024DevelopmentToolRapid"/>
    <w:p>
      <w:pPr>
        <w:pStyle w:val="Bibliography"/>
      </w:pPr>
      <w:r>
        <w:t xml:space="preserve">31.</w:t>
      </w:r>
      <w:r>
        <w:t xml:space="preserve"> </w:t>
      </w:r>
      <w:r>
        <w:t xml:space="preserve">	</w:t>
      </w:r>
      <w:r>
        <w:t xml:space="preserve">Plate K, Knüppel S, Hornbacher A, Greiner M, Müller-Graf C.</w:t>
      </w:r>
      <w:r>
        <w:t xml:space="preserve"> </w:t>
      </w:r>
      <w:hyperlink r:id="rId126">
        <w:r>
          <w:rPr>
            <w:rStyle w:val="Hyperlink"/>
          </w:rPr>
          <w:t xml:space="preserve">Development of a tool for rapid assessment of the evidence of human observational epidemiological studies with focus on risk of bias in the context of public health and risk assessment</w:t>
        </w:r>
      </w:hyperlink>
      <w:r>
        <w:t xml:space="preserve">. EFS3. 2024 Jul;21(7).</w:t>
      </w:r>
      <w:r>
        <w:t xml:space="preserve"> </w:t>
      </w:r>
    </w:p>
    <w:bookmarkEnd w:id="127"/>
    <w:bookmarkStart w:id="129" w:name="ref-halabicky2023LowLevelLead"/>
    <w:p>
      <w:pPr>
        <w:pStyle w:val="Bibliography"/>
      </w:pPr>
      <w:r>
        <w:t xml:space="preserve">32.</w:t>
      </w:r>
      <w:r>
        <w:t xml:space="preserve"> </w:t>
      </w:r>
      <w:r>
        <w:t xml:space="preserve">	</w:t>
      </w:r>
      <w:r>
        <w:t xml:space="preserve">Halabicky OM, Pinto-Martin JA, Compton P, Liu J.</w:t>
      </w:r>
      <w:r>
        <w:t xml:space="preserve"> </w:t>
      </w:r>
      <w:hyperlink r:id="rId128">
        <w:r>
          <w:rPr>
            <w:rStyle w:val="Hyperlink"/>
          </w:rPr>
          <w:t xml:space="preserve">Low level lead exposure in early childhood and parental education on adolescent</w:t>
        </w:r>
        <w:r>
          <w:rPr>
            <w:rStyle w:val="Hyperlink"/>
          </w:rPr>
          <w:t xml:space="preserve"> </w:t>
        </w:r>
        <w:r>
          <w:rPr>
            <w:rStyle w:val="Hyperlink"/>
          </w:rPr>
          <w:t xml:space="preserve">IQ</w:t>
        </w:r>
        <w:r>
          <w:rPr>
            <w:rStyle w:val="Hyperlink"/>
          </w:rPr>
          <w:t xml:space="preserve"> </w:t>
        </w:r>
        <w:r>
          <w:rPr>
            <w:rStyle w:val="Hyperlink"/>
          </w:rPr>
          <w:t xml:space="preserve">and working memory: A cohort study</w:t>
        </w:r>
      </w:hyperlink>
      <w:r>
        <w:t xml:space="preserve">. Journal of Exposure Science &amp; Environmental Epidemiology. 2023;33(2):168–76.</w:t>
      </w:r>
      <w:r>
        <w:t xml:space="preserve"> </w:t>
      </w:r>
    </w:p>
    <w:bookmarkEnd w:id="129"/>
    <w:bookmarkStart w:id="131" w:name="ref-chen2005IQBloodLead"/>
    <w:p>
      <w:pPr>
        <w:pStyle w:val="Bibliography"/>
      </w:pPr>
      <w:r>
        <w:t xml:space="preserve">33.</w:t>
      </w:r>
      <w:r>
        <w:t xml:space="preserve"> </w:t>
      </w:r>
      <w:r>
        <w:t xml:space="preserve">	</w:t>
      </w:r>
      <w:r>
        <w:t xml:space="preserve">Chen A, Dietrich KN, Ware JH, Radcliffe J, Rogan WJ.</w:t>
      </w:r>
      <w:r>
        <w:t xml:space="preserve"> </w:t>
      </w:r>
      <w:hyperlink r:id="rId130">
        <w:r>
          <w:rPr>
            <w:rStyle w:val="Hyperlink"/>
          </w:rPr>
          <w:t xml:space="preserve">IQ</w:t>
        </w:r>
        <w:r>
          <w:rPr>
            <w:rStyle w:val="Hyperlink"/>
          </w:rPr>
          <w:t xml:space="preserve"> </w:t>
        </w:r>
        <w:r>
          <w:rPr>
            <w:rStyle w:val="Hyperlink"/>
          </w:rPr>
          <w:t xml:space="preserve">and</w:t>
        </w:r>
        <w:r>
          <w:rPr>
            <w:rStyle w:val="Hyperlink"/>
          </w:rPr>
          <w:t xml:space="preserve"> </w:t>
        </w:r>
        <w:r>
          <w:rPr>
            <w:rStyle w:val="Hyperlink"/>
          </w:rPr>
          <w:t xml:space="preserve">Blood Lead</w:t>
        </w:r>
        <w:r>
          <w:rPr>
            <w:rStyle w:val="Hyperlink"/>
          </w:rPr>
          <w:t xml:space="preserve"> </w:t>
        </w:r>
        <w:r>
          <w:rPr>
            <w:rStyle w:val="Hyperlink"/>
          </w:rPr>
          <w:t xml:space="preserve">from 2 to 7</w:t>
        </w:r>
        <w:r>
          <w:rPr>
            <w:rStyle w:val="Hyperlink"/>
          </w:rPr>
          <w:t xml:space="preserve"> </w:t>
        </w:r>
        <w:r>
          <w:rPr>
            <w:rStyle w:val="Hyperlink"/>
          </w:rPr>
          <w:t xml:space="preserve">Years</w:t>
        </w:r>
        <w:r>
          <w:rPr>
            <w:rStyle w:val="Hyperlink"/>
          </w:rPr>
          <w:t xml:space="preserve"> </w:t>
        </w:r>
        <w:r>
          <w:rPr>
            <w:rStyle w:val="Hyperlink"/>
          </w:rPr>
          <w:t xml:space="preserve">of</w:t>
        </w:r>
        <w:r>
          <w:rPr>
            <w:rStyle w:val="Hyperlink"/>
          </w:rPr>
          <w:t xml:space="preserve"> </w:t>
        </w:r>
        <w:r>
          <w:rPr>
            <w:rStyle w:val="Hyperlink"/>
          </w:rPr>
          <w:t xml:space="preserve">Age</w:t>
        </w:r>
        <w:r>
          <w:rPr>
            <w:rStyle w:val="Hyperlink"/>
          </w:rPr>
          <w:t xml:space="preserve">:</w:t>
        </w:r>
        <w:r>
          <w:rPr>
            <w:rStyle w:val="Hyperlink"/>
          </w:rPr>
          <w:t xml:space="preserve"> </w:t>
        </w:r>
        <w:r>
          <w:rPr>
            <w:rStyle w:val="Hyperlink"/>
          </w:rPr>
          <w:t xml:space="preserve">Are</w:t>
        </w:r>
        <w:r>
          <w:rPr>
            <w:rStyle w:val="Hyperlink"/>
          </w:rPr>
          <w:t xml:space="preserve"> </w:t>
        </w:r>
        <w:r>
          <w:rPr>
            <w:rStyle w:val="Hyperlink"/>
          </w:rPr>
          <w:t xml:space="preserve">the</w:t>
        </w:r>
        <w:r>
          <w:rPr>
            <w:rStyle w:val="Hyperlink"/>
          </w:rPr>
          <w:t xml:space="preserve"> </w:t>
        </w:r>
        <w:r>
          <w:rPr>
            <w:rStyle w:val="Hyperlink"/>
          </w:rPr>
          <w:t xml:space="preserve">Effects</w:t>
        </w:r>
        <w:r>
          <w:rPr>
            <w:rStyle w:val="Hyperlink"/>
          </w:rPr>
          <w:t xml:space="preserve"> </w:t>
        </w:r>
        <w:r>
          <w:rPr>
            <w:rStyle w:val="Hyperlink"/>
          </w:rPr>
          <w:t xml:space="preserve">in</w:t>
        </w:r>
        <w:r>
          <w:rPr>
            <w:rStyle w:val="Hyperlink"/>
          </w:rPr>
          <w:t xml:space="preserve"> </w:t>
        </w:r>
        <w:r>
          <w:rPr>
            <w:rStyle w:val="Hyperlink"/>
          </w:rPr>
          <w:t xml:space="preserve">Older Children</w:t>
        </w:r>
        <w:r>
          <w:rPr>
            <w:rStyle w:val="Hyperlink"/>
          </w:rPr>
          <w:t xml:space="preserve"> </w:t>
        </w:r>
        <w:r>
          <w:rPr>
            <w:rStyle w:val="Hyperlink"/>
          </w:rPr>
          <w:t xml:space="preserve">the</w:t>
        </w:r>
        <w:r>
          <w:rPr>
            <w:rStyle w:val="Hyperlink"/>
          </w:rPr>
          <w:t xml:space="preserve"> </w:t>
        </w:r>
        <w:r>
          <w:rPr>
            <w:rStyle w:val="Hyperlink"/>
          </w:rPr>
          <w:t xml:space="preserve">Residual</w:t>
        </w:r>
        <w:r>
          <w:rPr>
            <w:rStyle w:val="Hyperlink"/>
          </w:rPr>
          <w:t xml:space="preserve"> </w:t>
        </w:r>
        <w:r>
          <w:rPr>
            <w:rStyle w:val="Hyperlink"/>
          </w:rPr>
          <w:t xml:space="preserve">of</w:t>
        </w:r>
        <w:r>
          <w:rPr>
            <w:rStyle w:val="Hyperlink"/>
          </w:rPr>
          <w:t xml:space="preserve"> </w:t>
        </w:r>
        <w:r>
          <w:rPr>
            <w:rStyle w:val="Hyperlink"/>
          </w:rPr>
          <w:t xml:space="preserve">High Blood Lead Concentrations</w:t>
        </w:r>
        <w:r>
          <w:rPr>
            <w:rStyle w:val="Hyperlink"/>
          </w:rPr>
          <w:t xml:space="preserve"> </w:t>
        </w:r>
        <w:r>
          <w:rPr>
            <w:rStyle w:val="Hyperlink"/>
          </w:rPr>
          <w:t xml:space="preserve">in 2-</w:t>
        </w:r>
        <w:r>
          <w:rPr>
            <w:rStyle w:val="Hyperlink"/>
          </w:rPr>
          <w:t xml:space="preserve">Year-Olds</w:t>
        </w:r>
        <w:r>
          <w:rPr>
            <w:rStyle w:val="Hyperlink"/>
          </w:rPr>
          <w:t xml:space="preserve">?</w:t>
        </w:r>
      </w:hyperlink>
      <w:r>
        <w:t xml:space="preserve"> Environmental Health Perspectives. 2005;113(5):597–601.</w:t>
      </w:r>
      <w:r>
        <w:t xml:space="preserve"> </w:t>
      </w:r>
    </w:p>
    <w:bookmarkEnd w:id="131"/>
    <w:bookmarkStart w:id="133" w:name="Xcf7993c3f58afaabaf73be6238c67f4f63053d9"/>
    <w:p>
      <w:pPr>
        <w:pStyle w:val="Bibliography"/>
      </w:pPr>
      <w:r>
        <w:t xml:space="preserve">34.</w:t>
      </w:r>
      <w:r>
        <w:t xml:space="preserve"> </w:t>
      </w:r>
      <w:r>
        <w:t xml:space="preserve">	</w:t>
      </w:r>
      <w:r>
        <w:t xml:space="preserve">Schnaas L, Rothenberg Stephen J, Flores MF, Martinez S, Hernandez C, Osorio E, et al.</w:t>
      </w:r>
      <w:r>
        <w:t xml:space="preserve"> </w:t>
      </w:r>
      <w:hyperlink r:id="rId132">
        <w:r>
          <w:rPr>
            <w:rStyle w:val="Hyperlink"/>
          </w:rPr>
          <w:t xml:space="preserve">Reduced</w:t>
        </w:r>
        <w:r>
          <w:rPr>
            <w:rStyle w:val="Hyperlink"/>
          </w:rPr>
          <w:t xml:space="preserve"> </w:t>
        </w:r>
        <w:r>
          <w:rPr>
            <w:rStyle w:val="Hyperlink"/>
          </w:rPr>
          <w:t xml:space="preserve">Intellectual Development</w:t>
        </w:r>
        <w:r>
          <w:rPr>
            <w:rStyle w:val="Hyperlink"/>
          </w:rPr>
          <w:t xml:space="preserve"> </w:t>
        </w:r>
        <w:r>
          <w:rPr>
            <w:rStyle w:val="Hyperlink"/>
          </w:rPr>
          <w:t xml:space="preserve">in</w:t>
        </w:r>
        <w:r>
          <w:rPr>
            <w:rStyle w:val="Hyperlink"/>
          </w:rPr>
          <w:t xml:space="preserve"> </w:t>
        </w:r>
        <w:r>
          <w:rPr>
            <w:rStyle w:val="Hyperlink"/>
          </w:rPr>
          <w:t xml:space="preserve">Children</w:t>
        </w:r>
        <w:r>
          <w:rPr>
            <w:rStyle w:val="Hyperlink"/>
          </w:rPr>
          <w:t xml:space="preserve"> </w:t>
        </w:r>
        <w:r>
          <w:rPr>
            <w:rStyle w:val="Hyperlink"/>
          </w:rPr>
          <w:t xml:space="preserve">with</w:t>
        </w:r>
        <w:r>
          <w:rPr>
            <w:rStyle w:val="Hyperlink"/>
          </w:rPr>
          <w:t xml:space="preserve"> </w:t>
        </w:r>
        <w:r>
          <w:rPr>
            <w:rStyle w:val="Hyperlink"/>
          </w:rPr>
          <w:t xml:space="preserve">Prenatal Lead Exposure</w:t>
        </w:r>
      </w:hyperlink>
      <w:r>
        <w:t xml:space="preserve">. Environmental Health Perspectives. 2006;114(5):791–7.</w:t>
      </w:r>
      <w:r>
        <w:t xml:space="preserve"> </w:t>
      </w:r>
    </w:p>
    <w:bookmarkEnd w:id="133"/>
    <w:bookmarkStart w:id="134" w:name="X4bd034c52731e178b4de125c2c778bdc533803c"/>
    <w:p>
      <w:pPr>
        <w:pStyle w:val="Bibliography"/>
      </w:pPr>
      <w:r>
        <w:t xml:space="preserve">35.</w:t>
      </w:r>
      <w:r>
        <w:t xml:space="preserve"> </w:t>
      </w:r>
      <w:r>
        <w:t xml:space="preserve">	</w:t>
      </w:r>
      <w:r>
        <w:t xml:space="preserve">R Core Team.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 Vienna, Austria: R Foundation for Statistical Computing; 2024.</w:t>
      </w:r>
      <w:r>
        <w:t xml:space="preserve"> </w:t>
      </w:r>
    </w:p>
    <w:bookmarkEnd w:id="134"/>
    <w:bookmarkStart w:id="136" w:name="ref-burkner2017BrmsPackageBayesian"/>
    <w:p>
      <w:pPr>
        <w:pStyle w:val="Bibliography"/>
      </w:pPr>
      <w:r>
        <w:t xml:space="preserve">36.</w:t>
      </w:r>
      <w:r>
        <w:t xml:space="preserve"> </w:t>
      </w:r>
      <w:r>
        <w:t xml:space="preserve">	</w:t>
      </w:r>
      <w:r>
        <w:t xml:space="preserve">Bürkner PC.</w:t>
      </w:r>
      <w:r>
        <w:t xml:space="preserve"> </w:t>
      </w:r>
      <w:hyperlink r:id="rId135">
        <w:r>
          <w:rPr>
            <w:rStyle w:val="Hyperlink"/>
            <w:b/>
            <w:bCs/>
          </w:rPr>
          <w:t xml:space="preserve">Brms</w:t>
        </w:r>
        <w:r>
          <w:rPr>
            <w:rStyle w:val="Hyperlink"/>
          </w:rPr>
          <w:t xml:space="preserve"> </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i/>
            <w:iCs/>
          </w:rPr>
          <w:t xml:space="preserve">R</w:t>
        </w:r>
        <w:r>
          <w:rPr>
            <w:rStyle w:val="Hyperlink"/>
          </w:rPr>
          <w:t xml:space="preserve"> </w:t>
        </w:r>
        <w:r>
          <w:rPr>
            <w:rStyle w:val="Hyperlink"/>
          </w:rPr>
          <w:t xml:space="preserve">Package</w:t>
        </w:r>
        <w:r>
          <w:rPr>
            <w:rStyle w:val="Hyperlink"/>
          </w:rPr>
          <w:t xml:space="preserve"> </w:t>
        </w:r>
        <w:r>
          <w:rPr>
            <w:rStyle w:val="Hyperlink"/>
          </w:rPr>
          <w:t xml:space="preserve">for</w:t>
        </w:r>
        <w:r>
          <w:rPr>
            <w:rStyle w:val="Hyperlink"/>
          </w:rPr>
          <w:t xml:space="preserve"> </w:t>
        </w:r>
        <w:r>
          <w:rPr>
            <w:rStyle w:val="Hyperlink"/>
          </w:rPr>
          <w:t xml:space="preserve">Bayesian Multilevel Models Using</w:t>
        </w:r>
        <w:r>
          <w:rPr>
            <w:rStyle w:val="Hyperlink"/>
          </w:rPr>
          <w:t xml:space="preserve"> </w:t>
        </w:r>
        <w:r>
          <w:rPr>
            <w:rStyle w:val="Hyperlink"/>
            <w:i/>
            <w:iCs/>
          </w:rPr>
          <w:t xml:space="preserve">Stan</w:t>
        </w:r>
      </w:hyperlink>
      <w:r>
        <w:t xml:space="preserve">. J Stat Soft. 2017;80(1).</w:t>
      </w:r>
      <w:r>
        <w:t xml:space="preserve"> </w:t>
      </w:r>
    </w:p>
    <w:bookmarkEnd w:id="136"/>
    <w:bookmarkStart w:id="138" w:name="ref-hoffman2011NoUTurnSamplerAdaptively"/>
    <w:p>
      <w:pPr>
        <w:pStyle w:val="Bibliography"/>
      </w:pPr>
      <w:r>
        <w:t xml:space="preserve">37.</w:t>
      </w:r>
      <w:r>
        <w:t xml:space="preserve"> </w:t>
      </w:r>
      <w:r>
        <w:t xml:space="preserve">	</w:t>
      </w:r>
      <w:r>
        <w:t xml:space="preserve">Hoffman MD, Gelman A.</w:t>
      </w:r>
      <w:r>
        <w:t xml:space="preserve"> </w:t>
      </w:r>
      <w:hyperlink r:id="rId137">
        <w:r>
          <w:rPr>
            <w:rStyle w:val="Hyperlink"/>
          </w:rPr>
          <w:t xml:space="preserve">The</w:t>
        </w:r>
        <w:r>
          <w:rPr>
            <w:rStyle w:val="Hyperlink"/>
          </w:rPr>
          <w:t xml:space="preserve"> </w:t>
        </w:r>
        <w:r>
          <w:rPr>
            <w:rStyle w:val="Hyperlink"/>
          </w:rPr>
          <w:t xml:space="preserve">No-U-Turn Sampler</w:t>
        </w:r>
        <w:r>
          <w:rPr>
            <w:rStyle w:val="Hyperlink"/>
          </w:rPr>
          <w:t xml:space="preserve">:</w:t>
        </w:r>
        <w:r>
          <w:rPr>
            <w:rStyle w:val="Hyperlink"/>
          </w:rPr>
          <w:t xml:space="preserve"> </w:t>
        </w:r>
        <w:r>
          <w:rPr>
            <w:rStyle w:val="Hyperlink"/>
          </w:rPr>
          <w:t xml:space="preserve">Adaptively Setting Path Lengths</w:t>
        </w:r>
        <w:r>
          <w:rPr>
            <w:rStyle w:val="Hyperlink"/>
          </w:rPr>
          <w:t xml:space="preserve"> </w:t>
        </w:r>
        <w:r>
          <w:rPr>
            <w:rStyle w:val="Hyperlink"/>
          </w:rPr>
          <w:t xml:space="preserve">in</w:t>
        </w:r>
        <w:r>
          <w:rPr>
            <w:rStyle w:val="Hyperlink"/>
          </w:rPr>
          <w:t xml:space="preserve"> </w:t>
        </w:r>
        <w:r>
          <w:rPr>
            <w:rStyle w:val="Hyperlink"/>
          </w:rPr>
          <w:t xml:space="preserve">Hamiltonian Monte Carlo</w:t>
        </w:r>
      </w:hyperlink>
      <w:r>
        <w:t xml:space="preserve">. arXiv; 2011.</w:t>
      </w:r>
      <w:r>
        <w:t xml:space="preserve"> </w:t>
      </w:r>
    </w:p>
    <w:bookmarkEnd w:id="138"/>
    <w:bookmarkStart w:id="139" w:name="X21bf392f662dc1b38e9a7fa4b314fc7a471696b"/>
    <w:p>
      <w:pPr>
        <w:pStyle w:val="Bibliography"/>
      </w:pPr>
      <w:r>
        <w:t xml:space="preserve">38.</w:t>
      </w:r>
      <w:r>
        <w:t xml:space="preserve"> </w:t>
      </w:r>
      <w:r>
        <w:t xml:space="preserve">	</w:t>
      </w:r>
      <w:r>
        <w:t xml:space="preserve">Gabry J, Mahr T. Bayesplot:</w:t>
      </w:r>
      <w:r>
        <w:t xml:space="preserve"> </w:t>
      </w:r>
      <w:r>
        <w:t xml:space="preserve">Plotting</w:t>
      </w:r>
      <w:r>
        <w:t xml:space="preserve"> </w:t>
      </w:r>
      <w:r>
        <w:t xml:space="preserve">for</w:t>
      </w:r>
      <w:r>
        <w:t xml:space="preserve"> </w:t>
      </w:r>
      <w:r>
        <w:t xml:space="preserve">Bayesian Models</w:t>
      </w:r>
      <w:r>
        <w:t xml:space="preserve">. 2025.</w:t>
      </w:r>
      <w:r>
        <w:t xml:space="preserve"> </w:t>
      </w:r>
    </w:p>
    <w:bookmarkEnd w:id="139"/>
    <w:bookmarkStart w:id="141" w:name="X111bb06244f8f2a1a6d0d2f1f41c24b71f248e6"/>
    <w:p>
      <w:pPr>
        <w:pStyle w:val="Bibliography"/>
      </w:pPr>
      <w:r>
        <w:t xml:space="preserve">39.</w:t>
      </w:r>
      <w:r>
        <w:t xml:space="preserve"> </w:t>
      </w:r>
      <w:r>
        <w:t xml:space="preserve">	</w:t>
      </w:r>
      <w:r>
        <w:t xml:space="preserve">Wolfgang Viechtbauer.</w:t>
      </w:r>
      <w:r>
        <w:t xml:space="preserve"> </w:t>
      </w:r>
      <w:hyperlink r:id="rId140">
        <w:r>
          <w:rPr>
            <w:rStyle w:val="Hyperlink"/>
          </w:rPr>
          <w:t xml:space="preserve">Conducting meta-analyses in</w:t>
        </w:r>
        <w:r>
          <w:rPr>
            <w:rStyle w:val="Hyperlink"/>
          </w:rPr>
          <w:t xml:space="preserve"> </w:t>
        </w:r>
        <w:r>
          <w:rPr>
            <w:rStyle w:val="Hyperlink"/>
          </w:rPr>
          <w:t xml:space="preserve"> </w:t>
        </w:r>
        <w:r>
          <w:rPr>
            <w:rStyle w:val="Hyperlink"/>
          </w:rPr>
          <w:t xml:space="preserve">with the</w:t>
        </w:r>
        <w:r>
          <w:rPr>
            <w:rStyle w:val="Hyperlink"/>
          </w:rPr>
          <w:t xml:space="preserve"> </w:t>
        </w:r>
        <w:r>
          <w:rPr>
            <w:rStyle w:val="Hyperlink"/>
          </w:rPr>
          <w:t xml:space="preserve">metafor</w:t>
        </w:r>
        <w:r>
          <w:rPr>
            <w:rStyle w:val="Hyperlink"/>
          </w:rPr>
          <w:t xml:space="preserve"> </w:t>
        </w:r>
        <w:r>
          <w:rPr>
            <w:rStyle w:val="Hyperlink"/>
          </w:rPr>
          <w:t xml:space="preserve">package</w:t>
        </w:r>
      </w:hyperlink>
      <w:r>
        <w:t xml:space="preserve">. Journal of Statistical Software. 2010;36(3):1–48.</w:t>
      </w:r>
      <w:r>
        <w:t xml:space="preserve"> </w:t>
      </w:r>
    </w:p>
    <w:bookmarkEnd w:id="141"/>
    <w:bookmarkStart w:id="143" w:name="ref-bauer2020AssociationsMetalMixture"/>
    <w:p>
      <w:pPr>
        <w:pStyle w:val="Bibliography"/>
      </w:pPr>
      <w:r>
        <w:t xml:space="preserve">40.</w:t>
      </w:r>
      <w:r>
        <w:t xml:space="preserve"> </w:t>
      </w:r>
      <w:r>
        <w:t xml:space="preserve">	</w:t>
      </w:r>
      <w:r>
        <w:t xml:space="preserve">Bauer JA, Devick KL, Bobb JF, Coull BA, Bellinger D, Benedetti C, et al.</w:t>
      </w:r>
      <w:r>
        <w:t xml:space="preserve"> </w:t>
      </w:r>
      <w:hyperlink r:id="rId142">
        <w:r>
          <w:rPr>
            <w:rStyle w:val="Hyperlink"/>
          </w:rPr>
          <w:t xml:space="preserve">Associations of a</w:t>
        </w:r>
        <w:r>
          <w:rPr>
            <w:rStyle w:val="Hyperlink"/>
          </w:rPr>
          <w:t xml:space="preserve"> </w:t>
        </w:r>
        <w:r>
          <w:rPr>
            <w:rStyle w:val="Hyperlink"/>
          </w:rPr>
          <w:t xml:space="preserve">Metal Mixture Measured</w:t>
        </w:r>
        <w:r>
          <w:rPr>
            <w:rStyle w:val="Hyperlink"/>
          </w:rPr>
          <w:t xml:space="preserve"> </w:t>
        </w:r>
        <w:r>
          <w:rPr>
            <w:rStyle w:val="Hyperlink"/>
          </w:rPr>
          <w:t xml:space="preserve">in</w:t>
        </w:r>
        <w:r>
          <w:rPr>
            <w:rStyle w:val="Hyperlink"/>
          </w:rPr>
          <w:t xml:space="preserve"> </w:t>
        </w:r>
        <w:r>
          <w:rPr>
            <w:rStyle w:val="Hyperlink"/>
          </w:rPr>
          <w:t xml:space="preserve">Multiple Biomarkers</w:t>
        </w:r>
        <w:r>
          <w:rPr>
            <w:rStyle w:val="Hyperlink"/>
          </w:rPr>
          <w:t xml:space="preserve"> </w:t>
        </w:r>
        <w:r>
          <w:rPr>
            <w:rStyle w:val="Hyperlink"/>
          </w:rPr>
          <w:t xml:space="preserve">with</w:t>
        </w:r>
        <w:r>
          <w:rPr>
            <w:rStyle w:val="Hyperlink"/>
          </w:rPr>
          <w:t xml:space="preserve"> </w:t>
        </w:r>
        <w:r>
          <w:rPr>
            <w:rStyle w:val="Hyperlink"/>
          </w:rPr>
          <w:t xml:space="preserve">IQ</w:t>
        </w:r>
        <w:r>
          <w:rPr>
            <w:rStyle w:val="Hyperlink"/>
          </w:rPr>
          <w:t xml:space="preserve">:</w:t>
        </w:r>
        <w:r>
          <w:rPr>
            <w:rStyle w:val="Hyperlink"/>
          </w:rPr>
          <w:t xml:space="preserve"> </w:t>
        </w:r>
        <w:r>
          <w:rPr>
            <w:rStyle w:val="Hyperlink"/>
          </w:rPr>
          <w:t xml:space="preserve">Evidence</w:t>
        </w:r>
        <w:r>
          <w:rPr>
            <w:rStyle w:val="Hyperlink"/>
          </w:rPr>
          <w:t xml:space="preserve"> </w:t>
        </w:r>
        <w:r>
          <w:rPr>
            <w:rStyle w:val="Hyperlink"/>
          </w:rPr>
          <w:t xml:space="preserve">from</w:t>
        </w:r>
        <w:r>
          <w:rPr>
            <w:rStyle w:val="Hyperlink"/>
          </w:rPr>
          <w:t xml:space="preserve"> </w:t>
        </w:r>
        <w:r>
          <w:rPr>
            <w:rStyle w:val="Hyperlink"/>
          </w:rPr>
          <w:t xml:space="preserve">Italian Adolescents Living</w:t>
        </w:r>
        <w:r>
          <w:rPr>
            <w:rStyle w:val="Hyperlink"/>
          </w:rPr>
          <w:t xml:space="preserve"> </w:t>
        </w:r>
        <w:r>
          <w:rPr>
            <w:rStyle w:val="Hyperlink"/>
          </w:rPr>
          <w:t xml:space="preserve">near</w:t>
        </w:r>
        <w:r>
          <w:rPr>
            <w:rStyle w:val="Hyperlink"/>
          </w:rPr>
          <w:t xml:space="preserve"> </w:t>
        </w:r>
        <w:r>
          <w:rPr>
            <w:rStyle w:val="Hyperlink"/>
          </w:rPr>
          <w:t xml:space="preserve">Ferroalloy Industry</w:t>
        </w:r>
      </w:hyperlink>
      <w:r>
        <w:t xml:space="preserve">. Environmental Health Perspectives. 2020;128(9):097002.</w:t>
      </w:r>
      <w:r>
        <w:t xml:space="preserve"> </w:t>
      </w:r>
    </w:p>
    <w:bookmarkEnd w:id="143"/>
    <w:bookmarkStart w:id="145" w:name="ref-dantzer2020ComparisonBloodToenails"/>
    <w:p>
      <w:pPr>
        <w:pStyle w:val="Bibliography"/>
      </w:pPr>
      <w:r>
        <w:t xml:space="preserve">41.</w:t>
      </w:r>
      <w:r>
        <w:t xml:space="preserve"> </w:t>
      </w:r>
      <w:r>
        <w:t xml:space="preserve">	</w:t>
      </w:r>
      <w:r>
        <w:t xml:space="preserve">Dantzer J, Ryan P, Yolton K, Parsons PJ, Palmer CD, Cecil K, et al.</w:t>
      </w:r>
      <w:r>
        <w:t xml:space="preserve"> </w:t>
      </w:r>
      <w:hyperlink r:id="rId144">
        <w:r>
          <w:rPr>
            <w:rStyle w:val="Hyperlink"/>
          </w:rPr>
          <w:t xml:space="preserve">A comparison of blood and toenails as biomarkers of children’s exposure to lead and their correlation with cognitive function</w:t>
        </w:r>
      </w:hyperlink>
      <w:r>
        <w:t xml:space="preserve">. Science of The Total Environment. 2020;700:134519.</w:t>
      </w:r>
      <w:r>
        <w:t xml:space="preserve"> </w:t>
      </w:r>
    </w:p>
    <w:bookmarkEnd w:id="145"/>
    <w:bookmarkStart w:id="147" w:name="X6bc65313eadd1b86059eb4ba10c8cf9d91be17d"/>
    <w:p>
      <w:pPr>
        <w:pStyle w:val="Bibliography"/>
      </w:pPr>
      <w:r>
        <w:t xml:space="preserve">42.</w:t>
      </w:r>
      <w:r>
        <w:t xml:space="preserve"> </w:t>
      </w:r>
      <w:r>
        <w:t xml:space="preserve">	</w:t>
      </w:r>
      <w:r>
        <w:t xml:space="preserve">Desrochers-Couture M, Oulhote Y, Arbuckle TE, Fraser WD, Séguin JR, Ouellet E, et al.</w:t>
      </w:r>
      <w:r>
        <w:t xml:space="preserve"> </w:t>
      </w:r>
      <w:hyperlink r:id="rId146">
        <w:r>
          <w:rPr>
            <w:rStyle w:val="Hyperlink"/>
          </w:rPr>
          <w:t xml:space="preserve">Prenatal, concurrent, and sex-specific associations between blood lead concentrations and</w:t>
        </w:r>
        <w:r>
          <w:rPr>
            <w:rStyle w:val="Hyperlink"/>
          </w:rPr>
          <w:t xml:space="preserve"> </w:t>
        </w:r>
        <w:r>
          <w:rPr>
            <w:rStyle w:val="Hyperlink"/>
          </w:rPr>
          <w:t xml:space="preserve">IQ</w:t>
        </w:r>
        <w:r>
          <w:rPr>
            <w:rStyle w:val="Hyperlink"/>
          </w:rPr>
          <w:t xml:space="preserve"> </w:t>
        </w:r>
        <w:r>
          <w:rPr>
            <w:rStyle w:val="Hyperlink"/>
          </w:rPr>
          <w:t xml:space="preserve">in preschool</w:t>
        </w:r>
        <w:r>
          <w:rPr>
            <w:rStyle w:val="Hyperlink"/>
          </w:rPr>
          <w:t xml:space="preserve"> </w:t>
        </w:r>
        <w:r>
          <w:rPr>
            <w:rStyle w:val="Hyperlink"/>
          </w:rPr>
          <w:t xml:space="preserve">Canadian</w:t>
        </w:r>
        <w:r>
          <w:rPr>
            <w:rStyle w:val="Hyperlink"/>
          </w:rPr>
          <w:t xml:space="preserve"> </w:t>
        </w:r>
        <w:r>
          <w:rPr>
            <w:rStyle w:val="Hyperlink"/>
          </w:rPr>
          <w:t xml:space="preserve">children</w:t>
        </w:r>
      </w:hyperlink>
      <w:r>
        <w:t xml:space="preserve">. Environment International. 2018;121:1235–42.</w:t>
      </w:r>
      <w:r>
        <w:t xml:space="preserve"> </w:t>
      </w:r>
    </w:p>
    <w:bookmarkEnd w:id="147"/>
    <w:bookmarkStart w:id="149" w:name="ref-hong2015EnvironmentalLeadExposure"/>
    <w:p>
      <w:pPr>
        <w:pStyle w:val="Bibliography"/>
      </w:pPr>
      <w:r>
        <w:t xml:space="preserve">43.</w:t>
      </w:r>
      <w:r>
        <w:t xml:space="preserve"> </w:t>
      </w:r>
      <w:r>
        <w:t xml:space="preserve">	</w:t>
      </w:r>
      <w:r>
        <w:t xml:space="preserve">Hong SB, Im MH, Kim JW, Park EJ, Shin MS, Kim BN, et al.</w:t>
      </w:r>
      <w:r>
        <w:t xml:space="preserve"> </w:t>
      </w:r>
      <w:hyperlink r:id="rId148">
        <w:r>
          <w:rPr>
            <w:rStyle w:val="Hyperlink"/>
          </w:rPr>
          <w:t xml:space="preserve">Environmental</w:t>
        </w:r>
        <w:r>
          <w:rPr>
            <w:rStyle w:val="Hyperlink"/>
          </w:rPr>
          <w:t xml:space="preserve"> </w:t>
        </w:r>
        <w:r>
          <w:rPr>
            <w:rStyle w:val="Hyperlink"/>
          </w:rPr>
          <w:t xml:space="preserve">Lead Exposure</w:t>
        </w:r>
        <w:r>
          <w:rPr>
            <w:rStyle w:val="Hyperlink"/>
          </w:rPr>
          <w:t xml:space="preserve"> </w:t>
        </w:r>
        <w:r>
          <w:rPr>
            <w:rStyle w:val="Hyperlink"/>
          </w:rPr>
          <w:t xml:space="preserve">and</w:t>
        </w:r>
        <w:r>
          <w:rPr>
            <w:rStyle w:val="Hyperlink"/>
          </w:rPr>
          <w:t xml:space="preserve"> </w:t>
        </w:r>
        <w:r>
          <w:rPr>
            <w:rStyle w:val="Hyperlink"/>
          </w:rPr>
          <w:t xml:space="preserve">Attention Deficit</w:t>
        </w:r>
        <w:r>
          <w:rPr>
            <w:rStyle w:val="Hyperlink"/>
          </w:rPr>
          <w:t xml:space="preserve">/</w:t>
        </w:r>
        <w:r>
          <w:rPr>
            <w:rStyle w:val="Hyperlink"/>
          </w:rPr>
          <w:t xml:space="preserve">Hyperactivity Disorder Symptom Domains</w:t>
        </w:r>
        <w:r>
          <w:rPr>
            <w:rStyle w:val="Hyperlink"/>
          </w:rPr>
          <w:t xml:space="preserve"> </w:t>
        </w:r>
        <w:r>
          <w:rPr>
            <w:rStyle w:val="Hyperlink"/>
          </w:rPr>
          <w:t xml:space="preserve">in a</w:t>
        </w:r>
        <w:r>
          <w:rPr>
            <w:rStyle w:val="Hyperlink"/>
          </w:rPr>
          <w:t xml:space="preserve"> </w:t>
        </w:r>
        <w:r>
          <w:rPr>
            <w:rStyle w:val="Hyperlink"/>
          </w:rPr>
          <w:t xml:space="preserve">Community Sample</w:t>
        </w:r>
        <w:r>
          <w:rPr>
            <w:rStyle w:val="Hyperlink"/>
          </w:rPr>
          <w:t xml:space="preserve"> </w:t>
        </w:r>
        <w:r>
          <w:rPr>
            <w:rStyle w:val="Hyperlink"/>
          </w:rPr>
          <w:t xml:space="preserve">of</w:t>
        </w:r>
        <w:r>
          <w:rPr>
            <w:rStyle w:val="Hyperlink"/>
          </w:rPr>
          <w:t xml:space="preserve"> </w:t>
        </w:r>
        <w:r>
          <w:rPr>
            <w:rStyle w:val="Hyperlink"/>
          </w:rPr>
          <w:t xml:space="preserve">South Korean School-Age Children</w:t>
        </w:r>
      </w:hyperlink>
      <w:r>
        <w:t xml:space="preserve">. Environmental Health Perspectives. 2015;123(3):271–6.</w:t>
      </w:r>
      <w:r>
        <w:t xml:space="preserve"> </w:t>
      </w:r>
    </w:p>
    <w:bookmarkEnd w:id="149"/>
    <w:bookmarkStart w:id="151" w:name="ref-lee2021PrenatalPostnatalExposures"/>
    <w:p>
      <w:pPr>
        <w:pStyle w:val="Bibliography"/>
      </w:pPr>
      <w:r>
        <w:t xml:space="preserve">44.</w:t>
      </w:r>
      <w:r>
        <w:t xml:space="preserve"> </w:t>
      </w:r>
      <w:r>
        <w:t xml:space="preserve">	</w:t>
      </w:r>
      <w:r>
        <w:t xml:space="preserve">Lee KS, Kim KN, Ahn YD, Choi YJ, Cho J, Jang Y, et al.</w:t>
      </w:r>
      <w:r>
        <w:t xml:space="preserve"> </w:t>
      </w:r>
      <w:hyperlink r:id="rId150">
        <w:r>
          <w:rPr>
            <w:rStyle w:val="Hyperlink"/>
          </w:rPr>
          <w:t xml:space="preserve">Prenatal and postnatal exposures to four metals mixture and</w:t>
        </w:r>
        <w:r>
          <w:rPr>
            <w:rStyle w:val="Hyperlink"/>
          </w:rPr>
          <w:t xml:space="preserve"> </w:t>
        </w:r>
        <w:r>
          <w:rPr>
            <w:rStyle w:val="Hyperlink"/>
          </w:rPr>
          <w:t xml:space="preserve">IQ</w:t>
        </w:r>
        <w:r>
          <w:rPr>
            <w:rStyle w:val="Hyperlink"/>
          </w:rPr>
          <w:t xml:space="preserve"> </w:t>
        </w:r>
        <w:r>
          <w:rPr>
            <w:rStyle w:val="Hyperlink"/>
          </w:rPr>
          <w:t xml:space="preserve">in 6-year-old children:</w:t>
        </w:r>
        <w:r>
          <w:rPr>
            <w:rStyle w:val="Hyperlink"/>
          </w:rPr>
          <w:t xml:space="preserve"> </w:t>
        </w:r>
        <w:r>
          <w:rPr>
            <w:rStyle w:val="Hyperlink"/>
          </w:rPr>
          <w:t xml:space="preserve">A</w:t>
        </w:r>
        <w:r>
          <w:rPr>
            <w:rStyle w:val="Hyperlink"/>
          </w:rPr>
          <w:t xml:space="preserve"> </w:t>
        </w:r>
        <w:r>
          <w:rPr>
            <w:rStyle w:val="Hyperlink"/>
          </w:rPr>
          <w:t xml:space="preserve">prospective cohort study in</w:t>
        </w:r>
        <w:r>
          <w:rPr>
            <w:rStyle w:val="Hyperlink"/>
          </w:rPr>
          <w:t xml:space="preserve"> </w:t>
        </w:r>
        <w:r>
          <w:rPr>
            <w:rStyle w:val="Hyperlink"/>
          </w:rPr>
          <w:t xml:space="preserve">South Korea</w:t>
        </w:r>
      </w:hyperlink>
      <w:r>
        <w:t xml:space="preserve">. Environment International. 2021;157:106798.</w:t>
      </w:r>
      <w:r>
        <w:t xml:space="preserve"> </w:t>
      </w:r>
    </w:p>
    <w:bookmarkEnd w:id="151"/>
    <w:bookmarkStart w:id="152" w:name="X33fe7de6e8b65c86af337dbdb8d7cc8651c48a8"/>
    <w:p>
      <w:pPr>
        <w:pStyle w:val="Bibliography"/>
      </w:pPr>
      <w:r>
        <w:t xml:space="preserve">45.</w:t>
      </w:r>
      <w:r>
        <w:t xml:space="preserve"> </w:t>
      </w:r>
      <w:r>
        <w:t xml:space="preserve">	</w:t>
      </w:r>
      <w:r>
        <w:t xml:space="preserve">Menezes-Filho JA, Carvalho CF, Rodrigues JLG, Araújo CFS, Dos Santos NR, Lima CS, et al.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International Journal of Environmental Research and Public Health. 2018;15(11):2418.</w:t>
      </w:r>
      <w:r>
        <w:t xml:space="preserve"> </w:t>
      </w:r>
    </w:p>
    <w:bookmarkEnd w:id="152"/>
    <w:bookmarkStart w:id="154" w:name="ref-roy2013EffectModificationTransferrin"/>
    <w:p>
      <w:pPr>
        <w:pStyle w:val="Bibliography"/>
      </w:pPr>
      <w:r>
        <w:t xml:space="preserve">46.</w:t>
      </w:r>
      <w:r>
        <w:t xml:space="preserve"> </w:t>
      </w:r>
      <w:r>
        <w:t xml:space="preserve">	</w:t>
      </w:r>
      <w:r>
        <w:t xml:space="preserve">Roy A, Ettinger AS, Hu H, Bellinger D, Schwartz J, Modali R, et al.</w:t>
      </w:r>
      <w:r>
        <w:t xml:space="preserve"> </w:t>
      </w:r>
      <w:hyperlink r:id="rId153">
        <w:r>
          <w:rPr>
            <w:rStyle w:val="Hyperlink"/>
          </w:rPr>
          <w:t xml:space="preserve">Effect modification by transferrin</w:t>
        </w:r>
        <w:r>
          <w:rPr>
            <w:rStyle w:val="Hyperlink"/>
          </w:rPr>
          <w:t xml:space="preserve"> </w:t>
        </w:r>
        <w:r>
          <w:rPr>
            <w:rStyle w:val="Hyperlink"/>
          </w:rPr>
          <w:t xml:space="preserve">C2</w:t>
        </w:r>
        <w:r>
          <w:rPr>
            <w:rStyle w:val="Hyperlink"/>
          </w:rPr>
          <w:t xml:space="preserve"> </w:t>
        </w:r>
        <w:r>
          <w:rPr>
            <w:rStyle w:val="Hyperlink"/>
          </w:rPr>
          <w:t xml:space="preserve">polymorphism on lead exposure, hemoglobin levels, and</w:t>
        </w:r>
        <w:r>
          <w:rPr>
            <w:rStyle w:val="Hyperlink"/>
          </w:rPr>
          <w:t xml:space="preserve"> </w:t>
        </w:r>
        <w:r>
          <w:rPr>
            <w:rStyle w:val="Hyperlink"/>
          </w:rPr>
          <w:t xml:space="preserve">IQ</w:t>
        </w:r>
      </w:hyperlink>
      <w:r>
        <w:t xml:space="preserve">. NeuroToxicology. 2013;38:17–22.</w:t>
      </w:r>
      <w:r>
        <w:t xml:space="preserve"> </w:t>
      </w:r>
    </w:p>
    <w:bookmarkEnd w:id="154"/>
    <w:bookmarkStart w:id="156" w:name="Xb0421be95a139ca5af39ce6040517bf1be79427"/>
    <w:p>
      <w:pPr>
        <w:pStyle w:val="Bibliography"/>
      </w:pPr>
      <w:r>
        <w:t xml:space="preserve">47.</w:t>
      </w:r>
      <w:r>
        <w:t xml:space="preserve"> </w:t>
      </w:r>
      <w:r>
        <w:t xml:space="preserve">	</w:t>
      </w:r>
      <w:r>
        <w:t xml:space="preserve">Lucchini RG, Zoni S, Guazzetti S, Bontempi E, Micheletti S, Broberg K, et al.</w:t>
      </w:r>
      <w:r>
        <w:t xml:space="preserve"> </w:t>
      </w:r>
      <w:hyperlink r:id="rId155">
        <w:r>
          <w:rPr>
            <w:rStyle w:val="Hyperlink"/>
          </w:rPr>
          <w:t xml:space="preserve">Inverse association of intellectual function with very low blood lead but not with manganese exposure in</w:t>
        </w:r>
        <w:r>
          <w:rPr>
            <w:rStyle w:val="Hyperlink"/>
          </w:rPr>
          <w:t xml:space="preserve"> </w:t>
        </w:r>
        <w:r>
          <w:rPr>
            <w:rStyle w:val="Hyperlink"/>
          </w:rPr>
          <w:t xml:space="preserve">Italian</w:t>
        </w:r>
        <w:r>
          <w:rPr>
            <w:rStyle w:val="Hyperlink"/>
          </w:rPr>
          <w:t xml:space="preserve"> </w:t>
        </w:r>
        <w:r>
          <w:rPr>
            <w:rStyle w:val="Hyperlink"/>
          </w:rPr>
          <w:t xml:space="preserve">adolescents</w:t>
        </w:r>
      </w:hyperlink>
      <w:r>
        <w:t xml:space="preserve">. Environmental Research. 2012;118:65–71.</w:t>
      </w:r>
      <w:r>
        <w:t xml:space="preserve"> </w:t>
      </w:r>
    </w:p>
    <w:bookmarkEnd w:id="156"/>
    <w:bookmarkStart w:id="158" w:name="X716dc31ca13dac7355fea3a0f7dea95779ecabb"/>
    <w:p>
      <w:pPr>
        <w:pStyle w:val="Bibliography"/>
      </w:pPr>
      <w:r>
        <w:t xml:space="preserve">48.</w:t>
      </w:r>
      <w:r>
        <w:t xml:space="preserve"> </w:t>
      </w:r>
      <w:r>
        <w:t xml:space="preserve">	</w:t>
      </w:r>
      <w:r>
        <w:t xml:space="preserve">Lucchini RG, Guazzetti S, Renzetti S, Conversano M, Cagna G, Fedrighi C, et al.</w:t>
      </w:r>
      <w:r>
        <w:t xml:space="preserve"> </w:t>
      </w:r>
      <w:hyperlink r:id="rId157">
        <w:r>
          <w:rPr>
            <w:rStyle w:val="Hyperlink"/>
          </w:rPr>
          <w:t xml:space="preserve">Neurocognitive impact of metal exposure and social stressors among schoolchildren in</w:t>
        </w:r>
        <w:r>
          <w:rPr>
            <w:rStyle w:val="Hyperlink"/>
          </w:rPr>
          <w:t xml:space="preserve"> </w:t>
        </w:r>
        <w:r>
          <w:rPr>
            <w:rStyle w:val="Hyperlink"/>
          </w:rPr>
          <w:t xml:space="preserve">Taranto</w:t>
        </w:r>
        <w:r>
          <w:rPr>
            <w:rStyle w:val="Hyperlink"/>
          </w:rPr>
          <w:t xml:space="preserve">,</w:t>
        </w:r>
        <w:r>
          <w:rPr>
            <w:rStyle w:val="Hyperlink"/>
          </w:rPr>
          <w:t xml:space="preserve"> </w:t>
        </w:r>
        <w:r>
          <w:rPr>
            <w:rStyle w:val="Hyperlink"/>
          </w:rPr>
          <w:t xml:space="preserve">Italy</w:t>
        </w:r>
      </w:hyperlink>
      <w:r>
        <w:t xml:space="preserve">. Environmental Health. 2019;18(1):67.</w:t>
      </w:r>
      <w:r>
        <w:t xml:space="preserve"> </w:t>
      </w:r>
    </w:p>
    <w:bookmarkEnd w:id="158"/>
    <w:bookmarkStart w:id="160" w:name="ref-earl2016LowlevelEnvironmentalLead"/>
    <w:p>
      <w:pPr>
        <w:pStyle w:val="Bibliography"/>
      </w:pPr>
      <w:r>
        <w:t xml:space="preserve">49.</w:t>
      </w:r>
      <w:r>
        <w:t xml:space="preserve"> </w:t>
      </w:r>
      <w:r>
        <w:t xml:space="preserve">	</w:t>
      </w:r>
      <w:r>
        <w:t xml:space="preserve">Earl R, Burns N, Nettelbeck T, Baghurst P.</w:t>
      </w:r>
      <w:r>
        <w:t xml:space="preserve"> </w:t>
      </w:r>
      <w:hyperlink r:id="rId159">
        <w:r>
          <w:rPr>
            <w:rStyle w:val="Hyperlink"/>
          </w:rPr>
          <w:t xml:space="preserve">Low-level environmental lead exposure still negatively associated with children’s cognitive abilities</w:t>
        </w:r>
      </w:hyperlink>
      <w:r>
        <w:t xml:space="preserve">. Australian Journal of Psychology. 2016;68(2):98–106.</w:t>
      </w:r>
      <w:r>
        <w:t xml:space="preserve"> </w:t>
      </w:r>
    </w:p>
    <w:bookmarkEnd w:id="160"/>
    <w:bookmarkStart w:id="162" w:name="ref-smith2018StepAwayStepwise"/>
    <w:p>
      <w:pPr>
        <w:pStyle w:val="Bibliography"/>
      </w:pPr>
      <w:r>
        <w:t xml:space="preserve">50.</w:t>
      </w:r>
      <w:r>
        <w:t xml:space="preserve"> </w:t>
      </w:r>
      <w:r>
        <w:t xml:space="preserve">	</w:t>
      </w:r>
      <w:r>
        <w:t xml:space="preserve">Smith G.</w:t>
      </w:r>
      <w:r>
        <w:t xml:space="preserve"> </w:t>
      </w:r>
      <w:hyperlink r:id="rId161">
        <w:r>
          <w:rPr>
            <w:rStyle w:val="Hyperlink"/>
          </w:rPr>
          <w:t xml:space="preserve">Step away from stepwise</w:t>
        </w:r>
      </w:hyperlink>
      <w:r>
        <w:t xml:space="preserve">. J Big Data. 2018 Dec;5(1):32.</w:t>
      </w:r>
      <w:r>
        <w:t xml:space="preserve"> </w:t>
      </w:r>
    </w:p>
    <w:bookmarkEnd w:id="162"/>
    <w:bookmarkStart w:id="164" w:name="ref-goodman2023SexDifferencePre"/>
    <w:p>
      <w:pPr>
        <w:pStyle w:val="Bibliography"/>
      </w:pPr>
      <w:r>
        <w:t xml:space="preserve">51.</w:t>
      </w:r>
      <w:r>
        <w:t xml:space="preserve"> </w:t>
      </w:r>
      <w:r>
        <w:t xml:space="preserve">	</w:t>
      </w:r>
      <w:r>
        <w:t xml:space="preserve">Goodman CV, Green R, DaCosta A, Flora D, Lanphear B, Till C.</w:t>
      </w:r>
      <w:r>
        <w:t xml:space="preserve"> </w:t>
      </w:r>
      <w:hyperlink r:id="rId163">
        <w:r>
          <w:rPr>
            <w:rStyle w:val="Hyperlink"/>
          </w:rPr>
          <w:t xml:space="preserve">Sex difference of pre- and post-natal exposure to six developmental neurotoxicants on intellectual abilities: A systematic review and meta-analysis of human studies</w:t>
        </w:r>
      </w:hyperlink>
      <w:r>
        <w:t xml:space="preserve">. Environ Health. 2023 Nov;22(1):80.</w:t>
      </w:r>
      <w:r>
        <w:t xml:space="preserve"> </w:t>
      </w:r>
    </w:p>
    <w:bookmarkEnd w:id="164"/>
    <w:bookmarkStart w:id="166" w:name="ref-pocock1994EnvironmentalLeadChildrens"/>
    <w:p>
      <w:pPr>
        <w:pStyle w:val="Bibliography"/>
      </w:pPr>
      <w:r>
        <w:t xml:space="preserve">52.</w:t>
      </w:r>
      <w:r>
        <w:t xml:space="preserve"> </w:t>
      </w:r>
      <w:r>
        <w:t xml:space="preserve">	</w:t>
      </w:r>
      <w:r>
        <w:t xml:space="preserve">Pocock SJ, Smith M, Baghurst P.</w:t>
      </w:r>
      <w:r>
        <w:t xml:space="preserve"> </w:t>
      </w:r>
      <w:hyperlink r:id="rId165">
        <w:r>
          <w:rPr>
            <w:rStyle w:val="Hyperlink"/>
          </w:rPr>
          <w:t xml:space="preserve">Environmental lead and children’s intelligence: A systematic review of the epidemiological evidence</w:t>
        </w:r>
      </w:hyperlink>
      <w:r>
        <w:t xml:space="preserve">. BMJ. 1994 Nov;309(6963):1189–97.</w:t>
      </w:r>
      <w:r>
        <w:t xml:space="preserve"> </w:t>
      </w:r>
    </w:p>
    <w:bookmarkEnd w:id="166"/>
    <w:bookmarkStart w:id="168" w:name="ref-heidari2022EffectLeadExposurea"/>
    <w:p>
      <w:pPr>
        <w:pStyle w:val="Bibliography"/>
      </w:pPr>
      <w:r>
        <w:t xml:space="preserve">53.</w:t>
      </w:r>
      <w:r>
        <w:t xml:space="preserve"> </w:t>
      </w:r>
      <w:r>
        <w:t xml:space="preserve">	</w:t>
      </w:r>
      <w:r>
        <w:t xml:space="preserve">Heidari S, Mostafaei S, Razazian N, Rajati M, Saeedi A, Rajati F.</w:t>
      </w:r>
      <w:r>
        <w:t xml:space="preserve"> </w:t>
      </w:r>
      <w:hyperlink r:id="rId167">
        <w:r>
          <w:rPr>
            <w:rStyle w:val="Hyperlink"/>
          </w:rPr>
          <w:t xml:space="preserve">The effect of lead exposure on</w:t>
        </w:r>
        <w:r>
          <w:rPr>
            <w:rStyle w:val="Hyperlink"/>
          </w:rPr>
          <w:t xml:space="preserve"> </w:t>
        </w:r>
        <w:r>
          <w:rPr>
            <w:rStyle w:val="Hyperlink"/>
          </w:rPr>
          <w:t xml:space="preserve">IQ</w:t>
        </w:r>
        <w:r>
          <w:rPr>
            <w:rStyle w:val="Hyperlink"/>
          </w:rPr>
          <w:t xml:space="preserve"> </w:t>
        </w:r>
        <w:r>
          <w:rPr>
            <w:rStyle w:val="Hyperlink"/>
          </w:rPr>
          <w:t xml:space="preserve">test scores in children under 12 years: A systematic review and meta-analysis of case-control studies</w:t>
        </w:r>
      </w:hyperlink>
      <w:r>
        <w:t xml:space="preserve">. Syst Rev. 2022 May;11(1):106.</w:t>
      </w:r>
      <w:r>
        <w:t xml:space="preserve"> </w:t>
      </w:r>
    </w:p>
    <w:bookmarkEnd w:id="168"/>
    <w:bookmarkStart w:id="170" w:name="X99fa6bd9cd2521340285769f289a6c9d4bfe17b"/>
    <w:p>
      <w:pPr>
        <w:pStyle w:val="Bibliography"/>
      </w:pPr>
      <w:r>
        <w:t xml:space="preserve">54.</w:t>
      </w:r>
      <w:r>
        <w:t xml:space="preserve"> </w:t>
      </w:r>
      <w:r>
        <w:t xml:space="preserve">	</w:t>
      </w:r>
      <w:r>
        <w:t xml:space="preserve">Thompson B.</w:t>
      </w:r>
      <w:r>
        <w:t xml:space="preserve"> </w:t>
      </w:r>
      <w:hyperlink r:id="rId169">
        <w:r>
          <w:rPr>
            <w:rStyle w:val="Hyperlink"/>
          </w:rPr>
          <w:t xml:space="preserve">Stepwise</w:t>
        </w:r>
        <w:r>
          <w:rPr>
            <w:rStyle w:val="Hyperlink"/>
          </w:rPr>
          <w:t xml:space="preserve"> </w:t>
        </w:r>
        <w:r>
          <w:rPr>
            <w:rStyle w:val="Hyperlink"/>
          </w:rPr>
          <w:t xml:space="preserve">Regression</w:t>
        </w:r>
        <w:r>
          <w:rPr>
            <w:rStyle w:val="Hyperlink"/>
          </w:rPr>
          <w:t xml:space="preserve"> </w:t>
        </w:r>
        <w:r>
          <w:rPr>
            <w:rStyle w:val="Hyperlink"/>
          </w:rPr>
          <w:t xml:space="preserve">and</w:t>
        </w:r>
        <w:r>
          <w:rPr>
            <w:rStyle w:val="Hyperlink"/>
          </w:rPr>
          <w:t xml:space="preserve"> </w:t>
        </w:r>
        <w:r>
          <w:rPr>
            <w:rStyle w:val="Hyperlink"/>
          </w:rPr>
          <w:t xml:space="preserve">Stepwise Discriminant Analysis Need Not Apply</w:t>
        </w:r>
        <w:r>
          <w:rPr>
            <w:rStyle w:val="Hyperlink"/>
          </w:rPr>
          <w:t xml:space="preserve"> </w:t>
        </w:r>
        <w:r>
          <w:rPr>
            <w:rStyle w:val="Hyperlink"/>
          </w:rPr>
          <w:t xml:space="preserve">here:</w:t>
        </w:r>
        <w:r>
          <w:rPr>
            <w:rStyle w:val="Hyperlink"/>
          </w:rPr>
          <w:t xml:space="preserve"> </w:t>
        </w:r>
        <w:r>
          <w:rPr>
            <w:rStyle w:val="Hyperlink"/>
          </w:rPr>
          <w:t xml:space="preserve">A Guidelines Editorial</w:t>
        </w:r>
      </w:hyperlink>
      <w:r>
        <w:t xml:space="preserve">. Educational and Psychological Measurement. 1995 Aug;55(4):525–34.</w:t>
      </w:r>
      <w:r>
        <w:t xml:space="preserve"> </w:t>
      </w:r>
    </w:p>
    <w:bookmarkEnd w:id="170"/>
    <w:bookmarkStart w:id="172" w:name="Xec30ec7c912152a14c0f622040312567154bf15"/>
    <w:p>
      <w:pPr>
        <w:pStyle w:val="Bibliography"/>
      </w:pPr>
      <w:r>
        <w:t xml:space="preserve">55.</w:t>
      </w:r>
      <w:r>
        <w:t xml:space="preserve"> </w:t>
      </w:r>
      <w:r>
        <w:t xml:space="preserve">	</w:t>
      </w:r>
      <w:r>
        <w:t xml:space="preserve">Harrell FE.</w:t>
      </w:r>
      <w:r>
        <w:t xml:space="preserve"> </w:t>
      </w:r>
      <w:hyperlink r:id="rId171">
        <w:r>
          <w:rPr>
            <w:rStyle w:val="Hyperlink"/>
          </w:rPr>
          <w:t xml:space="preserve">Regression</w:t>
        </w:r>
        <w:r>
          <w:rPr>
            <w:rStyle w:val="Hyperlink"/>
          </w:rPr>
          <w:t xml:space="preserve"> </w:t>
        </w:r>
        <w:r>
          <w:rPr>
            <w:rStyle w:val="Hyperlink"/>
          </w:rPr>
          <w:t xml:space="preserve">Modeling Strategies</w:t>
        </w:r>
        <w:r>
          <w:rPr>
            <w:rStyle w:val="Hyperlink"/>
          </w:rPr>
          <w:t xml:space="preserve">:</w:t>
        </w:r>
        <w:r>
          <w:rPr>
            <w:rStyle w:val="Hyperlink"/>
          </w:rPr>
          <w:t xml:space="preserve"> </w:t>
        </w:r>
        <w:r>
          <w:rPr>
            <w:rStyle w:val="Hyperlink"/>
          </w:rPr>
          <w:t xml:space="preserve">With Applications</w:t>
        </w:r>
        <w:r>
          <w:rPr>
            <w:rStyle w:val="Hyperlink"/>
          </w:rPr>
          <w:t xml:space="preserve"> </w:t>
        </w:r>
        <w:r>
          <w:rPr>
            <w:rStyle w:val="Hyperlink"/>
          </w:rPr>
          <w:t xml:space="preserve">to</w:t>
        </w:r>
        <w:r>
          <w:rPr>
            <w:rStyle w:val="Hyperlink"/>
          </w:rPr>
          <w:t xml:space="preserve"> </w:t>
        </w:r>
        <w:r>
          <w:rPr>
            <w:rStyle w:val="Hyperlink"/>
          </w:rPr>
          <w:t xml:space="preserve">Linear Models</w:t>
        </w:r>
        <w:r>
          <w:rPr>
            <w:rStyle w:val="Hyperlink"/>
          </w:rPr>
          <w:t xml:space="preserve">,</w:t>
        </w:r>
        <w:r>
          <w:rPr>
            <w:rStyle w:val="Hyperlink"/>
          </w:rPr>
          <w:t xml:space="preserve"> </w:t>
        </w:r>
        <w:r>
          <w:rPr>
            <w:rStyle w:val="Hyperlink"/>
          </w:rPr>
          <w:t xml:space="preserve">Logistic</w:t>
        </w:r>
        <w:r>
          <w:rPr>
            <w:rStyle w:val="Hyperlink"/>
          </w:rPr>
          <w:t xml:space="preserve"> </w:t>
        </w:r>
        <w:r>
          <w:rPr>
            <w:rStyle w:val="Hyperlink"/>
          </w:rPr>
          <w:t xml:space="preserve">and</w:t>
        </w:r>
        <w:r>
          <w:rPr>
            <w:rStyle w:val="Hyperlink"/>
          </w:rPr>
          <w:t xml:space="preserve"> </w:t>
        </w:r>
        <w:r>
          <w:rPr>
            <w:rStyle w:val="Hyperlink"/>
          </w:rPr>
          <w:t xml:space="preserve">Ordinal Regression</w:t>
        </w:r>
        <w:r>
          <w:rPr>
            <w:rStyle w:val="Hyperlink"/>
          </w:rPr>
          <w:t xml:space="preserve">, and</w:t>
        </w:r>
        <w:r>
          <w:rPr>
            <w:rStyle w:val="Hyperlink"/>
          </w:rPr>
          <w:t xml:space="preserve"> </w:t>
        </w:r>
        <w:r>
          <w:rPr>
            <w:rStyle w:val="Hyperlink"/>
          </w:rPr>
          <w:t xml:space="preserve">Survival Analysis</w:t>
        </w:r>
      </w:hyperlink>
      <w:r>
        <w:t xml:space="preserve">. Cham: Springer International Publishing; 2015. (Springer</w:t>
      </w:r>
      <w:r>
        <w:t xml:space="preserve"> </w:t>
      </w:r>
      <w:r>
        <w:t xml:space="preserve">Series</w:t>
      </w:r>
      <w:r>
        <w:t xml:space="preserve"> </w:t>
      </w:r>
      <w:r>
        <w:t xml:space="preserve">in</w:t>
      </w:r>
      <w:r>
        <w:t xml:space="preserve"> </w:t>
      </w:r>
      <w:r>
        <w:t xml:space="preserve">Statistics</w:t>
      </w:r>
      <w:r>
        <w:t xml:space="preserve">).</w:t>
      </w:r>
      <w:r>
        <w:t xml:space="preserve"> </w:t>
      </w:r>
    </w:p>
    <w:bookmarkEnd w:id="172"/>
    <w:bookmarkStart w:id="174" w:name="ref-gelman2013BayesianDataAnalysis"/>
    <w:p>
      <w:pPr>
        <w:pStyle w:val="Bibliography"/>
      </w:pPr>
      <w:r>
        <w:t xml:space="preserve">56.</w:t>
      </w:r>
      <w:r>
        <w:t xml:space="preserve"> </w:t>
      </w:r>
      <w:r>
        <w:t xml:space="preserve">	</w:t>
      </w:r>
      <w:r>
        <w:t xml:space="preserve">Gelman A, Carlin JB, Stern HS, Dunson DB, Vehtari A, Rubin DB.</w:t>
      </w:r>
      <w:r>
        <w:t xml:space="preserve"> </w:t>
      </w:r>
      <w:hyperlink r:id="rId173">
        <w:r>
          <w:rPr>
            <w:rStyle w:val="Hyperlink"/>
          </w:rPr>
          <w:t xml:space="preserve">Bayesian</w:t>
        </w:r>
        <w:r>
          <w:rPr>
            <w:rStyle w:val="Hyperlink"/>
          </w:rPr>
          <w:t xml:space="preserve"> </w:t>
        </w:r>
        <w:r>
          <w:rPr>
            <w:rStyle w:val="Hyperlink"/>
          </w:rPr>
          <w:t xml:space="preserve">Data Analysis</w:t>
        </w:r>
      </w:hyperlink>
      <w:r>
        <w:t xml:space="preserve">. 0th ed.</w:t>
      </w:r>
      <w:r>
        <w:t xml:space="preserve"> </w:t>
      </w:r>
      <w:r>
        <w:t xml:space="preserve">Chapman and Hall/CRC</w:t>
      </w:r>
      <w:r>
        <w:t xml:space="preserve">; 2013.</w:t>
      </w:r>
      <w:r>
        <w:t xml:space="preserve"> </w:t>
      </w:r>
    </w:p>
    <w:bookmarkEnd w:id="174"/>
    <w:bookmarkStart w:id="176" w:name="ref-gelman2020BayesianWorkflow"/>
    <w:p>
      <w:pPr>
        <w:pStyle w:val="Bibliography"/>
      </w:pPr>
      <w:r>
        <w:t xml:space="preserve">57.</w:t>
      </w:r>
      <w:r>
        <w:t xml:space="preserve"> </w:t>
      </w:r>
      <w:r>
        <w:t xml:space="preserve">	</w:t>
      </w:r>
      <w:r>
        <w:t xml:space="preserve">Gelman A, Vehtari A, Simpson D, Margossian CC, Carpenter B, Yao Y, et al.</w:t>
      </w:r>
      <w:r>
        <w:t xml:space="preserve"> </w:t>
      </w:r>
      <w:hyperlink r:id="rId175">
        <w:r>
          <w:rPr>
            <w:rStyle w:val="Hyperlink"/>
          </w:rPr>
          <w:t xml:space="preserve">Bayesian</w:t>
        </w:r>
        <w:r>
          <w:rPr>
            <w:rStyle w:val="Hyperlink"/>
          </w:rPr>
          <w:t xml:space="preserve"> </w:t>
        </w:r>
        <w:r>
          <w:rPr>
            <w:rStyle w:val="Hyperlink"/>
          </w:rPr>
          <w:t xml:space="preserve">Workflow</w:t>
        </w:r>
      </w:hyperlink>
      <w:r>
        <w:t xml:space="preserve">. arXiv; 2020.</w:t>
      </w:r>
      <w:r>
        <w:t xml:space="preserve"> </w:t>
      </w:r>
    </w:p>
    <w:bookmarkEnd w:id="176"/>
    <w:bookmarkStart w:id="178" w:name="ref-kazi2026PvaluesBayesFactor"/>
    <w:p>
      <w:pPr>
        <w:pStyle w:val="Bibliography"/>
      </w:pPr>
      <w:r>
        <w:t xml:space="preserve">58.</w:t>
      </w:r>
      <w:r>
        <w:t xml:space="preserve"> </w:t>
      </w:r>
      <w:r>
        <w:t xml:space="preserve">	</w:t>
      </w:r>
      <w:r>
        <w:t xml:space="preserve">Kazi M.</w:t>
      </w:r>
      <w:r>
        <w:t xml:space="preserve"> </w:t>
      </w:r>
      <w:hyperlink r:id="rId177">
        <w:r>
          <w:rPr>
            <w:rStyle w:val="Hyperlink"/>
          </w:rPr>
          <w:t xml:space="preserve">From p-values to</w:t>
        </w:r>
        <w:r>
          <w:rPr>
            <w:rStyle w:val="Hyperlink"/>
          </w:rPr>
          <w:t xml:space="preserve"> </w:t>
        </w:r>
        <w:r>
          <w:rPr>
            <w:rStyle w:val="Hyperlink"/>
          </w:rPr>
          <w:t xml:space="preserve">Bayes Factor</w:t>
        </w:r>
        <w:r>
          <w:rPr>
            <w:rStyle w:val="Hyperlink"/>
          </w:rPr>
          <w:t xml:space="preserve">:</w:t>
        </w:r>
        <w:r>
          <w:rPr>
            <w:rStyle w:val="Hyperlink"/>
          </w:rPr>
          <w:t xml:space="preserve"> </w:t>
        </w:r>
        <w:r>
          <w:rPr>
            <w:rStyle w:val="Hyperlink"/>
          </w:rPr>
          <w:t xml:space="preserve">A Meta-Analytic Comparison</w:t>
        </w:r>
        <w:r>
          <w:rPr>
            <w:rStyle w:val="Hyperlink"/>
          </w:rPr>
          <w:t xml:space="preserve"> </w:t>
        </w:r>
        <w:r>
          <w:rPr>
            <w:rStyle w:val="Hyperlink"/>
          </w:rPr>
          <w:t xml:space="preserve">in</w:t>
        </w:r>
        <w:r>
          <w:rPr>
            <w:rStyle w:val="Hyperlink"/>
          </w:rPr>
          <w:t xml:space="preserve"> </w:t>
        </w:r>
        <w:r>
          <w:rPr>
            <w:rStyle w:val="Hyperlink"/>
          </w:rPr>
          <w:t xml:space="preserve">Colorectal Research</w:t>
        </w:r>
      </w:hyperlink>
      <w:r>
        <w:t xml:space="preserve">. Indian J Surg Oncol. 2026 Jan;17(1):241–8.</w:t>
      </w:r>
      <w:r>
        <w:t xml:space="preserve"> </w:t>
      </w:r>
    </w:p>
    <w:bookmarkEnd w:id="178"/>
    <w:bookmarkStart w:id="180" w:name="X946754e67e3c74fad7a8806aa9d2819ed4ec186"/>
    <w:p>
      <w:pPr>
        <w:pStyle w:val="Bibliography"/>
      </w:pPr>
      <w:r>
        <w:t xml:space="preserve">59.</w:t>
      </w:r>
      <w:r>
        <w:t xml:space="preserve"> </w:t>
      </w:r>
      <w:r>
        <w:t xml:space="preserve">	</w:t>
      </w:r>
      <w:r>
        <w:t xml:space="preserve">Yao M, Deng K, Wang Y, Mei F, Zou K, Li L, et al.</w:t>
      </w:r>
      <w:r>
        <w:t xml:space="preserve"> </w:t>
      </w:r>
      <w:hyperlink r:id="rId179">
        <w:r>
          <w:rPr>
            <w:rStyle w:val="Hyperlink"/>
          </w:rPr>
          <w:t xml:space="preserve">Random-effects meta-analysis models for pooling rare events data: A comparison between frequentist and bayesian methods</w:t>
        </w:r>
      </w:hyperlink>
      <w:r>
        <w:t xml:space="preserve">. BMC Med Res Methodol. 2025 Oct;25(1):228.</w:t>
      </w:r>
      <w:r>
        <w:t xml:space="preserve"> </w:t>
      </w:r>
    </w:p>
    <w:bookmarkEnd w:id="180"/>
    <w:bookmarkStart w:id="182" w:name="ref-ciyer2025BayesianMetaanalysis21st"/>
    <w:p>
      <w:pPr>
        <w:pStyle w:val="Bibliography"/>
      </w:pPr>
      <w:r>
        <w:t xml:space="preserve">60.</w:t>
      </w:r>
      <w:r>
        <w:t xml:space="preserve"> </w:t>
      </w:r>
      <w:r>
        <w:t xml:space="preserve">	</w:t>
      </w:r>
      <w:r>
        <w:t xml:space="preserve">C Iyer S, Yap QV, Soong J, Cove M.</w:t>
      </w:r>
      <w:r>
        <w:t xml:space="preserve"> </w:t>
      </w:r>
      <w:hyperlink r:id="rId181">
        <w:r>
          <w:rPr>
            <w:rStyle w:val="Hyperlink"/>
          </w:rPr>
          <w:t xml:space="preserve">Bayesian meta-analysis in the 21st century:</w:t>
        </w:r>
        <w:r>
          <w:rPr>
            <w:rStyle w:val="Hyperlink"/>
          </w:rPr>
          <w:t xml:space="preserve"> </w:t>
        </w:r>
        <w:r>
          <w:rPr>
            <w:rStyle w:val="Hyperlink"/>
          </w:rPr>
          <w:t xml:space="preserve">Fad</w:t>
        </w:r>
        <w:r>
          <w:rPr>
            <w:rStyle w:val="Hyperlink"/>
          </w:rPr>
          <w:t xml:space="preserve"> </w:t>
        </w:r>
        <w:r>
          <w:rPr>
            <w:rStyle w:val="Hyperlink"/>
          </w:rPr>
          <w:t xml:space="preserve">or future of evidence synthesis?</w:t>
        </w:r>
      </w:hyperlink>
      <w:r>
        <w:t xml:space="preserve"> Ann Acad Med Singap. 2025 Jul;54(7):437.</w:t>
      </w:r>
      <w:r>
        <w:t xml:space="preserve"> </w:t>
      </w:r>
    </w:p>
    <w:bookmarkEnd w:id="182"/>
    <w:bookmarkStart w:id="184" w:name="ref-hong2013ComparingBayesianFrequentist"/>
    <w:p>
      <w:pPr>
        <w:pStyle w:val="Bibliography"/>
      </w:pPr>
      <w:r>
        <w:t xml:space="preserve">61.</w:t>
      </w:r>
      <w:r>
        <w:t xml:space="preserve"> </w:t>
      </w:r>
      <w:r>
        <w:t xml:space="preserve">	</w:t>
      </w:r>
      <w:r>
        <w:t xml:space="preserve">Hong H, Carlin BP, Shamliyan TA, Wyman JF, Ramakrishnan R, Sainfort F, et al.</w:t>
      </w:r>
      <w:r>
        <w:t xml:space="preserve"> </w:t>
      </w:r>
      <w:hyperlink r:id="rId183">
        <w:r>
          <w:rPr>
            <w:rStyle w:val="Hyperlink"/>
          </w:rPr>
          <w:t xml:space="preserve">Comparing</w:t>
        </w:r>
        <w:r>
          <w:rPr>
            <w:rStyle w:val="Hyperlink"/>
          </w:rPr>
          <w:t xml:space="preserve"> </w:t>
        </w:r>
        <w:r>
          <w:rPr>
            <w:rStyle w:val="Hyperlink"/>
          </w:rPr>
          <w:t xml:space="preserve">Bayesian</w:t>
        </w:r>
        <w:r>
          <w:rPr>
            <w:rStyle w:val="Hyperlink"/>
          </w:rPr>
          <w:t xml:space="preserve"> </w:t>
        </w:r>
        <w:r>
          <w:rPr>
            <w:rStyle w:val="Hyperlink"/>
          </w:rPr>
          <w:t xml:space="preserve">and</w:t>
        </w:r>
        <w:r>
          <w:rPr>
            <w:rStyle w:val="Hyperlink"/>
          </w:rPr>
          <w:t xml:space="preserve"> </w:t>
        </w:r>
        <w:r>
          <w:rPr>
            <w:rStyle w:val="Hyperlink"/>
          </w:rPr>
          <w:t xml:space="preserve">Frequentist Approaches</w:t>
        </w:r>
        <w:r>
          <w:rPr>
            <w:rStyle w:val="Hyperlink"/>
          </w:rPr>
          <w:t xml:space="preserve"> </w:t>
        </w:r>
        <w:r>
          <w:rPr>
            <w:rStyle w:val="Hyperlink"/>
          </w:rPr>
          <w:t xml:space="preserve">for</w:t>
        </w:r>
        <w:r>
          <w:rPr>
            <w:rStyle w:val="Hyperlink"/>
          </w:rPr>
          <w:t xml:space="preserve"> </w:t>
        </w:r>
        <w:r>
          <w:rPr>
            <w:rStyle w:val="Hyperlink"/>
          </w:rPr>
          <w:t xml:space="preserve">Multiple Outcome Mixed Treatment Comparisons</w:t>
        </w:r>
      </w:hyperlink>
      <w:r>
        <w:t xml:space="preserve">. Med Decis Making. 2013 Jul;33(5):702–14.</w:t>
      </w:r>
      <w:r>
        <w:t xml:space="preserve"> </w:t>
      </w:r>
    </w:p>
    <w:bookmarkEnd w:id="184"/>
    <w:bookmarkStart w:id="186" w:name="ref-sadeghirad2023TheoryPracticeBayesian"/>
    <w:p>
      <w:pPr>
        <w:pStyle w:val="Bibliography"/>
      </w:pPr>
      <w:r>
        <w:t xml:space="preserve">62.</w:t>
      </w:r>
      <w:r>
        <w:t xml:space="preserve"> </w:t>
      </w:r>
      <w:r>
        <w:t xml:space="preserve">	</w:t>
      </w:r>
      <w:r>
        <w:t xml:space="preserve">Sadeghirad B, Foroutan F, Zoratti MJ, Busse JW, Brignardello-Petersen R, Guyatt G, et al.</w:t>
      </w:r>
      <w:r>
        <w:t xml:space="preserve"> </w:t>
      </w:r>
      <w:hyperlink r:id="rId185">
        <w:r>
          <w:rPr>
            <w:rStyle w:val="Hyperlink"/>
          </w:rPr>
          <w:t xml:space="preserve">Theory and practice of</w:t>
        </w:r>
        <w:r>
          <w:rPr>
            <w:rStyle w:val="Hyperlink"/>
          </w:rPr>
          <w:t xml:space="preserve"> </w:t>
        </w:r>
        <w:r>
          <w:rPr>
            <w:rStyle w:val="Hyperlink"/>
          </w:rPr>
          <w:t xml:space="preserve">Bayesian</w:t>
        </w:r>
        <w:r>
          <w:rPr>
            <w:rStyle w:val="Hyperlink"/>
          </w:rPr>
          <w:t xml:space="preserve"> </w:t>
        </w:r>
        <w:r>
          <w:rPr>
            <w:rStyle w:val="Hyperlink"/>
          </w:rPr>
          <w:t xml:space="preserve">and frequentist frameworks for network meta-analysis</w:t>
        </w:r>
      </w:hyperlink>
      <w:r>
        <w:t xml:space="preserve">. BMJ EBM. 2023 Jun;28(3):204–9.</w:t>
      </w:r>
      <w:r>
        <w:t xml:space="preserve"> </w:t>
      </w:r>
    </w:p>
    <w:bookmarkEnd w:id="186"/>
    <w:bookmarkStart w:id="188" w:name="X55ae1a8b757df519e0a47e2002b3acc0b2e73ec"/>
    <w:p>
      <w:pPr>
        <w:pStyle w:val="Bibliography"/>
      </w:pPr>
      <w:r>
        <w:t xml:space="preserve">63.</w:t>
      </w:r>
      <w:r>
        <w:t xml:space="preserve"> </w:t>
      </w:r>
      <w:r>
        <w:t xml:space="preserve">	</w:t>
      </w:r>
      <w:r>
        <w:t xml:space="preserve">Seide SE, Jensen K, Kieser M.</w:t>
      </w:r>
      <w:r>
        <w:t xml:space="preserve"> </w:t>
      </w:r>
      <w:hyperlink r:id="rId187">
        <w:r>
          <w:rPr>
            <w:rStyle w:val="Hyperlink"/>
          </w:rPr>
          <w:t xml:space="preserve">A comparison of</w:t>
        </w:r>
        <w:r>
          <w:rPr>
            <w:rStyle w:val="Hyperlink"/>
          </w:rPr>
          <w:t xml:space="preserve"> </w:t>
        </w:r>
        <w:r>
          <w:rPr>
            <w:rStyle w:val="Hyperlink"/>
          </w:rPr>
          <w:t xml:space="preserve">Bayesian</w:t>
        </w:r>
        <w:r>
          <w:rPr>
            <w:rStyle w:val="Hyperlink"/>
          </w:rPr>
          <w:t xml:space="preserve"> </w:t>
        </w:r>
        <w:r>
          <w:rPr>
            <w:rStyle w:val="Hyperlink"/>
          </w:rPr>
          <w:t xml:space="preserve">and frequentist methods in random-effects network meta-analysis of binary data</w:t>
        </w:r>
      </w:hyperlink>
      <w:r>
        <w:t xml:space="preserve">. Research Synthesis Methods. 2020 May;11(3):363–78.</w:t>
      </w:r>
      <w:r>
        <w:t xml:space="preserve"> </w:t>
      </w:r>
    </w:p>
    <w:bookmarkEnd w:id="188"/>
    <w:bookmarkEnd w:id="189"/>
    <w:bookmarkEnd w:id="190"/>
    <w:sectPr>
      <w:footerReference r:id="rId9"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2"/>
  </w:num>
  <w:num w:numId="1013">
    <w:abstractNumId w:val="992"/>
  </w:num>
  <w:num w:numId="1014">
    <w:abstractNumId w:val="991"/>
  </w:num>
  <w:num w:numId="1015">
    <w:abstractNumId w:val="991"/>
  </w:num>
  <w:num w:numId="1016">
    <w:abstractNumId w:val="991"/>
  </w:num>
  <w:num w:numId="1017">
    <w:abstractNumId w:val="992"/>
  </w:num>
  <w:num w:numId="101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44" Target="media/rId44.png" /><Relationship Type="http://schemas.openxmlformats.org/officeDocument/2006/relationships/hyperlink" Id="rId93" Target="https://doi.org/10.1001/jama.1990.03440050067035" TargetMode="External" /><Relationship Type="http://schemas.openxmlformats.org/officeDocument/2006/relationships/hyperlink" Id="rId187" Target="https://doi.org/10.1002/jrsm.1397" TargetMode="External" /><Relationship Type="http://schemas.openxmlformats.org/officeDocument/2006/relationships/hyperlink" Id="rId103" Target="https://doi.org/10.1006/enrs.1994.1020" TargetMode="External" /><Relationship Type="http://schemas.openxmlformats.org/officeDocument/2006/relationships/hyperlink" Id="rId171" Target="https://doi.org/10.1007/978-3-319-19425-7" TargetMode="External" /><Relationship Type="http://schemas.openxmlformats.org/officeDocument/2006/relationships/hyperlink" Id="rId87" Target="https://doi.org/10.1007/s11121-023-01601-6" TargetMode="External" /><Relationship Type="http://schemas.openxmlformats.org/officeDocument/2006/relationships/hyperlink" Id="rId73" Target="https://doi.org/10.1007/s12403-023-00535-2" TargetMode="External" /><Relationship Type="http://schemas.openxmlformats.org/officeDocument/2006/relationships/hyperlink" Id="rId177" Target="https://doi.org/10.1007/s13193-025-02314-8" TargetMode="External" /><Relationship Type="http://schemas.openxmlformats.org/officeDocument/2006/relationships/hyperlink" Id="rId75" Target="https://doi.org/10.1016/S0140-6736(24)00933-4" TargetMode="External" /><Relationship Type="http://schemas.openxmlformats.org/officeDocument/2006/relationships/hyperlink" Id="rId83" Target="https://doi.org/10.1016/S2468-2667(18)30025-2" TargetMode="External" /><Relationship Type="http://schemas.openxmlformats.org/officeDocument/2006/relationships/hyperlink" Id="rId99" Target="https://doi.org/10.1016/S2542-5196(23)00166-3" TargetMode="External" /><Relationship Type="http://schemas.openxmlformats.org/officeDocument/2006/relationships/hyperlink" Id="rId69" Target="https://doi.org/10.1016/j.chemosphere.2023.138207" TargetMode="External" /><Relationship Type="http://schemas.openxmlformats.org/officeDocument/2006/relationships/hyperlink" Id="rId79" Target="https://doi.org/10.1016/j.ecoenv.2022.113257" TargetMode="External" /><Relationship Type="http://schemas.openxmlformats.org/officeDocument/2006/relationships/hyperlink" Id="rId146" Target="https://doi.org/10.1016/j.envint.2018.10.043" TargetMode="External" /><Relationship Type="http://schemas.openxmlformats.org/officeDocument/2006/relationships/hyperlink" Id="rId150" Target="https://doi.org/10.1016/j.envint.2021.106798" TargetMode="External" /><Relationship Type="http://schemas.openxmlformats.org/officeDocument/2006/relationships/hyperlink" Id="rId89" Target="https://doi.org/10.1016/j.envint.2025.109786" TargetMode="External" /><Relationship Type="http://schemas.openxmlformats.org/officeDocument/2006/relationships/hyperlink" Id="rId85" Target="https://doi.org/10.1016/j.envres.2005.10.004" TargetMode="External" /><Relationship Type="http://schemas.openxmlformats.org/officeDocument/2006/relationships/hyperlink" Id="rId155" Target="https://doi.org/10.1016/j.envres.2012.08.003" TargetMode="External" /><Relationship Type="http://schemas.openxmlformats.org/officeDocument/2006/relationships/hyperlink" Id="rId107" Target="https://doi.org/10.1016/j.envres.2019.02.023" TargetMode="External" /><Relationship Type="http://schemas.openxmlformats.org/officeDocument/2006/relationships/hyperlink" Id="rId109" Target="https://doi.org/10.1016/j.envres.2024.120013" TargetMode="External" /><Relationship Type="http://schemas.openxmlformats.org/officeDocument/2006/relationships/hyperlink" Id="rId153" Target="https://doi.org/10.1016/j.neuro.2013.05.005" TargetMode="External" /><Relationship Type="http://schemas.openxmlformats.org/officeDocument/2006/relationships/hyperlink" Id="rId144" Target="https://doi.org/10.1016/j.scitotenv.2019.134519" TargetMode="External" /><Relationship Type="http://schemas.openxmlformats.org/officeDocument/2006/relationships/hyperlink" Id="rId128" Target="https://doi.org/10.1038/s41370-022-00450-9" TargetMode="External" /><Relationship Type="http://schemas.openxmlformats.org/officeDocument/2006/relationships/hyperlink" Id="rId123" Target="https://doi.org/10.1038/s41562-021-01177-7" TargetMode="External" /><Relationship Type="http://schemas.openxmlformats.org/officeDocument/2006/relationships/hyperlink" Id="rId67" Target="https://doi.org/10.1038/s41598-025-17943-w" TargetMode="External" /><Relationship Type="http://schemas.openxmlformats.org/officeDocument/2006/relationships/hyperlink" Id="rId77" Target="https://doi.org/10.1053/j.ajkd.2018.02.358" TargetMode="External" /><Relationship Type="http://schemas.openxmlformats.org/officeDocument/2006/relationships/hyperlink" Id="rId91" Target="https://doi.org/10.1056/NEJM199210293271805" TargetMode="External" /><Relationship Type="http://schemas.openxmlformats.org/officeDocument/2006/relationships/hyperlink" Id="rId105" Target="https://doi.org/10.1056/NEJMoa022848" TargetMode="External" /><Relationship Type="http://schemas.openxmlformats.org/officeDocument/2006/relationships/hyperlink" Id="rId111" Target="https://doi.org/10.1073/pnas.2118631119" TargetMode="External" /><Relationship Type="http://schemas.openxmlformats.org/officeDocument/2006/relationships/hyperlink" Id="rId159" Target="https://doi.org/10.1111/ajpy.12096" TargetMode="External" /><Relationship Type="http://schemas.openxmlformats.org/officeDocument/2006/relationships/hyperlink" Id="rId165" Target="https://doi.org/10.1136/bmj.309.6963.1189" TargetMode="External" /><Relationship Type="http://schemas.openxmlformats.org/officeDocument/2006/relationships/hyperlink" Id="rId121" Target="https://doi.org/10.1136/bmj.n71" TargetMode="External" /><Relationship Type="http://schemas.openxmlformats.org/officeDocument/2006/relationships/hyperlink" Id="rId185" Target="https://doi.org/10.1136/bmjebm-2022-111928" TargetMode="External" /><Relationship Type="http://schemas.openxmlformats.org/officeDocument/2006/relationships/hyperlink" Id="rId81" Target="https://doi.org/10.1161/JAHA.124.037633" TargetMode="External" /><Relationship Type="http://schemas.openxmlformats.org/officeDocument/2006/relationships/hyperlink" Id="rId169" Target="https://doi.org/10.1177/0013164495055004001" TargetMode="External" /><Relationship Type="http://schemas.openxmlformats.org/officeDocument/2006/relationships/hyperlink" Id="rId183" Target="https://doi.org/10.1177/0272989X13481110" TargetMode="External" /><Relationship Type="http://schemas.openxmlformats.org/officeDocument/2006/relationships/hyperlink" Id="rId179" Target="https://doi.org/10.1186/s12874-025-02664-5" TargetMode="External" /><Relationship Type="http://schemas.openxmlformats.org/officeDocument/2006/relationships/hyperlink" Id="rId157" Target="https://doi.org/10.1186/s12940-019-0505-3" TargetMode="External" /><Relationship Type="http://schemas.openxmlformats.org/officeDocument/2006/relationships/hyperlink" Id="rId163" Target="https://doi.org/10.1186/s12940-023-01029-z" TargetMode="External" /><Relationship Type="http://schemas.openxmlformats.org/officeDocument/2006/relationships/hyperlink" Id="rId167" Target="https://doi.org/10.1186/s13643-022-01963-y" TargetMode="External" /><Relationship Type="http://schemas.openxmlformats.org/officeDocument/2006/relationships/hyperlink" Id="rId161" Target="https://doi.org/10.1186/s40537-018-0143-6" TargetMode="External" /><Relationship Type="http://schemas.openxmlformats.org/officeDocument/2006/relationships/hyperlink" Id="rId117" Target="https://doi.org/10.1201/9781003375821" TargetMode="External" /><Relationship Type="http://schemas.openxmlformats.org/officeDocument/2006/relationships/hyperlink" Id="rId173" Target="https://doi.org/10.1201/b16018" TargetMode="External" /><Relationship Type="http://schemas.openxmlformats.org/officeDocument/2006/relationships/hyperlink" Id="rId115" Target="https://doi.org/10.1289/EHP5685" TargetMode="External" /><Relationship Type="http://schemas.openxmlformats.org/officeDocument/2006/relationships/hyperlink" Id="rId132" Target="https://doi.org/10.1289/ehp.8552" TargetMode="External" /><Relationship Type="http://schemas.openxmlformats.org/officeDocument/2006/relationships/hyperlink" Id="rId95" Target="https://doi.org/10.1542/peds.90.6.855" TargetMode="External" /><Relationship Type="http://schemas.openxmlformats.org/officeDocument/2006/relationships/hyperlink" Id="rId140" Target="https://doi.org/10.18637/jss.v036.i03" TargetMode="External" /><Relationship Type="http://schemas.openxmlformats.org/officeDocument/2006/relationships/hyperlink" Id="rId135" Target="https://doi.org/10.18637/jss.v080.i01" TargetMode="External" /><Relationship Type="http://schemas.openxmlformats.org/officeDocument/2006/relationships/hyperlink" Id="rId101" Target="https://doi.org/10.2903/j.efsa.2010.1570" TargetMode="External" /><Relationship Type="http://schemas.openxmlformats.org/officeDocument/2006/relationships/hyperlink" Id="rId71" Target="https://doi.org/10.2903/j.efsa.2012.2831" TargetMode="External" /><Relationship Type="http://schemas.openxmlformats.org/officeDocument/2006/relationships/hyperlink" Id="rId126" Target="https://doi.org/10.2903/sp.efsa.2024.EN-8925" TargetMode="External" /><Relationship Type="http://schemas.openxmlformats.org/officeDocument/2006/relationships/hyperlink" Id="rId113" Target="https://doi.org/10.3109/10408444.2013.832726" TargetMode="External" /><Relationship Type="http://schemas.openxmlformats.org/officeDocument/2006/relationships/hyperlink" Id="rId119" Target="https://doi.org/10.3758/s13423-013-0572-3" TargetMode="External" /><Relationship Type="http://schemas.openxmlformats.org/officeDocument/2006/relationships/hyperlink" Id="rId181" Target="https://doi.org/10.47102/annals-acadmedsg.2025104" TargetMode="External" /><Relationship Type="http://schemas.openxmlformats.org/officeDocument/2006/relationships/hyperlink" Id="rId137" Target="https://doi.org/10.48550/ARXIV.1111.4246" TargetMode="External" /><Relationship Type="http://schemas.openxmlformats.org/officeDocument/2006/relationships/hyperlink" Id="rId175" Target="https://doi.org/10.48550/ARXIV.2011.01808" TargetMode="External" /><Relationship Type="http://schemas.openxmlformats.org/officeDocument/2006/relationships/hyperlink" Id="rId142" Target="https://doi.org/doi:10.1289/EHP6803" TargetMode="External" /><Relationship Type="http://schemas.openxmlformats.org/officeDocument/2006/relationships/hyperlink" Id="rId148" Target="https://doi.org/doi:10.1289/ehp.1307420" TargetMode="External" /><Relationship Type="http://schemas.openxmlformats.org/officeDocument/2006/relationships/hyperlink" Id="rId130" Target="https://doi.org/doi:10.1289/ehp.7625" TargetMode="External" /><Relationship Type="http://schemas.openxmlformats.org/officeDocument/2006/relationships/hyperlink" Id="rId97" Target="https://doi.org/doi:10.1289/ehp.7688" TargetMode="External" /><Relationship Type="http://schemas.openxmlformats.org/officeDocument/2006/relationships/hyperlink" Id="rId23" Target="https://efsa.onlinelibrary.wiley.com/doi/10.2903/sp.efsa.2024.EN-8925" TargetMode="External" /><Relationship Type="http://schemas.openxmlformats.org/officeDocument/2006/relationships/hyperlink" Id="rId33" Target="https://github.com/PaulinaSell/lead-IQ_meta-analysis" TargetMode="External" /><Relationship Type="http://schemas.openxmlformats.org/officeDocument/2006/relationships/hyperlink" Id="rId26" Target="https://hbm.vito.be/eu-hbm-dashboard" TargetMode="External" /><Relationship Type="http://schemas.openxmlformats.org/officeDocument/2006/relationships/hyperlink" Id="rId21" Target="https://link.springer.com/journal/12963/submission-guidelines#aimsAndScope" TargetMode="External" /><Relationship Type="http://schemas.openxmlformats.org/officeDocument/2006/relationships/hyperlink" Id="rId28" Target="https://www.eu-parc.eu" TargetMode="External" /><Relationship Type="http://schemas.openxmlformats.org/officeDocument/2006/relationships/hyperlink" Id="rId22" Target="https://www.prisma-statement.org/prisma-2020" TargetMode="External" /><Relationship Type="http://schemas.openxmlformats.org/officeDocument/2006/relationships/hyperlink" Id="rId20"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93" Target="https://doi.org/10.1001/jama.1990.03440050067035" TargetMode="External" /><Relationship Type="http://schemas.openxmlformats.org/officeDocument/2006/relationships/hyperlink" Id="rId187" Target="https://doi.org/10.1002/jrsm.1397" TargetMode="External" /><Relationship Type="http://schemas.openxmlformats.org/officeDocument/2006/relationships/hyperlink" Id="rId103" Target="https://doi.org/10.1006/enrs.1994.1020" TargetMode="External" /><Relationship Type="http://schemas.openxmlformats.org/officeDocument/2006/relationships/hyperlink" Id="rId171" Target="https://doi.org/10.1007/978-3-319-19425-7" TargetMode="External" /><Relationship Type="http://schemas.openxmlformats.org/officeDocument/2006/relationships/hyperlink" Id="rId87" Target="https://doi.org/10.1007/s11121-023-01601-6" TargetMode="External" /><Relationship Type="http://schemas.openxmlformats.org/officeDocument/2006/relationships/hyperlink" Id="rId73" Target="https://doi.org/10.1007/s12403-023-00535-2" TargetMode="External" /><Relationship Type="http://schemas.openxmlformats.org/officeDocument/2006/relationships/hyperlink" Id="rId177" Target="https://doi.org/10.1007/s13193-025-02314-8" TargetMode="External" /><Relationship Type="http://schemas.openxmlformats.org/officeDocument/2006/relationships/hyperlink" Id="rId75" Target="https://doi.org/10.1016/S0140-6736(24)00933-4" TargetMode="External" /><Relationship Type="http://schemas.openxmlformats.org/officeDocument/2006/relationships/hyperlink" Id="rId83" Target="https://doi.org/10.1016/S2468-2667(18)30025-2" TargetMode="External" /><Relationship Type="http://schemas.openxmlformats.org/officeDocument/2006/relationships/hyperlink" Id="rId99" Target="https://doi.org/10.1016/S2542-5196(23)00166-3" TargetMode="External" /><Relationship Type="http://schemas.openxmlformats.org/officeDocument/2006/relationships/hyperlink" Id="rId69" Target="https://doi.org/10.1016/j.chemosphere.2023.138207" TargetMode="External" /><Relationship Type="http://schemas.openxmlformats.org/officeDocument/2006/relationships/hyperlink" Id="rId79" Target="https://doi.org/10.1016/j.ecoenv.2022.113257" TargetMode="External" /><Relationship Type="http://schemas.openxmlformats.org/officeDocument/2006/relationships/hyperlink" Id="rId146" Target="https://doi.org/10.1016/j.envint.2018.10.043" TargetMode="External" /><Relationship Type="http://schemas.openxmlformats.org/officeDocument/2006/relationships/hyperlink" Id="rId150" Target="https://doi.org/10.1016/j.envint.2021.106798" TargetMode="External" /><Relationship Type="http://schemas.openxmlformats.org/officeDocument/2006/relationships/hyperlink" Id="rId89" Target="https://doi.org/10.1016/j.envint.2025.109786" TargetMode="External" /><Relationship Type="http://schemas.openxmlformats.org/officeDocument/2006/relationships/hyperlink" Id="rId85" Target="https://doi.org/10.1016/j.envres.2005.10.004" TargetMode="External" /><Relationship Type="http://schemas.openxmlformats.org/officeDocument/2006/relationships/hyperlink" Id="rId155" Target="https://doi.org/10.1016/j.envres.2012.08.003" TargetMode="External" /><Relationship Type="http://schemas.openxmlformats.org/officeDocument/2006/relationships/hyperlink" Id="rId107" Target="https://doi.org/10.1016/j.envres.2019.02.023" TargetMode="External" /><Relationship Type="http://schemas.openxmlformats.org/officeDocument/2006/relationships/hyperlink" Id="rId109" Target="https://doi.org/10.1016/j.envres.2024.120013" TargetMode="External" /><Relationship Type="http://schemas.openxmlformats.org/officeDocument/2006/relationships/hyperlink" Id="rId153" Target="https://doi.org/10.1016/j.neuro.2013.05.005" TargetMode="External" /><Relationship Type="http://schemas.openxmlformats.org/officeDocument/2006/relationships/hyperlink" Id="rId144" Target="https://doi.org/10.1016/j.scitotenv.2019.134519" TargetMode="External" /><Relationship Type="http://schemas.openxmlformats.org/officeDocument/2006/relationships/hyperlink" Id="rId128" Target="https://doi.org/10.1038/s41370-022-00450-9" TargetMode="External" /><Relationship Type="http://schemas.openxmlformats.org/officeDocument/2006/relationships/hyperlink" Id="rId123" Target="https://doi.org/10.1038/s41562-021-01177-7" TargetMode="External" /><Relationship Type="http://schemas.openxmlformats.org/officeDocument/2006/relationships/hyperlink" Id="rId67" Target="https://doi.org/10.1038/s41598-025-17943-w" TargetMode="External" /><Relationship Type="http://schemas.openxmlformats.org/officeDocument/2006/relationships/hyperlink" Id="rId77" Target="https://doi.org/10.1053/j.ajkd.2018.02.358" TargetMode="External" /><Relationship Type="http://schemas.openxmlformats.org/officeDocument/2006/relationships/hyperlink" Id="rId91" Target="https://doi.org/10.1056/NEJM199210293271805" TargetMode="External" /><Relationship Type="http://schemas.openxmlformats.org/officeDocument/2006/relationships/hyperlink" Id="rId105" Target="https://doi.org/10.1056/NEJMoa022848" TargetMode="External" /><Relationship Type="http://schemas.openxmlformats.org/officeDocument/2006/relationships/hyperlink" Id="rId111" Target="https://doi.org/10.1073/pnas.2118631119" TargetMode="External" /><Relationship Type="http://schemas.openxmlformats.org/officeDocument/2006/relationships/hyperlink" Id="rId159" Target="https://doi.org/10.1111/ajpy.12096" TargetMode="External" /><Relationship Type="http://schemas.openxmlformats.org/officeDocument/2006/relationships/hyperlink" Id="rId165" Target="https://doi.org/10.1136/bmj.309.6963.1189" TargetMode="External" /><Relationship Type="http://schemas.openxmlformats.org/officeDocument/2006/relationships/hyperlink" Id="rId121" Target="https://doi.org/10.1136/bmj.n71" TargetMode="External" /><Relationship Type="http://schemas.openxmlformats.org/officeDocument/2006/relationships/hyperlink" Id="rId185" Target="https://doi.org/10.1136/bmjebm-2022-111928" TargetMode="External" /><Relationship Type="http://schemas.openxmlformats.org/officeDocument/2006/relationships/hyperlink" Id="rId81" Target="https://doi.org/10.1161/JAHA.124.037633" TargetMode="External" /><Relationship Type="http://schemas.openxmlformats.org/officeDocument/2006/relationships/hyperlink" Id="rId169" Target="https://doi.org/10.1177/0013164495055004001" TargetMode="External" /><Relationship Type="http://schemas.openxmlformats.org/officeDocument/2006/relationships/hyperlink" Id="rId183" Target="https://doi.org/10.1177/0272989X13481110" TargetMode="External" /><Relationship Type="http://schemas.openxmlformats.org/officeDocument/2006/relationships/hyperlink" Id="rId179" Target="https://doi.org/10.1186/s12874-025-02664-5" TargetMode="External" /><Relationship Type="http://schemas.openxmlformats.org/officeDocument/2006/relationships/hyperlink" Id="rId157" Target="https://doi.org/10.1186/s12940-019-0505-3" TargetMode="External" /><Relationship Type="http://schemas.openxmlformats.org/officeDocument/2006/relationships/hyperlink" Id="rId163" Target="https://doi.org/10.1186/s12940-023-01029-z" TargetMode="External" /><Relationship Type="http://schemas.openxmlformats.org/officeDocument/2006/relationships/hyperlink" Id="rId167" Target="https://doi.org/10.1186/s13643-022-01963-y" TargetMode="External" /><Relationship Type="http://schemas.openxmlformats.org/officeDocument/2006/relationships/hyperlink" Id="rId161" Target="https://doi.org/10.1186/s40537-018-0143-6" TargetMode="External" /><Relationship Type="http://schemas.openxmlformats.org/officeDocument/2006/relationships/hyperlink" Id="rId117" Target="https://doi.org/10.1201/9781003375821" TargetMode="External" /><Relationship Type="http://schemas.openxmlformats.org/officeDocument/2006/relationships/hyperlink" Id="rId173" Target="https://doi.org/10.1201/b16018" TargetMode="External" /><Relationship Type="http://schemas.openxmlformats.org/officeDocument/2006/relationships/hyperlink" Id="rId115" Target="https://doi.org/10.1289/EHP5685" TargetMode="External" /><Relationship Type="http://schemas.openxmlformats.org/officeDocument/2006/relationships/hyperlink" Id="rId132" Target="https://doi.org/10.1289/ehp.8552" TargetMode="External" /><Relationship Type="http://schemas.openxmlformats.org/officeDocument/2006/relationships/hyperlink" Id="rId95" Target="https://doi.org/10.1542/peds.90.6.855" TargetMode="External" /><Relationship Type="http://schemas.openxmlformats.org/officeDocument/2006/relationships/hyperlink" Id="rId140" Target="https://doi.org/10.18637/jss.v036.i03" TargetMode="External" /><Relationship Type="http://schemas.openxmlformats.org/officeDocument/2006/relationships/hyperlink" Id="rId135" Target="https://doi.org/10.18637/jss.v080.i01" TargetMode="External" /><Relationship Type="http://schemas.openxmlformats.org/officeDocument/2006/relationships/hyperlink" Id="rId101" Target="https://doi.org/10.2903/j.efsa.2010.1570" TargetMode="External" /><Relationship Type="http://schemas.openxmlformats.org/officeDocument/2006/relationships/hyperlink" Id="rId71" Target="https://doi.org/10.2903/j.efsa.2012.2831" TargetMode="External" /><Relationship Type="http://schemas.openxmlformats.org/officeDocument/2006/relationships/hyperlink" Id="rId126" Target="https://doi.org/10.2903/sp.efsa.2024.EN-8925" TargetMode="External" /><Relationship Type="http://schemas.openxmlformats.org/officeDocument/2006/relationships/hyperlink" Id="rId113" Target="https://doi.org/10.3109/10408444.2013.832726" TargetMode="External" /><Relationship Type="http://schemas.openxmlformats.org/officeDocument/2006/relationships/hyperlink" Id="rId119" Target="https://doi.org/10.3758/s13423-013-0572-3" TargetMode="External" /><Relationship Type="http://schemas.openxmlformats.org/officeDocument/2006/relationships/hyperlink" Id="rId181" Target="https://doi.org/10.47102/annals-acadmedsg.2025104" TargetMode="External" /><Relationship Type="http://schemas.openxmlformats.org/officeDocument/2006/relationships/hyperlink" Id="rId137" Target="https://doi.org/10.48550/ARXIV.1111.4246" TargetMode="External" /><Relationship Type="http://schemas.openxmlformats.org/officeDocument/2006/relationships/hyperlink" Id="rId175" Target="https://doi.org/10.48550/ARXIV.2011.01808" TargetMode="External" /><Relationship Type="http://schemas.openxmlformats.org/officeDocument/2006/relationships/hyperlink" Id="rId142" Target="https://doi.org/doi:10.1289/EHP6803" TargetMode="External" /><Relationship Type="http://schemas.openxmlformats.org/officeDocument/2006/relationships/hyperlink" Id="rId148" Target="https://doi.org/doi:10.1289/ehp.1307420" TargetMode="External" /><Relationship Type="http://schemas.openxmlformats.org/officeDocument/2006/relationships/hyperlink" Id="rId130" Target="https://doi.org/doi:10.1289/ehp.7625" TargetMode="External" /><Relationship Type="http://schemas.openxmlformats.org/officeDocument/2006/relationships/hyperlink" Id="rId97" Target="https://doi.org/doi:10.1289/ehp.7688" TargetMode="External" /><Relationship Type="http://schemas.openxmlformats.org/officeDocument/2006/relationships/hyperlink" Id="rId23" Target="https://efsa.onlinelibrary.wiley.com/doi/10.2903/sp.efsa.2024.EN-8925" TargetMode="External" /><Relationship Type="http://schemas.openxmlformats.org/officeDocument/2006/relationships/hyperlink" Id="rId33" Target="https://github.com/PaulinaSell/lead-IQ_meta-analysis" TargetMode="External" /><Relationship Type="http://schemas.openxmlformats.org/officeDocument/2006/relationships/hyperlink" Id="rId26" Target="https://hbm.vito.be/eu-hbm-dashboard" TargetMode="External" /><Relationship Type="http://schemas.openxmlformats.org/officeDocument/2006/relationships/hyperlink" Id="rId21" Target="https://link.springer.com/journal/12963/submission-guidelines#aimsAndScope" TargetMode="External" /><Relationship Type="http://schemas.openxmlformats.org/officeDocument/2006/relationships/hyperlink" Id="rId28" Target="https://www.eu-parc.eu" TargetMode="External" /><Relationship Type="http://schemas.openxmlformats.org/officeDocument/2006/relationships/hyperlink" Id="rId22" Target="https://www.prisma-statement.org/prisma-2020" TargetMode="External" /><Relationship Type="http://schemas.openxmlformats.org/officeDocument/2006/relationships/hyperlink" Id="rId20"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Lead exposure and IQ loss in children: a Bayesian and frequentist meta-analysis of recent epidemiological studies</dc:title>
  <dc:creator>Paulina Sell1,✉, Margaux Sanchez2, Philippe Palmont2, and Dietrich Plass1</dc:creator>
  <cp:keywords/>
  <dcterms:created xsi:type="dcterms:W3CDTF">2026-02-27T16:43:37Z</dcterms:created>
  <dcterms:modified xsi:type="dcterms:W3CDTF">2026-02-27T16:43:37Z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sl">
    <vt:lpwstr>vancouver.csl</vt:lpwstr>
  </property>
  <property fmtid="{D5CDD505-2E9C-101B-9397-08002B2CF9AE}" pid="8" name="date-format">
    <vt:lpwstr>D MMMM YYYY</vt:lpwstr>
  </property>
  <property fmtid="{D5CDD505-2E9C-101B-9397-08002B2CF9AE}" pid="9" name="date-modified">
    <vt:lpwstr>27 February 2026</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out-width">
    <vt:lpwstr>40%</vt:lpwstr>
  </property>
  <property fmtid="{D5CDD505-2E9C-101B-9397-08002B2CF9AE}" pid="15" name="reference-section-title">
    <vt:lpwstr>References</vt:lpwstr>
  </property>
  <property fmtid="{D5CDD505-2E9C-101B-9397-08002B2CF9AE}" pid="16" name="toc-title">
    <vt:lpwstr>Table of contents</vt:lpwstr>
  </property>
</Properties>
</file>