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Environmental Hygiene, German Environment Agency, Berlin, Germany</w:t>
      </w:r>
      <w:r>
        <w:br/>
      </w:r>
      <w:r>
        <w:rPr>
          <w:vertAlign w:val="superscript"/>
        </w:rPr>
        <w:t xml:space="preserve">2</w:t>
      </w:r>
      <w:r>
        <w:t xml:space="preserve"> </w:t>
      </w:r>
      <w:r>
        <w:t xml:space="preserve">Agence nationale de sécurité sanitaire,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 </w:t>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(33)</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(34)</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(34)</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(35,36)</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(24,37)</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1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(38)</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(39)</w:t>
      </w:r>
      <w:r>
        <w:t xml:space="preserve"> </w:t>
      </w:r>
      <w:r>
        <w:t xml:space="preserve">version 2.22.0.</w:t>
      </w:r>
      <w:r>
        <w:t xml:space="preserve"> </w:t>
      </w:r>
      <w:r>
        <w:t xml:space="preserve">Posterior draws were sampled using the Hamiltonian Monte Carlo algorithm</w:t>
      </w:r>
      <w:r>
        <w:t xml:space="preserve"> </w:t>
      </w:r>
      <w:r>
        <w:t xml:space="preserve">(40)</w:t>
      </w:r>
      <w:r>
        <w:t xml:space="preserve"> </w:t>
      </w:r>
      <w:r>
        <w:t xml:space="preserve">and the No-U-Turn Sampler (NUTS)</w:t>
      </w:r>
      <w:r>
        <w:t xml:space="preserve"> </w:t>
      </w:r>
      <w:r>
        <w:t xml:space="preserve">(41)</w:t>
      </w:r>
      <w:r>
        <w:t xml:space="preserve">.</w:t>
      </w:r>
      <w:r>
        <w:t xml:space="preserve"> </w:t>
      </w:r>
      <w:r>
        <w:t xml:space="preserve">We ran four chains with 4,000 iterations each, of which 2,000 iterations were discarded as warmup, resulting in 8,000 total post-warmup draws.</w:t>
      </w:r>
      <w:r>
        <w:t xml:space="preserve"> </w:t>
      </w:r>
      <w:r>
        <w:t xml:space="preserve">Convergence was assessed using the Gelman-Rubin statistic (</w:t>
      </w:r>
      <m:oMath>
        <m:acc>
          <m:accPr>
            <m:chr m:val="̂"/>
          </m:accPr>
          <m:e>
            <m:r>
              <m:t>R</m:t>
            </m:r>
          </m:e>
        </m:acc>
      </m:oMath>
      <w:r>
        <w:t xml:space="preserve">) and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simulations were conducted using the</w:t>
      </w:r>
      <w:r>
        <w:t xml:space="preserve"> </w:t>
      </w:r>
      <w:r>
        <w:rPr>
          <w:rStyle w:val="VerbatimChar"/>
        </w:rPr>
        <w:t xml:space="preserve">bayesplot</w:t>
      </w:r>
      <w:r>
        <w:t xml:space="preserve"> </w:t>
      </w:r>
      <w:r>
        <w:t xml:space="preserve">package</w:t>
      </w:r>
      <w:r>
        <w:t xml:space="preserve"> </w:t>
      </w:r>
      <w:r>
        <w:t xml:space="preserve">(42)</w:t>
      </w:r>
      <w:r>
        <w:t xml:space="preserve">.</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(43)</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1" w:name="results"/>
    <w:p>
      <w:pPr>
        <w:pStyle w:val="Heading1"/>
      </w:pPr>
      <w:r>
        <w:t xml:space="preserve">3.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1: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 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full-scale 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total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(MnBP, MEOHP + MEHP), and 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SPM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 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r>
    </w:tbl>
    <w:p>
      <w:pPr>
        <w:pStyle w:val="BodyText"/>
      </w:pPr>
      <w:r>
        <w:t xml:space="preserve">A PRISMA flow diagram summarizing the review process is shown as in figure 1</w:t>
      </w:r>
      <w:r>
        <w:t xml:space="preserve"> </w:t>
      </w:r>
      <w:r>
        <w:t xml:space="preserve">(31)</w:t>
      </w:r>
      <w:r>
        <w:t xml:space="preserve">.</w:t>
      </w:r>
      <w:r>
        <w:t xml:space="preserve"> </w:t>
      </w:r>
      <w:r>
        <w:t xml:space="preserve">A file containing detailed information on the screening process and exclusion reasons can be found in suppl. file X (systeamtic review process excel).</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PRISMA_flow_diagram.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 two with a moderate risk</w:t>
      </w:r>
      <w:r>
        <w:t xml:space="preserve"> </w:t>
      </w:r>
      <w:r>
        <w:t xml:space="preserve">(45)</w:t>
      </w:r>
      <w:r>
        <w:t xml:space="preserve"> </w:t>
      </w:r>
      <w:r>
        <w:t xml:space="preserve">and two studies with a high RoB</w:t>
      </w:r>
      <w:r>
        <w:t xml:space="preserve"> </w:t>
      </w:r>
      <w:r>
        <w:t xml:space="preserve">(46)</w:t>
      </w:r>
      <w:r>
        <w:t xml:space="preserve">.</w:t>
      </w:r>
      <w:r>
        <w:t xml:space="preserve"> </w:t>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(28)</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2: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RoB Criterion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Eligibility criteria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Comparability of exposure and comparison groups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Non-response rate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Recruitement time frame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Accuracy, validity and reliability of exposure measurements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Misclassification of exposure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Accuracy, validity and reliability of outcome measurements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Misclassification of outcome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Accounting for confounding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Accuracy, validity and reliability of confounding variables meas.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Adequacy of length of follow-up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Amount and handling of loss to follow-up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Appropriate data analysis methods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Handling of missing values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Selective reporting of outcomes </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bl>
    <w:bookmarkEnd w:id="48"/>
    <w:bookmarkStart w:id="49" w:name="meta-analysis-results"/>
    <w:p>
      <w:pPr>
        <w:pStyle w:val="Heading2"/>
      </w:pPr>
      <w:r>
        <w:t xml:space="preserve">3.3 Meta Analysis Results</w:t>
      </w:r>
    </w:p>
    <w:bookmarkEnd w:id="49"/>
    <w:bookmarkStart w:id="50" w:name="sensitivity-analysis-results"/>
    <w:p>
      <w:pPr>
        <w:pStyle w:val="Heading2"/>
      </w:pPr>
      <w:r>
        <w:t xml:space="preserve">3.4 Sensitivity Analysis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End w:id="50"/>
    <w:bookmarkEnd w:id="51"/>
    <w:bookmarkStart w:id="52" w:name="discussion"/>
    <w:p>
      <w:pPr>
        <w:pStyle w:val="Heading1"/>
      </w:pPr>
      <w:r>
        <w:t xml:space="preserve">4. Discussion</w:t>
      </w:r>
    </w:p>
    <w:p>
      <w:pPr>
        <w:pStyle w:val="Compact"/>
        <w:numPr>
          <w:ilvl w:val="0"/>
          <w:numId w:val="1014"/>
        </w:numPr>
      </w:pPr>
      <w:r>
        <w:t xml:space="preserve">General interpretation of results in light of evidence in literature</w:t>
      </w:r>
    </w:p>
    <w:p>
      <w:pPr>
        <w:pStyle w:val="Compact"/>
        <w:numPr>
          <w:ilvl w:val="0"/>
          <w:numId w:val="1015"/>
        </w:numPr>
      </w:pPr>
      <w:r>
        <w:t xml:space="preserve">Discuss differences, similarities, strengths and weaknesses of freq vs. Bayesian approach</w:t>
      </w:r>
    </w:p>
    <w:p>
      <w:pPr>
        <w:pStyle w:val="Compact"/>
        <w:numPr>
          <w:ilvl w:val="0"/>
          <w:numId w:val="1016"/>
        </w:numPr>
      </w:pPr>
      <w:r>
        <w:t xml:space="preserve">Study limitations &amp; strengths</w:t>
      </w:r>
    </w:p>
    <w:bookmarkEnd w:id="52"/>
    <w:bookmarkStart w:id="53"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53"/>
    <w:bookmarkStart w:id="5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4"/>
    <w:bookmarkStart w:id="5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5"/>
    <w:bookmarkStart w:id="5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6"/>
    <w:bookmarkStart w:id="147" w:name="bibliography"/>
    <w:p>
      <w:pPr>
        <w:pStyle w:val="Heading1"/>
      </w:pPr>
      <w:r>
        <w:t xml:space="preserve">References</w:t>
      </w:r>
    </w:p>
    <w:bookmarkStart w:id="146" w:name="refs"/>
    <w:bookmarkStart w:id="5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8"/>
    <w:bookmarkStart w:id="6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9">
        <w:r>
          <w:rPr>
            <w:rStyle w:val="Hyperlink"/>
          </w:rPr>
          <w:t xml:space="preserve">Global decrease in blood lead concentrations due to the removal of leaded gasoline</w:t>
        </w:r>
      </w:hyperlink>
      <w:r>
        <w:t xml:space="preserve">. Chemosphere. 2023;324:138207.</w:t>
      </w:r>
      <w:r>
        <w:t xml:space="preserve"> </w:t>
      </w:r>
    </w:p>
    <w:bookmarkEnd w:id="60"/>
    <w:bookmarkStart w:id="62" w:name="X4707f3a4b72a0982487545f9dc3d674642af108"/>
    <w:p>
      <w:pPr>
        <w:pStyle w:val="Bibliography"/>
      </w:pPr>
      <w:r>
        <w:t xml:space="preserve">3.</w:t>
      </w:r>
      <w:r>
        <w:t xml:space="preserve"> </w:t>
      </w:r>
      <w:r>
        <w:t xml:space="preserve">	</w:t>
      </w:r>
      <w:r>
        <w:t xml:space="preserve">European Food Safety Authority.</w:t>
      </w:r>
      <w:r>
        <w:t xml:space="preserve"> </w:t>
      </w:r>
      <w:hyperlink r:id="rId6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2"/>
    <w:bookmarkStart w:id="6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4"/>
    <w:bookmarkStart w:id="6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6"/>
    <w:bookmarkStart w:id="6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8"/>
    <w:bookmarkStart w:id="7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0"/>
    <w:bookmarkStart w:id="7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2"/>
    <w:bookmarkStart w:id="7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4"/>
    <w:bookmarkStart w:id="7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5">
        <w:r>
          <w:rPr>
            <w:rStyle w:val="Hyperlink"/>
          </w:rPr>
          <w:t xml:space="preserve">Low blood lead concentration in association with infertility in women</w:t>
        </w:r>
      </w:hyperlink>
      <w:r>
        <w:t xml:space="preserve">. Environmental Research. 2006 Jul;101(3):380–6.</w:t>
      </w:r>
      <w:r>
        <w:t xml:space="preserve"> </w:t>
      </w:r>
    </w:p>
    <w:bookmarkEnd w:id="76"/>
    <w:bookmarkStart w:id="7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8"/>
    <w:bookmarkStart w:id="8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0"/>
    <w:bookmarkStart w:id="8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2"/>
    <w:bookmarkStart w:id="84" w:name="ref-needleman1990LowLevelLeadExposure"/>
    <w:p>
      <w:pPr>
        <w:pStyle w:val="Bibliography"/>
      </w:pPr>
      <w:r>
        <w:t xml:space="preserve">14.</w:t>
      </w:r>
      <w:r>
        <w:t xml:space="preserve"> </w:t>
      </w:r>
      <w:r>
        <w:t xml:space="preserve">	</w:t>
      </w:r>
      <w:r>
        <w:t xml:space="preserve">Needleman HL.</w:t>
      </w:r>
      <w:r>
        <w:t xml:space="preserve"> </w:t>
      </w:r>
      <w:hyperlink r:id="rId8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4"/>
    <w:bookmarkStart w:id="86" w:name="ref-bellinger1992LowLevelLeadExposure"/>
    <w:p>
      <w:pPr>
        <w:pStyle w:val="Bibliography"/>
      </w:pPr>
      <w:r>
        <w:t xml:space="preserve">15.</w:t>
      </w:r>
      <w:r>
        <w:t xml:space="preserve"> </w:t>
      </w:r>
      <w:r>
        <w:t xml:space="preserve">	</w:t>
      </w:r>
      <w:r>
        <w:t xml:space="preserve">Bellinger DC, Stiles KM, Needleman HL.</w:t>
      </w:r>
      <w:r>
        <w:t xml:space="preserve"> </w:t>
      </w:r>
      <w:hyperlink r:id="rId8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6"/>
    <w:bookmarkStart w:id="8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8"/>
    <w:bookmarkStart w:id="90" w:name="ref-larsen2023GlobalHealthBurden"/>
    <w:p>
      <w:pPr>
        <w:pStyle w:val="Bibliography"/>
      </w:pPr>
      <w:r>
        <w:t xml:space="preserve">17.</w:t>
      </w:r>
      <w:r>
        <w:t xml:space="preserve"> </w:t>
      </w:r>
      <w:r>
        <w:t xml:space="preserve">	</w:t>
      </w:r>
      <w:r>
        <w:t xml:space="preserve">Larsen B, Sánchez-Triana E.</w:t>
      </w:r>
      <w:r>
        <w:t xml:space="preserve"> </w:t>
      </w:r>
      <w:hyperlink r:id="rId8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0"/>
    <w:bookmarkStart w:id="9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9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2"/>
    <w:bookmarkStart w:id="94" w:name="ref-schwartz1994LowLevelLeadExposure"/>
    <w:p>
      <w:pPr>
        <w:pStyle w:val="Bibliography"/>
      </w:pPr>
      <w:r>
        <w:t xml:space="preserve">19.</w:t>
      </w:r>
      <w:r>
        <w:t xml:space="preserve"> </w:t>
      </w:r>
      <w:r>
        <w:t xml:space="preserve">	</w:t>
      </w:r>
      <w:r>
        <w:t xml:space="preserve">Schwartz J.</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4"/>
    <w:bookmarkStart w:id="9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9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6"/>
    <w:bookmarkStart w:id="9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97">
        <w:r>
          <w:rPr>
            <w:rStyle w:val="Hyperlink"/>
          </w:rPr>
          <w:t xml:space="preserve">Global burden of intellectual disability resulting from dietary exposure to lead, 2015</w:t>
        </w:r>
      </w:hyperlink>
      <w:r>
        <w:t xml:space="preserve">. Environmental Research. 2019;172:420–9.</w:t>
      </w:r>
      <w:r>
        <w:t xml:space="preserve"> </w:t>
      </w:r>
    </w:p>
    <w:bookmarkEnd w:id="98"/>
    <w:bookmarkStart w:id="10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9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0"/>
    <w:bookmarkStart w:id="102" w:name="ref-mcfarland2022HalfUSPopulation"/>
    <w:p>
      <w:pPr>
        <w:pStyle w:val="Bibliography"/>
      </w:pPr>
      <w:r>
        <w:t xml:space="preserve">23.</w:t>
      </w:r>
      <w:r>
        <w:t xml:space="preserve"> </w:t>
      </w:r>
      <w:r>
        <w:t xml:space="preserve">	</w:t>
      </w:r>
      <w:r>
        <w:t xml:space="preserve">McFarland MJ, Hauer ME, Reuben A.</w:t>
      </w:r>
      <w:r>
        <w:t xml:space="preserve"> </w:t>
      </w:r>
      <w:hyperlink r:id="rId10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2"/>
    <w:bookmarkStart w:id="10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0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4"/>
    <w:bookmarkStart w:id="10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0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6"/>
    <w:bookmarkStart w:id="108" w:name="X99fa6bd9cd2521340285769f289a6c9d4bfe17b"/>
    <w:p>
      <w:pPr>
        <w:pStyle w:val="Bibliography"/>
      </w:pPr>
      <w:r>
        <w:t xml:space="preserve">26.</w:t>
      </w:r>
      <w:r>
        <w:t xml:space="preserve"> </w:t>
      </w:r>
      <w:r>
        <w:t xml:space="preserve">	</w:t>
      </w:r>
      <w:r>
        <w:t xml:space="preserve">Thompson B.</w:t>
      </w:r>
      <w:r>
        <w:t xml:space="preserve"> </w:t>
      </w:r>
      <w:hyperlink r:id="rId107">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08"/>
    <w:bookmarkStart w:id="110" w:name="Xec30ec7c912152a14c0f622040312567154bf15"/>
    <w:p>
      <w:pPr>
        <w:pStyle w:val="Bibliography"/>
      </w:pPr>
      <w:r>
        <w:t xml:space="preserve">27.</w:t>
      </w:r>
      <w:r>
        <w:t xml:space="preserve"> </w:t>
      </w:r>
      <w:r>
        <w:t xml:space="preserve">	</w:t>
      </w:r>
      <w:r>
        <w:t xml:space="preserve">Harrell FE.</w:t>
      </w:r>
      <w:r>
        <w:t xml:space="preserve"> </w:t>
      </w:r>
      <w:hyperlink r:id="rId109">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10"/>
    <w:bookmarkStart w:id="112" w:name="ref-smith2018StepAwayStepwise"/>
    <w:p>
      <w:pPr>
        <w:pStyle w:val="Bibliography"/>
      </w:pPr>
      <w:r>
        <w:t xml:space="preserve">28.</w:t>
      </w:r>
      <w:r>
        <w:t xml:space="preserve"> </w:t>
      </w:r>
      <w:r>
        <w:t xml:space="preserve">	</w:t>
      </w:r>
      <w:r>
        <w:t xml:space="preserve">Smith G.</w:t>
      </w:r>
      <w:r>
        <w:t xml:space="preserve"> </w:t>
      </w:r>
      <w:hyperlink r:id="rId111">
        <w:r>
          <w:rPr>
            <w:rStyle w:val="Hyperlink"/>
          </w:rPr>
          <w:t xml:space="preserve">Step away from stepwise</w:t>
        </w:r>
      </w:hyperlink>
      <w:r>
        <w:t xml:space="preserve">. J Big Data. 2018 Dec;5(1):32.</w:t>
      </w:r>
      <w:r>
        <w:t xml:space="preserve"> </w:t>
      </w:r>
    </w:p>
    <w:bookmarkEnd w:id="112"/>
    <w:bookmarkStart w:id="114" w:name="X035620408d1fb22c7ed381e74f0468c30df4612"/>
    <w:p>
      <w:pPr>
        <w:pStyle w:val="Bibliography"/>
      </w:pPr>
      <w:r>
        <w:t xml:space="preserve">29.</w:t>
      </w:r>
      <w:r>
        <w:t xml:space="preserve"> </w:t>
      </w:r>
      <w:r>
        <w:t xml:space="preserve">	</w:t>
      </w:r>
      <w:r>
        <w:t xml:space="preserve">Grant R, Di Tanna GL.</w:t>
      </w:r>
      <w:r>
        <w:t xml:space="preserve"> </w:t>
      </w:r>
      <w:hyperlink r:id="rId113">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4"/>
    <w:bookmarkStart w:id="116"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15">
        <w:r>
          <w:rPr>
            <w:rStyle w:val="Hyperlink"/>
          </w:rPr>
          <w:t xml:space="preserve">Robust misinterpretation of confidence intervals</w:t>
        </w:r>
      </w:hyperlink>
      <w:r>
        <w:t xml:space="preserve">. Psychon Bull Rev. 2014 Oct;21(5):1157–64.</w:t>
      </w:r>
      <w:r>
        <w:t xml:space="preserve"> </w:t>
      </w:r>
    </w:p>
    <w:bookmarkEnd w:id="116"/>
    <w:bookmarkStart w:id="118"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17">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8"/>
    <w:bookmarkStart w:id="120" w:name="X5cae6442bbe0e1f5d8df6cd5008aab2dbfb65a6"/>
    <w:p>
      <w:pPr>
        <w:pStyle w:val="Bibliography"/>
      </w:pPr>
      <w:r>
        <w:t xml:space="preserve">32.</w:t>
      </w:r>
      <w:r>
        <w:t xml:space="preserve"> </w:t>
      </w:r>
      <w:r>
        <w:t xml:space="preserve">	</w:t>
      </w:r>
      <w:r>
        <w:t xml:space="preserve">Kruschke JK.</w:t>
      </w:r>
      <w:r>
        <w:t xml:space="preserve"> </w:t>
      </w:r>
      <w:hyperlink r:id="rId119">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0"/>
    <w:bookmarkStart w:id="121" w:name="Xf5486a80753c915bf34b5d8f3ad5e46aac479a7"/>
    <w:p>
      <w:pPr>
        <w:pStyle w:val="Bibliography"/>
      </w:pPr>
      <w:r>
        <w:t xml:space="preserve">33.</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1"/>
    <w:bookmarkStart w:id="123" w:name="ref-plate2024DevelopmentToolRapid"/>
    <w:p>
      <w:pPr>
        <w:pStyle w:val="Bibliography"/>
      </w:pPr>
      <w:r>
        <w:t xml:space="preserve">34.</w:t>
      </w:r>
      <w:r>
        <w:t xml:space="preserve"> </w:t>
      </w:r>
      <w:r>
        <w:t xml:space="preserve">	</w:t>
      </w:r>
      <w:r>
        <w:t xml:space="preserve">Plate K, Knüppel S, Hornbacher A, Greiner M, Müller-Graf C.</w:t>
      </w:r>
      <w:r>
        <w:t xml:space="preserve"> </w:t>
      </w:r>
      <w:hyperlink r:id="rId122">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3"/>
    <w:bookmarkStart w:id="125" w:name="ref-halabicky2023LowLevelLead"/>
    <w:p>
      <w:pPr>
        <w:pStyle w:val="Bibliography"/>
      </w:pPr>
      <w:r>
        <w:t xml:space="preserve">35.</w:t>
      </w:r>
      <w:r>
        <w:t xml:space="preserve"> </w:t>
      </w:r>
      <w:r>
        <w:t xml:space="preserve">	</w:t>
      </w:r>
      <w:r>
        <w:t xml:space="preserve">Halabicky OM, Pinto-Martin JA, Compton P, Liu J.</w:t>
      </w:r>
      <w:r>
        <w:t xml:space="preserve"> </w:t>
      </w:r>
      <w:hyperlink r:id="rId124">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5"/>
    <w:bookmarkStart w:id="127" w:name="ref-chen2005IQBloodLead"/>
    <w:p>
      <w:pPr>
        <w:pStyle w:val="Bibliography"/>
      </w:pPr>
      <w:r>
        <w:t xml:space="preserve">36.</w:t>
      </w:r>
      <w:r>
        <w:t xml:space="preserve"> </w:t>
      </w:r>
      <w:r>
        <w:t xml:space="preserve">	</w:t>
      </w:r>
      <w:r>
        <w:t xml:space="preserve">Chen A, Dietrich KN, Ware JH, Radcliffe J, Rogan WJ.</w:t>
      </w:r>
      <w:r>
        <w:t xml:space="preserve"> </w:t>
      </w:r>
      <w:hyperlink r:id="rId126">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7"/>
    <w:bookmarkStart w:id="129" w:name="Xcf7993c3f58afaabaf73be6238c67f4f63053d9"/>
    <w:p>
      <w:pPr>
        <w:pStyle w:val="Bibliography"/>
      </w:pPr>
      <w:r>
        <w:t xml:space="preserve">37.</w:t>
      </w:r>
      <w:r>
        <w:t xml:space="preserve"> </w:t>
      </w:r>
      <w:r>
        <w:t xml:space="preserve">	</w:t>
      </w:r>
      <w:r>
        <w:t xml:space="preserve">Schnaas L, Rothenberg Stephen J, Flores MF, Martinez S, Hernandez C, Osorio E, et al.</w:t>
      </w:r>
      <w:r>
        <w:t xml:space="preserve"> </w:t>
      </w:r>
      <w:hyperlink r:id="rId128">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9"/>
    <w:bookmarkStart w:id="130"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0"/>
    <w:bookmarkStart w:id="132" w:name="ref-burkner2017BrmsPackageBayesian"/>
    <w:p>
      <w:pPr>
        <w:pStyle w:val="Bibliography"/>
      </w:pPr>
      <w:r>
        <w:t xml:space="preserve">39.</w:t>
      </w:r>
      <w:r>
        <w:t xml:space="preserve"> </w:t>
      </w:r>
      <w:r>
        <w:t xml:space="preserve">	</w:t>
      </w:r>
      <w:r>
        <w:t xml:space="preserve">Bürkner PC.</w:t>
      </w:r>
      <w:r>
        <w:t xml:space="preserve"> </w:t>
      </w:r>
      <w:hyperlink r:id="rId131">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2"/>
    <w:bookmarkStart w:id="134" w:name="X7a078cdffdd6e8b0aafa2bdbd48e4ff223eee2f"/>
    <w:p>
      <w:pPr>
        <w:pStyle w:val="Bibliography"/>
      </w:pPr>
      <w:r>
        <w:t xml:space="preserve">40.</w:t>
      </w:r>
      <w:r>
        <w:t xml:space="preserve"> </w:t>
      </w:r>
      <w:r>
        <w:t xml:space="preserve">	</w:t>
      </w:r>
      <w:r>
        <w:t xml:space="preserve">Betancourt M.</w:t>
      </w:r>
      <w:r>
        <w:t xml:space="preserve"> </w:t>
      </w:r>
      <w:hyperlink r:id="rId133">
        <w:r>
          <w:rPr>
            <w:rStyle w:val="Hyperlink"/>
          </w:rPr>
          <w:t xml:space="preserve">A</w:t>
        </w:r>
        <w:r>
          <w:rPr>
            <w:rStyle w:val="Hyperlink"/>
          </w:rPr>
          <w:t xml:space="preserve"> </w:t>
        </w:r>
        <w:r>
          <w:rPr>
            <w:rStyle w:val="Hyperlink"/>
          </w:rPr>
          <w:t xml:space="preserve">Conceptual Introduction</w:t>
        </w:r>
        <w:r>
          <w:rPr>
            <w:rStyle w:val="Hyperlink"/>
          </w:rPr>
          <w:t xml:space="preserve"> </w:t>
        </w:r>
        <w:r>
          <w:rPr>
            <w:rStyle w:val="Hyperlink"/>
          </w:rPr>
          <w:t xml:space="preserve">to</w:t>
        </w:r>
        <w:r>
          <w:rPr>
            <w:rStyle w:val="Hyperlink"/>
          </w:rPr>
          <w:t xml:space="preserve"> </w:t>
        </w:r>
        <w:r>
          <w:rPr>
            <w:rStyle w:val="Hyperlink"/>
          </w:rPr>
          <w:t xml:space="preserve">Hamiltonian Monte Carlo</w:t>
        </w:r>
      </w:hyperlink>
      <w:r>
        <w:t xml:space="preserve">. arXiv; 2017.</w:t>
      </w:r>
      <w:r>
        <w:t xml:space="preserve"> </w:t>
      </w:r>
    </w:p>
    <w:bookmarkEnd w:id="134"/>
    <w:bookmarkStart w:id="136" w:name="ref-hoffman2011NoUTurnSamplerAdaptively"/>
    <w:p>
      <w:pPr>
        <w:pStyle w:val="Bibliography"/>
      </w:pPr>
      <w:r>
        <w:t xml:space="preserve">41.</w:t>
      </w:r>
      <w:r>
        <w:t xml:space="preserve"> </w:t>
      </w:r>
      <w:r>
        <w:t xml:space="preserve">	</w:t>
      </w:r>
      <w:r>
        <w:t xml:space="preserve">Hoffman MD, Gelman A.</w:t>
      </w:r>
      <w:r>
        <w:t xml:space="preserve"> </w:t>
      </w:r>
      <w:hyperlink r:id="rId135">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6"/>
    <w:bookmarkStart w:id="137" w:name="X21bf392f662dc1b38e9a7fa4b314fc7a471696b"/>
    <w:p>
      <w:pPr>
        <w:pStyle w:val="Bibliography"/>
      </w:pPr>
      <w:r>
        <w:t xml:space="preserve">42.</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7"/>
    <w:bookmarkStart w:id="139" w:name="X111bb06244f8f2a1a6d0d2f1f41c24b71f248e6"/>
    <w:p>
      <w:pPr>
        <w:pStyle w:val="Bibliography"/>
      </w:pPr>
      <w:r>
        <w:t xml:space="preserve">43.</w:t>
      </w:r>
      <w:r>
        <w:t xml:space="preserve"> </w:t>
      </w:r>
      <w:r>
        <w:t xml:space="preserve">	</w:t>
      </w:r>
      <w:r>
        <w:t xml:space="preserve">Wolfgang Viechtbauer.</w:t>
      </w:r>
      <w:r>
        <w:t xml:space="preserve"> </w:t>
      </w:r>
      <w:hyperlink r:id="rId138">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9"/>
    <w:bookmarkStart w:id="141" w:name="Xb0421be95a139ca5af39ce6040517bf1be79427"/>
    <w:p>
      <w:pPr>
        <w:pStyle w:val="Bibliography"/>
      </w:pPr>
      <w:r>
        <w:t xml:space="preserve">44.</w:t>
      </w:r>
      <w:r>
        <w:t xml:space="preserve"> </w:t>
      </w:r>
      <w:r>
        <w:t xml:space="preserve">	</w:t>
      </w:r>
      <w:r>
        <w:t xml:space="preserve">Lucchini RG, Zoni S, Guazzetti S, Bontempi E, Micheletti S, Broberg K, et al.</w:t>
      </w:r>
      <w:r>
        <w:t xml:space="preserve"> </w:t>
      </w:r>
      <w:hyperlink r:id="rId140">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41"/>
    <w:bookmarkStart w:id="143" w:name="X716dc31ca13dac7355fea3a0f7dea95779ecabb"/>
    <w:p>
      <w:pPr>
        <w:pStyle w:val="Bibliography"/>
      </w:pPr>
      <w:r>
        <w:t xml:space="preserve">45.</w:t>
      </w:r>
      <w:r>
        <w:t xml:space="preserve"> </w:t>
      </w:r>
      <w:r>
        <w:t xml:space="preserve">	</w:t>
      </w:r>
      <w:r>
        <w:t xml:space="preserve">Lucchini RG, Guazzetti S, Renzetti S, Conversano M, Cagna G, Fedrighi C, et al.</w:t>
      </w:r>
      <w:r>
        <w:t xml:space="preserve"> </w:t>
      </w:r>
      <w:hyperlink r:id="rId142">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43"/>
    <w:bookmarkStart w:id="145" w:name="ref-earl2016LowlevelEnvironmentalLead"/>
    <w:p>
      <w:pPr>
        <w:pStyle w:val="Bibliography"/>
      </w:pPr>
      <w:r>
        <w:t xml:space="preserve">46.</w:t>
      </w:r>
      <w:r>
        <w:t xml:space="preserve"> </w:t>
      </w:r>
      <w:r>
        <w:t xml:space="preserve">	</w:t>
      </w:r>
      <w:r>
        <w:t xml:space="preserve">Earl R, Burns N, Nettelbeck T, Baghurst P.</w:t>
      </w:r>
      <w:r>
        <w:t xml:space="preserve"> </w:t>
      </w:r>
      <w:hyperlink r:id="rId144">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45"/>
    <w:bookmarkEnd w:id="146"/>
    <w:bookmarkEnd w:id="147"/>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0"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4"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42"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0"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4"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42"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2026-02-20T09:32:59Z</dcterms:created>
  <dcterms:modified xsi:type="dcterms:W3CDTF">2026-02-20T09:32:59Z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20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