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ISEE 2026</w:t>
      </w:r>
    </w:p>
    <w:p>
      <w:pPr>
        <w:pStyle w:val="Author"/>
      </w:pPr>
      <w:r>
        <w:t xml:space="preserve">Paulina Sell</w:t>
      </w:r>
    </w:p>
    <w:p>
      <w:pPr>
        <w:pStyle w:val="Author"/>
      </w:pPr>
      <w:r>
        <w:t xml:space="preserve">Margaux Sanchez</w:t>
      </w:r>
    </w:p>
    <w:p>
      <w:pPr>
        <w:pStyle w:val="Author"/>
      </w:pPr>
      <w:r>
        <w:t xml:space="preserve">Philippe Palmont</w:t>
      </w:r>
    </w:p>
    <w:p>
      <w:pPr>
        <w:pStyle w:val="Author"/>
      </w:pPr>
      <w:r>
        <w:t xml:space="preserve">Dietrich Plass</w:t>
      </w:r>
    </w:p>
    <w:bookmarkStart w:id="20" w:name="information-for-authors"/>
    <w:p>
      <w:pPr>
        <w:pStyle w:val="Heading2"/>
      </w:pPr>
      <w:r>
        <w:t xml:space="preserve">Information for Authors:</w:t>
      </w:r>
    </w:p>
    <w:p>
      <w:pPr>
        <w:numPr>
          <w:ilvl w:val="0"/>
          <w:numId w:val="1001"/>
        </w:numPr>
      </w:pPr>
      <w:r>
        <w:t xml:space="preserve">Deadline: February 27, 2026 (23:59 CET)</w:t>
      </w:r>
    </w:p>
    <w:p>
      <w:pPr>
        <w:numPr>
          <w:ilvl w:val="0"/>
          <w:numId w:val="1001"/>
        </w:numPr>
      </w:pPr>
      <w:r>
        <w:t xml:space="preserve">The submitting author is required to ensure that all co-authors are aware of the content of the abstract before submission</w:t>
      </w:r>
    </w:p>
    <w:p>
      <w:pPr>
        <w:numPr>
          <w:ilvl w:val="0"/>
          <w:numId w:val="1001"/>
        </w:numPr>
      </w:pPr>
      <w:r>
        <w:t xml:space="preserve">Use acronyms only when necessary and define all non-standard abbreviations and concepts in your abstract at first use</w:t>
      </w:r>
    </w:p>
    <w:p>
      <w:pPr>
        <w:numPr>
          <w:ilvl w:val="0"/>
          <w:numId w:val="1001"/>
        </w:numPr>
      </w:pPr>
      <w:r>
        <w:t xml:space="preserve">Abstract titles can contain a maximum of</w:t>
      </w:r>
      <w:r>
        <w:t xml:space="preserve"> </w:t>
      </w:r>
      <w:r>
        <w:rPr>
          <w:b/>
          <w:bCs/>
        </w:rPr>
        <w:t xml:space="preserve">20 words</w:t>
      </w:r>
      <w:r>
        <w:t xml:space="preserve"> </w:t>
      </w:r>
      <w:r>
        <w:t xml:space="preserve">(no abbreviations)</w:t>
      </w:r>
    </w:p>
    <w:p>
      <w:pPr>
        <w:numPr>
          <w:ilvl w:val="0"/>
          <w:numId w:val="1001"/>
        </w:numPr>
      </w:pPr>
      <w:r>
        <w:t xml:space="preserve">The abstract body should not exceed</w:t>
      </w:r>
      <w:r>
        <w:t xml:space="preserve"> </w:t>
      </w:r>
      <w:r>
        <w:rPr>
          <w:b/>
          <w:bCs/>
        </w:rPr>
        <w:t xml:space="preserve">300 words</w:t>
      </w:r>
      <w:r>
        <w:t xml:space="preserve"> </w:t>
      </w:r>
      <w:r>
        <w:t xml:space="preserve">and should consist of the four sections: Objective, Material and Methods, Results, Conclusion.</w:t>
      </w:r>
    </w:p>
    <w:p>
      <w:pPr>
        <w:numPr>
          <w:ilvl w:val="0"/>
          <w:numId w:val="1001"/>
        </w:numPr>
      </w:pPr>
      <w:r>
        <w:t xml:space="preserve">Phrases such as</w:t>
      </w:r>
      <w:r>
        <w:t xml:space="preserve"> </w:t>
      </w:r>
      <w:r>
        <w:t xml:space="preserve">“results will be discussed”</w:t>
      </w:r>
      <w:r>
        <w:t xml:space="preserve"> </w:t>
      </w:r>
      <w:r>
        <w:t xml:space="preserve">or</w:t>
      </w:r>
      <w:r>
        <w:t xml:space="preserve"> </w:t>
      </w:r>
      <w:r>
        <w:t xml:space="preserve">“data will be presented”</w:t>
      </w:r>
      <w:r>
        <w:t xml:space="preserve"> </w:t>
      </w:r>
      <w:r>
        <w:t xml:space="preserve">should not be used.</w:t>
      </w:r>
    </w:p>
    <w:p>
      <w:pPr>
        <w:numPr>
          <w:ilvl w:val="0"/>
          <w:numId w:val="1001"/>
        </w:numPr>
      </w:pPr>
      <w:r>
        <w:t xml:space="preserve">Please mention all sources of funding for the work described and other acknowledgements briefly at the end of the abstract text.</w:t>
      </w:r>
    </w:p>
    <w:p>
      <w:pPr>
        <w:numPr>
          <w:ilvl w:val="0"/>
          <w:numId w:val="1001"/>
        </w:numPr>
      </w:pPr>
      <w:r>
        <w:t xml:space="preserve">A main topic that is relevant for your abstract must be selected during the submission process.</w:t>
      </w:r>
      <w:r>
        <w:t xml:space="preserve"> </w:t>
      </w:r>
      <w:r>
        <w:t xml:space="preserve">The Scientific Organizing Committee reserves the right to change the topics during the abstract review process.</w:t>
      </w:r>
    </w:p>
    <w:p>
      <w:pPr>
        <w:numPr>
          <w:ilvl w:val="0"/>
          <w:numId w:val="1001"/>
        </w:numPr>
      </w:pPr>
      <w:r>
        <w:t xml:space="preserve">Please enter at least 2 to 5 keywords from the official keyword list</w:t>
      </w:r>
    </w:p>
    <w:p>
      <w:pPr>
        <w:numPr>
          <w:ilvl w:val="0"/>
          <w:numId w:val="1001"/>
        </w:numPr>
      </w:pPr>
      <w:r>
        <w:t xml:space="preserve">Topic: A-10: Chemical exposures / A-18: Methods ?</w:t>
      </w:r>
    </w:p>
    <w:p>
      <w:pPr>
        <w:numPr>
          <w:ilvl w:val="0"/>
          <w:numId w:val="1001"/>
        </w:numPr>
      </w:pPr>
      <w:r>
        <w:t xml:space="preserve">Keywords: Chemical exposures, Environmental epidemiology, Heavy metals, Lead, International collaboration, Modeling</w:t>
      </w:r>
    </w:p>
    <w:bookmarkEnd w:id="20"/>
    <w:bookmarkStart w:id="26" w:name="abstract"/>
    <w:p>
      <w:pPr>
        <w:pStyle w:val="Heading2"/>
      </w:pPr>
      <w:r>
        <w:t xml:space="preserve">Abstract</w:t>
      </w:r>
    </w:p>
    <w:bookmarkStart w:id="21" w:name="X2176ffeca05b83879dc5a063374505014243af9"/>
    <w:p>
      <w:pPr>
        <w:pStyle w:val="Heading3"/>
      </w:pPr>
      <w:r>
        <w:t xml:space="preserve">Understanding uncertainty: Comparative Bayesian and frequentist meta-analysis of epidemiological studies on lead exposure and IQ loss in children</w:t>
      </w:r>
    </w:p>
    <w:bookmarkEnd w:id="21"/>
    <w:bookmarkStart w:id="22" w:name="objective"/>
    <w:p>
      <w:pPr>
        <w:pStyle w:val="Heading3"/>
      </w:pPr>
      <w:r>
        <w:t xml:space="preserve">Objective</w:t>
      </w:r>
    </w:p>
    <w:p>
      <w:pPr>
        <w:pStyle w:val="FirstParagraph"/>
      </w:pPr>
      <w:r>
        <w:t xml:space="preserve">Evidence synthesis in epidemiology is often done by meta-analysis, primarily using a frequentist approach.</w:t>
      </w:r>
      <w:r>
        <w:t xml:space="preserve"> </w:t>
      </w:r>
      <w:r>
        <w:t xml:space="preserve">Bayesian meta-analysis offers an alternative framework for uncertainty quantification, incorporating within-study and between-study variability and facilitating transparent communication of uncertainty.</w:t>
      </w:r>
      <w:r>
        <w:t xml:space="preserve"> </w:t>
      </w:r>
      <w:r>
        <w:t xml:space="preserve">We compared frequentist and Bayesian frameworks to investigate how they differ in exposure-response estimates, uncertainty characterization, and applicability for risk assessment.</w:t>
      </w:r>
      <w:r>
        <w:t xml:space="preserve"> </w:t>
      </w:r>
      <w:r>
        <w:t xml:space="preserve">We used the association of blood lead levels and children’s neurodevelopment as a use-case.</w:t>
      </w:r>
    </w:p>
    <w:bookmarkEnd w:id="22"/>
    <w:bookmarkStart w:id="23" w:name="material-and-methods"/>
    <w:p>
      <w:pPr>
        <w:pStyle w:val="Heading3"/>
      </w:pPr>
      <w:r>
        <w:t xml:space="preserve">Material and Methods</w:t>
      </w:r>
    </w:p>
    <w:p>
      <w:pPr>
        <w:pStyle w:val="FirstParagraph"/>
      </w:pPr>
      <w:r>
        <w:t xml:space="preserve">We systematically searched PubMed and Scopus for epidemiological studies on blood lead levels and IQ score in children.</w:t>
      </w:r>
      <w:r>
        <w:t xml:space="preserve"> </w:t>
      </w:r>
      <w:r>
        <w:t xml:space="preserve">Risk of bias (RoB) was assessed using a rapid RoB tool</w:t>
      </w:r>
      <w:r>
        <w:t xml:space="preserve"> </w:t>
      </w:r>
      <w:r>
        <w:t xml:space="preserve">(1)</w:t>
      </w:r>
      <w:r>
        <w:t xml:space="preserve"> </w:t>
      </w:r>
      <w:r>
        <w:t xml:space="preserve">and regression coefficients were harmonized to the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​ scale.</w:t>
      </w:r>
      <w:r>
        <w:t xml:space="preserve"> </w:t>
      </w:r>
      <w:r>
        <w:t xml:space="preserve">We assumed a multilevel structure and used random-effects models.</w:t>
      </w:r>
      <w:r>
        <w:t xml:space="preserve"> </w:t>
      </w:r>
      <w:r>
        <w:t xml:space="preserve">We included the same effect estimates for both approaches.</w:t>
      </w:r>
      <w:r>
        <w:t xml:space="preserve"> </w:t>
      </w:r>
      <w:r>
        <w:t xml:space="preserve">The frequentist approach used restricted maximum-likelihood estimation.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Posterior distributions of parameters were obtained using Markov Chain Monte Carlo.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was calculated as a measure of between-study heterogeneity in the frequentist approach and directly modelled in the Bayesian approach.</w:t>
      </w:r>
    </w:p>
    <w:bookmarkEnd w:id="23"/>
    <w:bookmarkStart w:id="24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Twelve studies were included after screening.</w:t>
      </w:r>
      <w:r>
        <w:t xml:space="preserve"> </w:t>
      </w:r>
      <w:r>
        <w:t xml:space="preserve">The frequentist approach yielded a pooled estimate of -2.35 (95% confidence interval (CI): -3.65; -1.05)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(in µg/dL).</w:t>
      </w:r>
      <w:r>
        <w:t xml:space="preserve"> </w:t>
      </w:r>
      <w:r>
        <w:t xml:space="preserve">The Bayesian model yielded a mean pooled estimate of -2.15 (95% high density interval (HDI): -3.48; -0.92).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3.79,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4.32 [95% credible interval (CrI): 1.28; 10.6],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71.2% [95% CrI: 52.7%; 86.2%]).</w:t>
      </w:r>
      <w:r>
        <w:t xml:space="preserve"> </w:t>
      </w:r>
      <w:r>
        <w:t xml:space="preserve">The Bayesian approach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assessment and prior choice.</w:t>
      </w:r>
      <w:r>
        <w:t xml:space="preserve"> </w:t>
      </w:r>
      <w:r>
        <w:t xml:space="preserve">The Bayesian approach was less sensitive to outlier studies that reported wide confidence intervals, resulting in a lower pooled effect compared to the frequentist analysis.</w:t>
      </w:r>
    </w:p>
    <w:bookmarkEnd w:id="24"/>
    <w:bookmarkStart w:id="25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In this study, we provide updated pooled estimates for lead’s effect on children’s neurodevelopment.</w:t>
      </w:r>
      <w:r>
        <w:br/>
      </w:r>
      <w:r>
        <w:t xml:space="preserve">The Bayesian approach offered distinct advantages for uncertainty quantification as the posterior distributions enable direct probability statements.</w:t>
      </w:r>
      <w:r>
        <w:t xml:space="preserve"> </w:t>
      </w:r>
      <w:r>
        <w:t xml:space="preserve">This is especially useful for risk assessments and policy making, as it allows defining relevant risk thresholds and calculating the probability of exceeding them, enabling comparative risk evaluation across pollutants.</w:t>
      </w:r>
    </w:p>
    <w:p>
      <w:pPr>
        <w:pStyle w:val="BodyText"/>
      </w:pPr>
      <w:r>
        <w:t xml:space="preserve">Funding</w:t>
      </w:r>
    </w:p>
    <w:bookmarkEnd w:id="25"/>
    <w:bookmarkEnd w:id="26"/>
    <w:bookmarkStart w:id="30" w:name="bibliography"/>
    <w:p>
      <w:pPr>
        <w:pStyle w:val="Heading1"/>
      </w:pPr>
      <w:r>
        <w:t xml:space="preserve">References</w:t>
      </w:r>
    </w:p>
    <w:bookmarkStart w:id="29" w:name="refs"/>
    <w:bookmarkStart w:id="28" w:name="ref-plate2024DevelopmentToolRapid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Plate K, Knüppel S, Hornbacher A, Greiner M, Müller-Graf C.</w:t>
      </w:r>
      <w:r>
        <w:t xml:space="preserve"> </w:t>
      </w:r>
      <w:hyperlink r:id="rId27">
        <w:r>
          <w:rPr>
            <w:rStyle w:val="Hyperlink"/>
          </w:rPr>
          <w:t xml:space="preserve">Development of a tool for rapid assessment of the evidence of human observational epidemiological studies with focus on risk of bias in the context of public health and risk assessment</w:t>
        </w:r>
      </w:hyperlink>
      <w:r>
        <w:t xml:space="preserve">. EFS3. 2024 Jul;21(7).</w:t>
      </w:r>
      <w:r>
        <w:t xml:space="preserve"> 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2903/sp.efsa.2024.EN-89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2903/sp.efsa.2024.EN-89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ISEE 2026</dc:title>
  <dc:creator>Paulina Sell; Margaux Sanchez; Philippe Palmont; Dietrich Plass</dc:creator>
  <cp:keywords/>
  <dcterms:created xsi:type="dcterms:W3CDTF">2026-02-13T15:02:49Z</dcterms:created>
  <dcterms:modified xsi:type="dcterms:W3CDTF">2026-02-13T15:02:49Z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/Users/paulinasell/Documents/UBA/PARC/Metaanalysis_lead_IQloss/RProj/manuscript/references.bib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/Users/paulinasell/Documents/UBA/PARC/Metaanalysis_lead_IQloss/RProj/manuscript/vancouver.csl</vt:lpwstr>
  </property>
  <property fmtid="{D5CDD505-2E9C-101B-9397-08002B2CF9AE}" pid="9" name="date-format">
    <vt:lpwstr>D MMMM YYYY</vt:lpwstr>
  </property>
  <property fmtid="{D5CDD505-2E9C-101B-9397-08002B2CF9AE}" pid="10" name="date-modified">
    <vt:lpwstr>13 February 2026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reference-section-title">
    <vt:lpwstr>References</vt:lpwstr>
  </property>
  <property fmtid="{D5CDD505-2E9C-101B-9397-08002B2CF9AE}" pid="17" name="toc-title">
    <vt:lpwstr>Table of contents</vt:lpwstr>
  </property>
</Properties>
</file>