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German Environment Agency, Environmental Hygiene,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French National Agency for Food, Environmental and Occupational Health &amp; Safety, Maisons-Alfort, France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main topic</w:t>
      </w:r>
      <w:r>
        <w:t xml:space="preserve"> </w:t>
      </w:r>
      <w:r>
        <w:t xml:space="preserve">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</w:t>
      </w:r>
      <w:r>
        <w:t xml:space="preserve"> </w:t>
      </w:r>
      <w:r>
        <w:rPr>
          <w:b/>
          <w:bCs/>
        </w:rPr>
        <w:t xml:space="preserve">2 to 5 keywords</w:t>
      </w:r>
      <w:r>
        <w:t xml:space="preserve"> </w:t>
      </w:r>
      <w:r>
        <w:t xml:space="preserve">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(?)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 (?)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Quantifying uncertainty is crucial for risk assessment and policy-making but current meta-analytic approaches fall short in this regard.</w:t>
      </w:r>
      <w:r>
        <w:t xml:space="preserve"> </w:t>
      </w:r>
      <w:r>
        <w:t xml:space="preserve">Bayesian meta-analysis provides probabilistic uncertainty quantification.</w:t>
      </w:r>
      <w:r>
        <w:t xml:space="preserve"> </w:t>
      </w:r>
      <w:r>
        <w:t xml:space="preserve">To evaluate differences in uncertainty quantification and applicability for risk assessment, we compared frequentist and Bayesian frameworks, using lead exposure and children’s intelligence quotient (IQ) as a case study.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level (BLL)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the same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were estimated as measures of between-study heterogeneity.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-2.45 (95% confidence interval (CI): -3.7; -1.2)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-2.28 (95% credible interval (CrI): -3.56; -1.06).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3.3,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3.8,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83.3%).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We provide updated pooled estimates for the effect of lead exposure on children’s IQ.</w:t>
      </w:r>
      <w:r>
        <w:t xml:space="preserve"> </w:t>
      </w:r>
      <w:r>
        <w:t xml:space="preserve">The Bayesian approach provides posterior distributions, enabling direct probability statements, for example about exceeding risk thresholds, and comparative assessments across pollutants.</w:t>
      </w:r>
      <w:r>
        <w:t xml:space="preserve"> </w:t>
      </w:r>
      <w:r>
        <w:t xml:space="preserve">These features are of particular value regarding risk assessment and policy-making.</w:t>
      </w:r>
    </w:p>
    <w:p>
      <w:pPr>
        <w:pStyle w:val="BodyText"/>
      </w:pPr>
      <w:r>
        <w:t xml:space="preserve">Funded under EU Horizon (Grant Agreement No 101057014).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Sell1, Margaux Sanchez2, Philippe Palmont2, and Dietrich Plass1</dc:creator>
  <cp:keywords/>
  <dcterms:created xsi:type="dcterms:W3CDTF">2026-03-02T10:33:12Z</dcterms:created>
  <dcterms:modified xsi:type="dcterms:W3CDTF">2026-03-02T10:33:12Z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2 March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