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0.png" ContentType="image/png"/>
  <Override PartName="/word/media/rId5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methodological comparison of Bayesian and frequentist meta-analyses of epidemiological studies on lead exposure and children’s intelligence quotient</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5"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hyperlink r:id="rId22">
        <w:r>
          <w:rPr>
            <w:rStyle w:val="Hyperlink"/>
          </w:rPr>
          <w:t xml:space="preserve">PRISMA 2020 checklist</w:t>
        </w:r>
      </w:hyperlink>
      <w:r>
        <w:t xml:space="preserve"> </w:t>
      </w:r>
      <w:r>
        <w:t xml:space="preserve">for structure</w:t>
      </w:r>
    </w:p>
    <w:p>
      <w:pPr>
        <w:pStyle w:val="Compact"/>
        <w:numPr>
          <w:ilvl w:val="0"/>
          <w:numId w:val="1001"/>
        </w:numPr>
      </w:pPr>
      <w:hyperlink r:id="rId23">
        <w:r>
          <w:rPr>
            <w:rStyle w:val="Hyperlink"/>
          </w:rPr>
          <w:t xml:space="preserve">Bayesian Analysis Reporting Guidelines, BARG</w:t>
        </w:r>
      </w:hyperlink>
    </w:p>
    <w:p>
      <w:pPr>
        <w:pStyle w:val="Compact"/>
        <w:numPr>
          <w:ilvl w:val="0"/>
          <w:numId w:val="1001"/>
        </w:numPr>
      </w:pPr>
      <w:hyperlink r:id="rId24">
        <w:r>
          <w:rPr>
            <w:rStyle w:val="Hyperlink"/>
          </w:rPr>
          <w:t xml:space="preserve">raRoB tool</w:t>
        </w:r>
      </w:hyperlink>
      <w:r>
        <w:t xml:space="preserve"> </w:t>
      </w:r>
      <w:r>
        <w:t xml:space="preserve">for Risk of Bias Assessment</w:t>
      </w:r>
    </w:p>
    <w:bookmarkEnd w:id="25"/>
    <w:bookmarkStart w:id="26"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Material and 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26"/>
    <w:bookmarkStart w:id="28"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7">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have predominantly relied on the foundational study by Lanphear et al. (2005), a pooled analysis of seven cohort-studies, or subsequent re-analyses of the same data</w:t>
      </w:r>
      <w:r>
        <w:t xml:space="preserve"> </w:t>
      </w:r>
      <w:r>
        <w:t xml:space="preserve">(16,24)</w:t>
      </w:r>
      <w:r>
        <w:t xml:space="preserve">.</w:t>
      </w:r>
      <w:r>
        <w:t xml:space="preserve"> </w:t>
      </w:r>
      <w:r>
        <w:t xml:space="preserve">While this landmark studies has substantially shaped research and policy on childhood lead exposure, methodological issues and errors have been raised</w:t>
      </w:r>
      <w:r>
        <w:t xml:space="preserve"> </w:t>
      </w:r>
      <w:r>
        <w:t xml:space="preserve">(24,25)</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(26)</w:t>
      </w:r>
      <w:r>
        <w:t xml:space="preserve">.</w:t>
      </w:r>
      <w:r>
        <w:t xml:space="preserve"> </w:t>
      </w:r>
      <w:r>
        <w:t xml:space="preserve">Unlike frequentist confidence intervals, which are often misinterpreted as probabilistic</w:t>
      </w:r>
      <w:r>
        <w:t xml:space="preserve"> </w:t>
      </w:r>
      <w:r>
        <w:t xml:space="preserve">(27)</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8"/>
    <w:bookmarkStart w:id="44"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 heterogeneity identification, prior choice</w:t>
      </w:r>
    </w:p>
    <w:p>
      <w:pPr>
        <w:pStyle w:val="Compact"/>
        <w:numPr>
          <w:ilvl w:val="0"/>
          <w:numId w:val="1007"/>
        </w:numPr>
      </w:pPr>
      <w:r>
        <w:t xml:space="preserve">Sensitivity analysis</w:t>
      </w:r>
      <w:r>
        <w:br/>
      </w:r>
    </w:p>
    <w:bookmarkStart w:id="3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(28)</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(29)</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9">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(30)</w:t>
      </w:r>
      <w:r>
        <w:t xml:space="preserve">.</w:t>
      </w:r>
      <w:r>
        <w:t xml:space="preserve"> </w:t>
      </w:r>
      <w:r>
        <w:t xml:space="preserve">For all included studies, effect estimates from the most-adjusted model were extracted and the set of confounders adjused for recorded.</w:t>
      </w:r>
    </w:p>
    <w:bookmarkEnd w:id="30"/>
    <w:bookmarkStart w:id="3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(31)</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(31)</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1"/>
    <w:bookmarkStart w:id="33"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(32,33)</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(24,34)</w:t>
      </w:r>
      <w:r>
        <w:t xml:space="preserve">.</w:t>
      </w:r>
    </w:p>
    <w:p>
      <w:pPr>
        <w:pStyle w:val="BodyText"/>
      </w:pPr>
      <w:r>
        <w:t xml:space="preserve">The general form of regression model used for a log-linear association is:</w:t>
      </w:r>
    </w:p>
    <w:p>
      <w:pPr>
        <w:pStyle w:val="BodyText"/>
      </w:pPr>
      <w:bookmarkStart w:id="32"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2"/>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3"/>
    <w:bookmarkStart w:id="40"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(35)</w:t>
      </w:r>
      <w:r>
        <w:t xml:space="preserve"> </w:t>
      </w:r>
      <w:r>
        <w:t xml:space="preserve">was used for all computations.</w:t>
      </w:r>
      <w:r>
        <w:t xml:space="preserve"> </w:t>
      </w:r>
      <w:r>
        <w:t xml:space="preserve">All computational code for this study is publicly available on</w:t>
      </w:r>
      <w:r>
        <w:t xml:space="preserve"> </w:t>
      </w:r>
      <w:hyperlink r:id="rId34">
        <w:r>
          <w:rPr>
            <w:rStyle w:val="Hyperlink"/>
          </w:rPr>
          <w:t xml:space="preserve">GitHub</w:t>
        </w:r>
      </w:hyperlink>
      <w:r>
        <w:t xml:space="preserve">.</w:t>
      </w:r>
    </w:p>
    <w:bookmarkStart w:id="36"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5"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5"/>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(36)</w:t>
      </w:r>
      <w:r>
        <w:t xml:space="preserve"> </w:t>
      </w:r>
      <w:r>
        <w:t xml:space="preserve">version 2.22.0.</w:t>
      </w:r>
      <w:r>
        <w:t xml:space="preserve"> </w:t>
      </w:r>
      <w:r>
        <w:t xml:space="preserve">Posterior draws were sampled using Markov chain Monte Carlo (MCMC) and the No-U-Turn sampler (NUTS)</w:t>
      </w:r>
      <w:r>
        <w:t xml:space="preserve"> </w:t>
      </w:r>
      <w:r>
        <w:t xml:space="preserve">(37)</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6"/>
    <w:bookmarkStart w:id="38"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7"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7"/>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(38)</w:t>
      </w:r>
      <w:r>
        <w:t xml:space="preserve"> </w:t>
      </w:r>
      <w:r>
        <w:t xml:space="preserve">to assess the appropriateness of the specified priors.</w:t>
      </w:r>
      <w:r>
        <w:t xml:space="preserve"> </w:t>
      </w:r>
      <w:r>
        <w:t xml:space="preserve">Additionally, a sensitivity analysis with alternatice priors was conduced, as described below.</w:t>
      </w:r>
    </w:p>
    <w:bookmarkEnd w:id="38"/>
    <w:bookmarkStart w:id="39"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(39)</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9"/>
    <w:bookmarkEnd w:id="40"/>
    <w:bookmarkStart w:id="43"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1"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1"/>
    </w:p>
    <w:p>
      <w:pPr>
        <w:pStyle w:val="FirstParagraph"/>
      </w:pPr>
      <w:r>
        <w:t xml:space="preserve">Less informative priors (more conservative):</w:t>
      </w:r>
    </w:p>
    <w:p>
      <w:pPr>
        <w:pStyle w:val="BodyText"/>
      </w:pPr>
      <w:bookmarkStart w:id="42"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2"/>
    </w:p>
    <w:bookmarkEnd w:id="43"/>
    <w:bookmarkEnd w:id="44"/>
    <w:bookmarkStart w:id="58" w:name="results"/>
    <w:p>
      <w:pPr>
        <w:pStyle w:val="Heading1"/>
      </w:pPr>
      <w:r>
        <w:t xml:space="preserve">3. Results</w:t>
      </w:r>
    </w:p>
    <w:p>
      <w:pPr>
        <w:pStyle w:val="Compact"/>
        <w:numPr>
          <w:ilvl w:val="0"/>
          <w:numId w:val="1008"/>
        </w:numPr>
      </w:pPr>
      <w:r>
        <w:t xml:space="preserve">Cite studies that might appear to meet inclusion criteria, but were excluded &amp; explain why (no citation so far)</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Start w:id="48"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2.</w:t>
      </w:r>
    </w:p>
    <w:p>
      <w:pPr>
        <w:pStyle w:val="BodyText"/>
      </w:pPr>
      <w:r>
        <w:t xml:space="preserve">A PRISMA flow diagram summarizing the review process is shown as in figure 1</w:t>
      </w:r>
      <w:r>
        <w:t xml:space="preserve"> </w:t>
      </w:r>
      <w:r>
        <w:t xml:space="preserve">(28)</w:t>
      </w:r>
      <w:r>
        <w:t xml:space="preserve">.</w:t>
      </w:r>
      <w:r>
        <w:t xml:space="preserve"> </w:t>
      </w:r>
      <w:r>
        <w:t xml:space="preserve">A file containing detailed information on the screening process and exclusion reasons can be found in suppl. file 2.</w:t>
      </w:r>
    </w:p>
    <w:p>
      <w:pPr>
        <w:pStyle w:val="CaptionedFigure"/>
      </w:pPr>
      <w:r>
        <w:drawing>
          <wp:inline>
            <wp:extent cx="2971800" cy="4205471"/>
            <wp:effectExtent b="0" l="0" r="0" t="0"/>
            <wp:docPr descr="Figure 1: PRISMA flow diagram" title="" id="46" name="Picture"/>
            <a:graphic>
              <a:graphicData uri="http://schemas.openxmlformats.org/drawingml/2006/picture">
                <pic:pic>
                  <pic:nvPicPr>
                    <pic:cNvPr descr="tables_figures/main/figure1.png" id="47" name="Picture"/>
                    <pic:cNvPicPr>
                      <a:picLocks noChangeArrowheads="1" noChangeAspect="1"/>
                    </pic:cNvPicPr>
                  </pic:nvPicPr>
                  <pic:blipFill>
                    <a:blip r:embed="rId45"/>
                    <a:stretch>
                      <a:fillRect/>
                    </a:stretch>
                  </pic:blipFill>
                  <pic:spPr bwMode="auto">
                    <a:xfrm>
                      <a:off x="0" y="0"/>
                      <a:ext cx="2971800" cy="4205471"/>
                    </a:xfrm>
                    <a:prstGeom prst="rect">
                      <a:avLst/>
                    </a:prstGeom>
                    <a:noFill/>
                    <a:ln w="9525">
                      <a:noFill/>
                      <a:headEnd/>
                      <a:tailEnd/>
                    </a:ln>
                  </pic:spPr>
                </pic:pic>
              </a:graphicData>
            </a:graphic>
          </wp:inline>
        </w:drawing>
      </w:r>
    </w:p>
    <w:p>
      <w:pPr>
        <w:pStyle w:val="ImageCaption"/>
      </w:pPr>
      <w:r>
        <w:t xml:space="preserve">Figure 1: PRISMA flow diagram</w:t>
      </w:r>
    </w:p>
    <w:bookmarkEnd w:id="48"/>
    <w:bookmarkStart w:id="49"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(34)</w:t>
      </w:r>
      <w:r>
        <w:t xml:space="preserve">,</w:t>
      </w:r>
      <w:r>
        <w:t xml:space="preserve"> </w:t>
      </w:r>
      <w:r>
        <w:t xml:space="preserve">two with a moderate risk</w:t>
      </w:r>
      <w:r>
        <w:t xml:space="preserve"> </w:t>
      </w:r>
      <w:r>
        <w:t xml:space="preserve">(48)</w:t>
      </w:r>
      <w:r>
        <w:t xml:space="preserve"> </w:t>
      </w:r>
      <w:r>
        <w:t xml:space="preserve">and two studies with a high RoB</w:t>
      </w:r>
      <w:r>
        <w:t xml:space="preserve"> </w:t>
      </w:r>
      <w:r>
        <w:t xml:space="preserve">(49)</w:t>
      </w:r>
      <w:r>
        <w:t xml:space="preserve">.</w:t>
      </w:r>
      <w:r>
        <w:br/>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(50)</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3.</w:t>
      </w:r>
    </w:p>
    <w:bookmarkEnd w:id="49"/>
    <w:bookmarkStart w:id="56"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Both values exceed 1,000,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r>
        <w:t xml:space="preserve"> </w:t>
      </w:r>
    </w:p>
    <w:p>
      <w:pPr>
        <w:pStyle w:val="BodyText"/>
      </w:pPr>
      <w:r>
        <w:t xml:space="preserve">The Bayesian random-effects meta-analysis yielded a posterior mean pooled estimate of -2.28 (95% credible interval (CrI): -3.56; -1.06) IQ points per unit increase in</w:t>
      </w:r>
      <w:r>
        <w:t xml:space="preserve"> </w:t>
      </w:r>
      <m:oMath>
        <m:sSub>
          <m:e>
            <m:r>
              <m:rPr>
                <m:sty m:val="p"/>
              </m:rPr>
              <m:t>log</m:t>
            </m:r>
          </m:e>
          <m:sub>
            <m:r>
              <m:t>e</m:t>
            </m:r>
          </m:sub>
        </m:sSub>
      </m:oMath>
      <w:r>
        <w:t xml:space="preserve">-transformed BLL (µg/dL).</w:t>
      </w:r>
      <w:r>
        <w:t xml:space="preserve"> </w:t>
      </w:r>
      <w:r>
        <w:t xml:space="preserve">The frequentist approach produced a comparable pooled estimate of -2.45 (95% confidence interval (CI): -3.7; -1.2).</w:t>
      </w:r>
      <w:r>
        <w:t xml:space="preserve"> </w:t>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1.04;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3.32 (95% CI: 0.99; 3.32), with</w:t>
      </w:r>
      <w:r>
        <w:t xml:space="preserve"> </w:t>
      </w:r>
      <m:oMath>
        <m:sSup>
          <m:e>
            <m:r>
              <m:rPr>
                <m:nor/>
                <m:sty m:val="p"/>
              </m:rPr>
              <m:t>I</m:t>
            </m:r>
          </m:e>
          <m:sup>
            <m:r>
              <m:t>2</m:t>
            </m:r>
          </m:sup>
        </m:sSup>
      </m:oMath>
      <w:r>
        <w:t xml:space="preserve"> </w:t>
      </w:r>
      <w:r>
        <w:t xml:space="preserve">= 85% (95% CI: 62.75; 95.2%).</w:t>
      </w:r>
    </w:p>
    <w:p>
      <w:pPr>
        <w:pStyle w:val="BodyText"/>
      </w:pPr>
      <w:r>
        <w:t xml:space="preserve">Forest plots of both approaches are shown in figure 2:</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943600" cy="6400800"/>
                  <wp:effectExtent b="0" l="0" r="0" t="0"/>
                  <wp:docPr descr="Figure 2: forest plots" title="" id="51" name="Picture"/>
                  <a:graphic>
                    <a:graphicData uri="http://schemas.openxmlformats.org/drawingml/2006/picture">
                      <pic:pic>
                        <pic:nvPicPr>
                          <pic:cNvPr descr="manuscript_files/figure-docx/figure_2_forestplots-1.png" id="52" name="Picture"/>
                          <pic:cNvPicPr>
                            <a:picLocks noChangeArrowheads="1" noChangeAspect="1"/>
                          </pic:cNvPicPr>
                        </pic:nvPicPr>
                        <pic:blipFill>
                          <a:blip r:embed="rId50"/>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c>
          <w:tcPr/>
          <w:p>
            <w:pPr>
              <w:pStyle w:val="CaptionedFigure"/>
              <w:jc w:val="left"/>
            </w:pPr>
            <w:r>
              <w:drawing>
                <wp:inline>
                  <wp:extent cx="5943600" cy="6400800"/>
                  <wp:effectExtent b="0" l="0" r="0" t="0"/>
                  <wp:docPr descr="Figure 2: forest plots" title="" id="54" name="Picture"/>
                  <a:graphic>
                    <a:graphicData uri="http://schemas.openxmlformats.org/drawingml/2006/picture">
                      <pic:pic>
                        <pic:nvPicPr>
                          <pic:cNvPr descr="manuscript_files/figure-docx/figure_2_forestplots-2.png" id="55" name="Picture"/>
                          <pic:cNvPicPr>
                            <a:picLocks noChangeArrowheads="1" noChangeAspect="1"/>
                          </pic:cNvPicPr>
                        </pic:nvPicPr>
                        <pic:blipFill>
                          <a:blip r:embed="rId53"/>
                          <a:stretch>
                            <a:fillRect/>
                          </a:stretch>
                        </pic:blipFill>
                        <pic:spPr bwMode="auto">
                          <a:xfrm>
                            <a:off x="0" y="0"/>
                            <a:ext cx="5943600" cy="6400800"/>
                          </a:xfrm>
                          <a:prstGeom prst="rect">
                            <a:avLst/>
                          </a:prstGeom>
                          <a:noFill/>
                          <a:ln w="9525">
                            <a:noFill/>
                            <a:headEnd/>
                            <a:tailEnd/>
                          </a:ln>
                        </pic:spPr>
                      </pic:pic>
                    </a:graphicData>
                  </a:graphic>
                </wp:inline>
              </w:drawing>
            </w:r>
          </w:p>
          <w:p>
            <w:pPr>
              <w:pStyle w:val="ImageCaption"/>
              <w:jc w:val="left"/>
            </w:pPr>
            <w:r>
              <w:t xml:space="preserve">Figure 2: forest plots</w:t>
            </w:r>
          </w:p>
        </w:tc>
      </w:tr>
    </w:tbl>
    <w:p>
      <w:pPr>
        <w:pStyle w:val="BodyText"/>
      </w:pPr>
      <w:r>
        <w:t xml:space="preserve">The study estimates depicted in figure 2 are not the same in both approaches because the Bayesian model estimates a posterior distribution for every individual study that is influenced by all of the included studies as well as the priors.</w:t>
      </w:r>
      <w:r>
        <w:t xml:space="preserve"> </w:t>
      </w:r>
      <w:r>
        <w:t xml:space="preserve">This leads to a shrinkage of the mean coefficients towards the pooled effect and is comparable to the inverse-variance weighting in frequentist meta-analyses.</w:t>
      </w:r>
    </w:p>
    <w:bookmarkEnd w:id="56"/>
    <w:bookmarkStart w:id="57" w:name="sensitivity-analysis-results"/>
    <w:p>
      <w:pPr>
        <w:pStyle w:val="Heading2"/>
      </w:pPr>
      <w:r>
        <w:t xml:space="preserve">3.4 Sensitivity Analysis Results</w:t>
      </w:r>
    </w:p>
    <w:p>
      <w:pPr>
        <w:pStyle w:val="FirstParagraph"/>
      </w:pPr>
      <w:r>
        <w:t xml:space="preserve">We conducted two sets of sensitivity analyses, the results are shown in table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),the posterior mean</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w:t>
      </w:r>
      <w:r>
        <w:t xml:space="preserve"> </w:t>
      </w:r>
      <m:oMath>
        <m:r>
          <m:t>μ</m:t>
        </m:r>
      </m:oMath>
      <w:r>
        <w:t xml:space="preserve"> </w:t>
      </w:r>
      <w:r>
        <w:t xml:space="preserve">increases slightly.</w:t>
      </w:r>
      <w:r>
        <w:t xml:space="preserve"> </w:t>
      </w:r>
      <w:r>
        <w:t xml:space="preserve">In this case, more</w:t>
      </w:r>
      <w:r>
        <w:t xml:space="preserve"> </w:t>
      </w:r>
      <w:r>
        <w:t xml:space="preserve">“trust”</w:t>
      </w:r>
      <w:r>
        <w:t xml:space="preserve"> </w:t>
      </w:r>
      <w:r>
        <w:t xml:space="preserve">is given to studies reporting high effects with large uncertainty ranges.</w:t>
      </w:r>
      <w:r>
        <w:t xml:space="preserve"> </w:t>
      </w:r>
      <w:r>
        <w:t xml:space="preserve">The results of the prior sensitivity analysis strengthens the priors specified for the main analysis.</w:t>
      </w:r>
      <w:r>
        <w:t xml:space="preserve"> </w:t>
      </w:r>
      <w:r>
        <w:t xml:space="preserve">Suppl. file 5 shows prior, observed data and posterior distributions of all three prior specifications.</w:t>
      </w:r>
    </w:p>
    <w:bookmarkEnd w:id="57"/>
    <w:bookmarkEnd w:id="58"/>
    <w:bookmarkStart w:id="63" w:name="discussion"/>
    <w:p>
      <w:pPr>
        <w:pStyle w:val="Heading1"/>
      </w:pPr>
      <w:r>
        <w:t xml:space="preserve">4. Discussion</w:t>
      </w:r>
    </w:p>
    <w:bookmarkStart w:id="59" w:name="Xe4fd33c14a4d85ff45876f16d4ff6029ee422c4"/>
    <w:p>
      <w:pPr>
        <w:pStyle w:val="Heading2"/>
      </w:pPr>
      <w:r>
        <w:t xml:space="preserve">4.1 General interpretation in light of evidence</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(13,15,16,18)</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defined exposure categories</w:t>
      </w:r>
      <w:r>
        <w:t xml:space="preserve"> </w:t>
      </w:r>
      <w:r>
        <w:t xml:space="preserve">(19,51,52)</w:t>
      </w:r>
      <w:r>
        <w:t xml:space="preserve">.</w:t>
      </w:r>
      <w:r>
        <w:t xml:space="preserve"> </w:t>
      </w:r>
      <w:r>
        <w:t xml:space="preserve">Also, different coefficients like partial r</w:t>
      </w:r>
      <w:r>
        <w:t xml:space="preserve"> </w:t>
      </w:r>
      <w:r>
        <w:t xml:space="preserve">(14)</w:t>
      </w:r>
      <w:r>
        <w:t xml:space="preserve"> </w:t>
      </w:r>
      <w:r>
        <w:t xml:space="preserve">or standardized differences in mean</w:t>
      </w:r>
      <w:r>
        <w:t xml:space="preserve"> </w:t>
      </w:r>
      <w:r>
        <w:t xml:space="preserve">(53)</w:t>
      </w:r>
      <w:r>
        <w:t xml:space="preserve"> </w:t>
      </w:r>
      <w:r>
        <w:t xml:space="preserve">have been estimated in previous meta-analyses.</w:t>
      </w:r>
    </w:p>
    <w:p>
      <w:pPr>
        <w:pStyle w:val="BodyText"/>
      </w:pPr>
      <w:r>
        <w:t xml:space="preserve">We observed substantial heterogeneity in the studies included in this meta-analysis.</w:t>
      </w:r>
      <w:r>
        <w:t xml:space="preserve"> </w:t>
      </w:r>
      <w:r>
        <w:t xml:space="preserve">Multiple differences in study population (size, location, age, exposure range) and statistical methods, especially the covariates included in the statistical models (adjustment set) might have caused heterogeneity between the studies (see table 2).</w:t>
      </w:r>
      <w:r>
        <w:t xml:space="preserve"> </w:t>
      </w:r>
      <w:r>
        <w:t xml:space="preserve">For example, two of the studies that reported a very low effect has been conducted within a relatively low-exposed population</w:t>
      </w:r>
      <w:r>
        <w:t xml:space="preserve"> </w:t>
      </w:r>
      <w:r>
        <w:t xml:space="preserve">(40,42)</w:t>
      </w:r>
      <w:r>
        <w:t xml:space="preserve">.</w:t>
      </w:r>
      <w:r>
        <w:t xml:space="preserve"> </w:t>
      </w:r>
      <w:r>
        <w:t xml:space="preserve">Missing variation in exposure variable limits the detectability of an effect and might result in a very low reported effect.</w:t>
      </w:r>
      <w:r>
        <w:br/>
      </w:r>
      <w:r>
        <w:t xml:space="preserve">The included studies are based on population samples from multiple different regions (North America: 4, South America: 1, Europe: 3, Asia: 3, Australia: 1) and some populations have been sampled in hotspot regions with presumably higher lead concentrations</w:t>
      </w:r>
      <w:r>
        <w:t xml:space="preserve"> </w:t>
      </w:r>
      <w:r>
        <w:t xml:space="preserve">(40,45,49)</w:t>
      </w:r>
      <w:r>
        <w:t xml:space="preserve">.</w:t>
      </w:r>
      <w:r>
        <w:t xml:space="preserve"> </w:t>
      </w:r>
      <w:r>
        <w:t xml:space="preserve">This limits the generalizability of our findings and may be another explanation for the observed heterogeneity.</w:t>
      </w:r>
      <w:r>
        <w:br/>
      </w:r>
      <w:r>
        <w:t xml:space="preserve">Using an IQ test that has not been culturally adapted to the population it is used in, the IQ score results may be an underestimate of the true IQ.</w:t>
      </w:r>
      <w:r>
        <w:t xml:space="preserve"> </w:t>
      </w:r>
      <w:r>
        <w:t xml:space="preserve">This might be the case in</w:t>
      </w:r>
      <w:r>
        <w:t xml:space="preserve"> </w:t>
      </w:r>
      <w:r>
        <w:t xml:space="preserve">(45)</w:t>
      </w:r>
      <w:r>
        <w:t xml:space="preserve">.</w:t>
      </w:r>
      <w:r>
        <w:br/>
      </w:r>
      <w:r>
        <w:t xml:space="preserve">Furthermore, 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specifying conservative priors and thus weighing such studies down, Bayesian models are less sensitive to such outliers, especially when pooling a small number of studies.</w:t>
      </w:r>
      <w:r>
        <w:br/>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(24)</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w:t>
      </w:r>
      <w:r>
        <w:t xml:space="preserve"> </w:t>
      </w:r>
      <w:r>
        <w:t xml:space="preserve">In this study, the burden of disease in 204 countries and for several health risks, including lead exposure was estimated.</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(50,54,55)</w:t>
      </w:r>
      <w:r>
        <w:t xml:space="preserve">.</w:t>
      </w:r>
      <w:r>
        <w:t xml:space="preserve"> </w:t>
      </w:r>
      <w:r>
        <w:t xml:space="preserve">This highlights the need for an updated evidence synthesis which we provide in this study.</w:t>
      </w:r>
    </w:p>
    <w:p>
      <w:pPr>
        <w:pStyle w:val="BodyText"/>
      </w:pPr>
      <w:r>
        <w:t xml:space="preserve">This study does not only provide an updated effect measure for the association of lead and IQ, but additionally compares a more conventional, frequentist approach to meta-analysis to a Bayesian approach that is less used in environmental epidemiology to date.</w:t>
      </w:r>
    </w:p>
    <w:bookmarkEnd w:id="59"/>
    <w:bookmarkStart w:id="60" w:name="Xe5ac57d0eff2b1210c69c5d0ce3670b3d74f7a3"/>
    <w:p>
      <w:pPr>
        <w:pStyle w:val="Heading2"/>
      </w:pPr>
      <w:r>
        <w:t xml:space="preserve">4.2 Differences, similarities, strengths &amp; weaknesses of both approaches</w:t>
      </w:r>
    </w:p>
    <w:p>
      <w:pPr>
        <w:pStyle w:val="FirstParagraph"/>
      </w:pP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(56)</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(57)</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bookmarkEnd w:id="60"/>
    <w:bookmarkStart w:id="61" w:name="outlook"/>
    <w:p>
      <w:pPr>
        <w:pStyle w:val="Heading2"/>
      </w:pPr>
      <w:r>
        <w:t xml:space="preserve">4.3 Outlook</w:t>
      </w:r>
    </w:p>
    <w:p>
      <w:pPr>
        <w:pStyle w:val="Compact"/>
        <w:numPr>
          <w:ilvl w:val="0"/>
          <w:numId w:val="1014"/>
        </w:numPr>
      </w:pPr>
      <w:r>
        <w:t xml:space="preserve">full posterior distributions for mu and tau in Bayesian approach can be used for:</w:t>
      </w:r>
    </w:p>
    <w:p>
      <w:pPr>
        <w:pStyle w:val="Compact"/>
        <w:numPr>
          <w:ilvl w:val="1"/>
          <w:numId w:val="1015"/>
        </w:numPr>
      </w:pPr>
      <w:r>
        <w:rPr>
          <w:strike/>
        </w:rPr>
        <w:t xml:space="preserve">comparative risk assessment</w:t>
      </w:r>
    </w:p>
    <w:p>
      <w:pPr>
        <w:pStyle w:val="Compact"/>
        <w:numPr>
          <w:ilvl w:val="1"/>
          <w:numId w:val="1015"/>
        </w:numPr>
      </w:pPr>
      <w:r>
        <w:rPr>
          <w:strike/>
        </w:rPr>
        <w:t xml:space="preserve">calculating exceedance probabilities of threshold values</w:t>
      </w:r>
    </w:p>
    <w:p>
      <w:pPr>
        <w:pStyle w:val="Compact"/>
        <w:numPr>
          <w:ilvl w:val="1"/>
          <w:numId w:val="1015"/>
        </w:numPr>
      </w:pPr>
      <w:r>
        <w:rPr>
          <w:strike/>
        </w:rPr>
        <w:t xml:space="preserve">flexible credible intervals</w:t>
      </w:r>
    </w:p>
    <w:p>
      <w:pPr>
        <w:pStyle w:val="Compact"/>
        <w:numPr>
          <w:ilvl w:val="1"/>
          <w:numId w:val="1015"/>
        </w:numPr>
      </w:pPr>
      <w:r>
        <w:t xml:space="preserve">(prediction of theoretical future studies (simulation))</w:t>
      </w:r>
    </w:p>
    <w:p>
      <w:pPr>
        <w:pStyle w:val="Compact"/>
        <w:numPr>
          <w:ilvl w:val="0"/>
          <w:numId w:val="1014"/>
        </w:numPr>
      </w:pPr>
      <w:r>
        <w:rPr>
          <w:strike/>
        </w:rPr>
        <w:t xml:space="preserve">possible use-cases of probabilistic meta-analysis (risk assessment, EBD)</w:t>
      </w:r>
    </w:p>
    <w:p>
      <w:pPr>
        <w:pStyle w:val="Compact"/>
        <w:numPr>
          <w:ilvl w:val="1"/>
          <w:numId w:val="1016"/>
        </w:numPr>
      </w:pPr>
      <w:r>
        <w:rPr>
          <w:strike/>
        </w:rPr>
        <w:t xml:space="preserve">probabilistic EBD (give examples of deterministic approach?)</w:t>
      </w:r>
    </w:p>
    <w:p>
      <w:pPr>
        <w:pStyle w:val="FirstParagraph"/>
      </w:pPr>
      <w:r>
        <w:t xml:space="preserve">The results of Bayesian models are inherently distributional, which is an important difference to point estimates (central estimate, CI) produced by frequentist models.</w:t>
      </w:r>
      <w:r>
        <w:t xml:space="preserve"> </w:t>
      </w:r>
      <w:r>
        <w:t xml:space="preserve">These distributional results offer distinct advantages, particularly for risk assessment and policy-making.</w:t>
      </w:r>
      <w:r>
        <w:t xml:space="preserve"> </w:t>
      </w:r>
      <w:r>
        <w:t xml:space="preserve">First, any credible interval can be derived from the posterior distribution according to the needs of researchers, decision-makers, or other stakeholders.</w:t>
      </w:r>
      <w:r>
        <w:t xml:space="preserve"> </w:t>
      </w:r>
      <w:r>
        <w:t xml:space="preserve">These allow direct probability statements about parameter values, unlike confidence intervals which are frequently but incorrectly interpreted probabilistically.</w:t>
      </w:r>
      <w:r>
        <w:br/>
      </w:r>
      <w:r>
        <w:t xml:space="preserve">Second, posterior distributions enable probabilistic comparisons across multiple health risks, such as calculating the probability that one risk exceeds another.</w:t>
      </w:r>
      <w:r>
        <w:t xml:space="preserve"> </w:t>
      </w:r>
      <w:r>
        <w:t xml:space="preserve">When meaningful thresholds of effect size or health risk are defined, exceedance probabilities can be directly obtained from the posterior distribution, providing an intuitive and policy-relevant summary of uncertainty.</w:t>
      </w:r>
      <w:r>
        <w:br/>
      </w:r>
      <w:r>
        <w:t xml:space="preserve">Posterior distributions of meta-analyses together with the specified statistical model can be used to predict theoretical future epidemiological studies.</w:t>
      </w:r>
      <w:r>
        <w:t xml:space="preserve"> </w:t>
      </w:r>
      <w:r>
        <w:t xml:space="preserve">This offers an additional way of representing between-study heterogeneity.</w:t>
      </w:r>
      <w:r>
        <w:t xml:space="preserve"> </w:t>
      </w:r>
      <w:r>
        <w:t xml:space="preserve">Also, the population-level health impact of an exposure under specified conditions can be estimated using the posterior distribution.</w:t>
      </w:r>
      <w:r>
        <w:t xml:space="preserve"> </w:t>
      </w:r>
      <w:r>
        <w:t xml:space="preserve">The latter application is known as Environmental Burden of Disease (EBD).</w:t>
      </w:r>
      <w:r>
        <w:br/>
      </w:r>
      <w:r>
        <w:t xml:space="preserve">In EBD studies, the health impacts of an exposure on a defined population are quantified and summarized using metrics such as disability-adjusted life years (DALYs).</w:t>
      </w:r>
      <w:r>
        <w:t xml:space="preserve"> </w:t>
      </w:r>
      <w:r>
        <w:t xml:space="preserve">These estimates enable comparisons of the impact of multiple health determinants within a population, as well as comparisons of the same determinant across populations or countries.</w:t>
      </w:r>
      <w:r>
        <w:t xml:space="preserve"> </w:t>
      </w:r>
      <w:r>
        <w:t xml:space="preserve">EBD integrates both population exposure and the associated exposure–response relationship (e.g. relative risk, beta coefficient etc.)</w:t>
      </w:r>
      <w:r>
        <w:t xml:space="preserve"> </w:t>
      </w:r>
      <w:r>
        <w:t xml:space="preserve">(58)</w:t>
      </w:r>
      <w:r>
        <w:t xml:space="preserve">.</w:t>
      </w:r>
      <w:r>
        <w:t xml:space="preserve"> </w:t>
      </w:r>
      <w:r>
        <w:t xml:space="preserve">The distributional results of this study enable probabilistic EBD assessments using Monte Carlo simulations without additional assumptions on uncertainty distributions on the exposure-response function.</w:t>
      </w:r>
    </w:p>
    <w:bookmarkEnd w:id="61"/>
    <w:bookmarkStart w:id="62" w:name="study-limitations-strengths"/>
    <w:p>
      <w:pPr>
        <w:pStyle w:val="Heading2"/>
      </w:pPr>
      <w:r>
        <w:t xml:space="preserve">4.4 Study limitations &amp; strengths</w:t>
      </w:r>
    </w:p>
    <w:p>
      <w:pPr>
        <w:pStyle w:val="FirstParagraph"/>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r>
        <w:t xml:space="preserve"> </w:t>
      </w:r>
      <w:r>
        <w:t xml:space="preserve">Also, there may be publication bias present that could lead to an overestimation of the pooled effect.</w:t>
      </w:r>
    </w:p>
    <w:p>
      <w:pPr>
        <w:pStyle w:val="BodyText"/>
      </w:pPr>
      <w:r>
        <w:t xml:space="preserve">While there are publications that compare Bayesian and frequentist approaches to meta-analysis, they either have a focus on evidence-based medicine</w:t>
      </w:r>
      <w:r>
        <w:t xml:space="preserve"> </w:t>
      </w:r>
      <w:r>
        <w:t xml:space="preserve">(59–62)</w:t>
      </w:r>
      <w:r>
        <w:t xml:space="preserve"> </w:t>
      </w:r>
      <w:r>
        <w:t xml:space="preserve">or network meta-analysis</w:t>
      </w:r>
      <w:r>
        <w:t xml:space="preserve"> </w:t>
      </w:r>
      <w:r>
        <w:t xml:space="preserve">(63,64)</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34">
        <w:r>
          <w:rPr>
            <w:rStyle w:val="Hyperlink"/>
          </w:rPr>
          <w:t xml:space="preserve">GitHub</w:t>
        </w:r>
      </w:hyperlink>
      <w:r>
        <w:t xml:space="preserve"> </w:t>
      </w:r>
      <w:r>
        <w:t xml:space="preserve">which makes it fully reproducible.</w:t>
      </w:r>
    </w:p>
    <w:bookmarkEnd w:id="62"/>
    <w:bookmarkEnd w:id="63"/>
    <w:bookmarkStart w:id="64" w:name="conclusions"/>
    <w:p>
      <w:pPr>
        <w:pStyle w:val="Heading1"/>
      </w:pPr>
      <w:r>
        <w:t xml:space="preserve">5. Conclusions</w:t>
      </w:r>
    </w:p>
    <w:p>
      <w:pPr>
        <w:pStyle w:val="Compact"/>
        <w:numPr>
          <w:ilvl w:val="0"/>
          <w:numId w:val="1017"/>
        </w:numPr>
      </w:pPr>
      <w:r>
        <w:t xml:space="preserve">Conclusion, with reference to aim of study</w:t>
      </w:r>
    </w:p>
    <w:p>
      <w:pPr>
        <w:pStyle w:val="Compact"/>
        <w:numPr>
          <w:ilvl w:val="0"/>
          <w:numId w:val="1018"/>
        </w:numPr>
      </w:pPr>
      <w:r>
        <w:t xml:space="preserve">Implications of results: policy, (scientific?) practice, future research needs</w:t>
      </w:r>
    </w:p>
    <w:bookmarkEnd w:id="64"/>
    <w:bookmarkStart w:id="65"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65"/>
    <w:bookmarkStart w:id="66"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66"/>
    <w:bookmarkStart w:id="67"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67"/>
    <w:bookmarkStart w:id="191" w:name="bibliography"/>
    <w:p>
      <w:pPr>
        <w:pStyle w:val="Heading1"/>
      </w:pPr>
      <w:r>
        <w:t xml:space="preserve">References</w:t>
      </w:r>
    </w:p>
    <w:bookmarkStart w:id="190" w:name="refs"/>
    <w:bookmarkStart w:id="69"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68">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69"/>
    <w:bookmarkStart w:id="71"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70">
        <w:r>
          <w:rPr>
            <w:rStyle w:val="Hyperlink"/>
          </w:rPr>
          <w:t xml:space="preserve">Global decrease in blood lead concentrations due to the removal of leaded gasoline</w:t>
        </w:r>
      </w:hyperlink>
      <w:r>
        <w:t xml:space="preserve">. Chemosphere. 2023;324:138207.</w:t>
      </w:r>
      <w:r>
        <w:t xml:space="preserve"> </w:t>
      </w:r>
    </w:p>
    <w:bookmarkEnd w:id="71"/>
    <w:bookmarkStart w:id="73" w:name="X4707f3a4b72a0982487545f9dc3d674642af108"/>
    <w:p>
      <w:pPr>
        <w:pStyle w:val="Bibliography"/>
      </w:pPr>
      <w:r>
        <w:t xml:space="preserve">3.</w:t>
      </w:r>
      <w:r>
        <w:t xml:space="preserve"> </w:t>
      </w:r>
      <w:r>
        <w:t xml:space="preserve">	</w:t>
      </w:r>
      <w:r>
        <w:t xml:space="preserve">European Food Safety Authority.</w:t>
      </w:r>
      <w:r>
        <w:t xml:space="preserve"> </w:t>
      </w:r>
      <w:hyperlink r:id="rId72">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73"/>
    <w:bookmarkStart w:id="75"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74">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75"/>
    <w:bookmarkStart w:id="77"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76">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77"/>
    <w:bookmarkStart w:id="79"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78">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79"/>
    <w:bookmarkStart w:id="81"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80">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81"/>
    <w:bookmarkStart w:id="83"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82">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83"/>
    <w:bookmarkStart w:id="85"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84">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85"/>
    <w:bookmarkStart w:id="87"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86">
        <w:r>
          <w:rPr>
            <w:rStyle w:val="Hyperlink"/>
          </w:rPr>
          <w:t xml:space="preserve">Low blood lead concentration in association with infertility in women</w:t>
        </w:r>
      </w:hyperlink>
      <w:r>
        <w:t xml:space="preserve">. Environmental Research. 2006 Jul;101(3):380–6.</w:t>
      </w:r>
      <w:r>
        <w:t xml:space="preserve"> </w:t>
      </w:r>
    </w:p>
    <w:bookmarkEnd w:id="87"/>
    <w:bookmarkStart w:id="89"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88">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89"/>
    <w:bookmarkStart w:id="91"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90">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91"/>
    <w:bookmarkStart w:id="93"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92">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93"/>
    <w:bookmarkStart w:id="95" w:name="ref-needleman1990LowLevelLeadExposure"/>
    <w:p>
      <w:pPr>
        <w:pStyle w:val="Bibliography"/>
      </w:pPr>
      <w:r>
        <w:t xml:space="preserve">14.</w:t>
      </w:r>
      <w:r>
        <w:t xml:space="preserve"> </w:t>
      </w:r>
      <w:r>
        <w:t xml:space="preserve">	</w:t>
      </w:r>
      <w:r>
        <w:t xml:space="preserve">Needleman HL.</w:t>
      </w:r>
      <w:r>
        <w:t xml:space="preserve"> </w:t>
      </w:r>
      <w:hyperlink r:id="rId94">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95"/>
    <w:bookmarkStart w:id="97" w:name="ref-bellinger1992LowLevelLeadExposure"/>
    <w:p>
      <w:pPr>
        <w:pStyle w:val="Bibliography"/>
      </w:pPr>
      <w:r>
        <w:t xml:space="preserve">15.</w:t>
      </w:r>
      <w:r>
        <w:t xml:space="preserve"> </w:t>
      </w:r>
      <w:r>
        <w:t xml:space="preserve">	</w:t>
      </w:r>
      <w:r>
        <w:t xml:space="preserve">Bellinger DC, Stiles KM, Needleman HL.</w:t>
      </w:r>
      <w:r>
        <w:t xml:space="preserve"> </w:t>
      </w:r>
      <w:hyperlink r:id="rId96">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97"/>
    <w:bookmarkStart w:id="99"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98">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99"/>
    <w:bookmarkStart w:id="101" w:name="ref-larsen2023GlobalHealthBurden"/>
    <w:p>
      <w:pPr>
        <w:pStyle w:val="Bibliography"/>
      </w:pPr>
      <w:r>
        <w:t xml:space="preserve">17.</w:t>
      </w:r>
      <w:r>
        <w:t xml:space="preserve"> </w:t>
      </w:r>
      <w:r>
        <w:t xml:space="preserve">	</w:t>
      </w:r>
      <w:r>
        <w:t xml:space="preserve">Larsen B, Sánchez-Triana E.</w:t>
      </w:r>
      <w:r>
        <w:t xml:space="preserve"> </w:t>
      </w:r>
      <w:hyperlink r:id="rId100">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101"/>
    <w:bookmarkStart w:id="103"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102">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103"/>
    <w:bookmarkStart w:id="105" w:name="ref-schwartz1994LowLevelLeadExposure"/>
    <w:p>
      <w:pPr>
        <w:pStyle w:val="Bibliography"/>
      </w:pPr>
      <w:r>
        <w:t xml:space="preserve">19.</w:t>
      </w:r>
      <w:r>
        <w:t xml:space="preserve"> </w:t>
      </w:r>
      <w:r>
        <w:t xml:space="preserve">	</w:t>
      </w:r>
      <w:r>
        <w:t xml:space="preserve">Schwartz J.</w:t>
      </w:r>
      <w:r>
        <w:t xml:space="preserve"> </w:t>
      </w:r>
      <w:hyperlink r:id="rId104">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105"/>
    <w:bookmarkStart w:id="107"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106">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107"/>
    <w:bookmarkStart w:id="109"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108">
        <w:r>
          <w:rPr>
            <w:rStyle w:val="Hyperlink"/>
          </w:rPr>
          <w:t xml:space="preserve">Global burden of intellectual disability resulting from dietary exposure to lead, 2015</w:t>
        </w:r>
      </w:hyperlink>
      <w:r>
        <w:t xml:space="preserve">. Environmental Research. 2019;172:420–9.</w:t>
      </w:r>
      <w:r>
        <w:t xml:space="preserve"> </w:t>
      </w:r>
    </w:p>
    <w:bookmarkEnd w:id="109"/>
    <w:bookmarkStart w:id="111"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110">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11"/>
    <w:bookmarkStart w:id="113" w:name="ref-mcfarland2022HalfUSPopulation"/>
    <w:p>
      <w:pPr>
        <w:pStyle w:val="Bibliography"/>
      </w:pPr>
      <w:r>
        <w:t xml:space="preserve">23.</w:t>
      </w:r>
      <w:r>
        <w:t xml:space="preserve"> </w:t>
      </w:r>
      <w:r>
        <w:t xml:space="preserve">	</w:t>
      </w:r>
      <w:r>
        <w:t xml:space="preserve">McFarland MJ, Hauer ME, Reuben A.</w:t>
      </w:r>
      <w:r>
        <w:t xml:space="preserve"> </w:t>
      </w:r>
      <w:hyperlink r:id="rId112">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13"/>
    <w:bookmarkStart w:id="115"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14">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15"/>
    <w:bookmarkStart w:id="117"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16">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17"/>
    <w:bookmarkStart w:id="119" w:name="X035620408d1fb22c7ed381e74f0468c30df4612"/>
    <w:p>
      <w:pPr>
        <w:pStyle w:val="Bibliography"/>
      </w:pPr>
      <w:r>
        <w:t xml:space="preserve">26.</w:t>
      </w:r>
      <w:r>
        <w:t xml:space="preserve"> </w:t>
      </w:r>
      <w:r>
        <w:t xml:space="preserve">	</w:t>
      </w:r>
      <w:r>
        <w:t xml:space="preserve">Grant R, Di Tanna GL.</w:t>
      </w:r>
      <w:r>
        <w:t xml:space="preserve"> </w:t>
      </w:r>
      <w:hyperlink r:id="rId118">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9"/>
    <w:bookmarkStart w:id="121" w:name="X837f91f784566061977da85c17a5755a81dedde"/>
    <w:p>
      <w:pPr>
        <w:pStyle w:val="Bibliography"/>
      </w:pPr>
      <w:r>
        <w:t xml:space="preserve">27.</w:t>
      </w:r>
      <w:r>
        <w:t xml:space="preserve"> </w:t>
      </w:r>
      <w:r>
        <w:t xml:space="preserve">	</w:t>
      </w:r>
      <w:r>
        <w:t xml:space="preserve">Hoekstra R, Morey RD, Rouder JN, Wagenmakers EJ.</w:t>
      </w:r>
      <w:r>
        <w:t xml:space="preserve"> </w:t>
      </w:r>
      <w:hyperlink r:id="rId120">
        <w:r>
          <w:rPr>
            <w:rStyle w:val="Hyperlink"/>
          </w:rPr>
          <w:t xml:space="preserve">Robust misinterpretation of confidence intervals</w:t>
        </w:r>
      </w:hyperlink>
      <w:r>
        <w:t xml:space="preserve">. Psychon Bull Rev. 2014 Oct;21(5):1157–64.</w:t>
      </w:r>
      <w:r>
        <w:t xml:space="preserve"> </w:t>
      </w:r>
    </w:p>
    <w:bookmarkEnd w:id="121"/>
    <w:bookmarkStart w:id="123" w:name="ref-page2021PRISMA2020Statement"/>
    <w:p>
      <w:pPr>
        <w:pStyle w:val="Bibliography"/>
      </w:pPr>
      <w:r>
        <w:t xml:space="preserve">28.</w:t>
      </w:r>
      <w:r>
        <w:t xml:space="preserve"> </w:t>
      </w:r>
      <w:r>
        <w:t xml:space="preserve">	</w:t>
      </w:r>
      <w:r>
        <w:t xml:space="preserve">Page MJ, McKenzie JE, Bossuyt PM, Boutron I, Hoffmann TC, Mulrow CD, et al.</w:t>
      </w:r>
      <w:r>
        <w:t xml:space="preserve"> </w:t>
      </w:r>
      <w:hyperlink r:id="rId122">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23"/>
    <w:bookmarkStart w:id="124" w:name="X5cae6442bbe0e1f5d8df6cd5008aab2dbfb65a6"/>
    <w:p>
      <w:pPr>
        <w:pStyle w:val="Bibliography"/>
      </w:pPr>
      <w:r>
        <w:t xml:space="preserve">29.</w:t>
      </w:r>
      <w:r>
        <w:t xml:space="preserve"> </w:t>
      </w:r>
      <w:r>
        <w:t xml:space="preserve">	</w:t>
      </w:r>
      <w:r>
        <w:t xml:space="preserve">Kruschke JK.</w:t>
      </w:r>
      <w:r>
        <w:t xml:space="preserve"> </w:t>
      </w:r>
      <w:hyperlink r:id="rId23">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4"/>
    <w:bookmarkStart w:id="125" w:name="Xf5486a80753c915bf34b5d8f3ad5e46aac479a7"/>
    <w:p>
      <w:pPr>
        <w:pStyle w:val="Bibliography"/>
      </w:pPr>
      <w:r>
        <w:t xml:space="preserve">30.</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5"/>
    <w:bookmarkStart w:id="127" w:name="ref-plate2024DevelopmentToolRapid"/>
    <w:p>
      <w:pPr>
        <w:pStyle w:val="Bibliography"/>
      </w:pPr>
      <w:r>
        <w:t xml:space="preserve">31.</w:t>
      </w:r>
      <w:r>
        <w:t xml:space="preserve"> </w:t>
      </w:r>
      <w:r>
        <w:t xml:space="preserve">	</w:t>
      </w:r>
      <w:r>
        <w:t xml:space="preserve">Plate K, Knüppel S, Hornbacher A, Greiner M, Müller-Graf C.</w:t>
      </w:r>
      <w:r>
        <w:t xml:space="preserve"> </w:t>
      </w:r>
      <w:hyperlink r:id="rId126">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7"/>
    <w:bookmarkStart w:id="129" w:name="ref-halabicky2023LowLevelLead"/>
    <w:p>
      <w:pPr>
        <w:pStyle w:val="Bibliography"/>
      </w:pPr>
      <w:r>
        <w:t xml:space="preserve">32.</w:t>
      </w:r>
      <w:r>
        <w:t xml:space="preserve"> </w:t>
      </w:r>
      <w:r>
        <w:t xml:space="preserve">	</w:t>
      </w:r>
      <w:r>
        <w:t xml:space="preserve">Halabicky OM, Pinto-Martin JA, Compton P, Liu J.</w:t>
      </w:r>
      <w:r>
        <w:t xml:space="preserve"> </w:t>
      </w:r>
      <w:hyperlink r:id="rId128">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9"/>
    <w:bookmarkStart w:id="131" w:name="ref-chen2005IQBloodLead"/>
    <w:p>
      <w:pPr>
        <w:pStyle w:val="Bibliography"/>
      </w:pPr>
      <w:r>
        <w:t xml:space="preserve">33.</w:t>
      </w:r>
      <w:r>
        <w:t xml:space="preserve"> </w:t>
      </w:r>
      <w:r>
        <w:t xml:space="preserve">	</w:t>
      </w:r>
      <w:r>
        <w:t xml:space="preserve">Chen A, Dietrich KN, Ware JH, Radcliffe J, Rogan WJ.</w:t>
      </w:r>
      <w:r>
        <w:t xml:space="preserve"> </w:t>
      </w:r>
      <w:hyperlink r:id="rId130">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31"/>
    <w:bookmarkStart w:id="133" w:name="Xcf7993c3f58afaabaf73be6238c67f4f63053d9"/>
    <w:p>
      <w:pPr>
        <w:pStyle w:val="Bibliography"/>
      </w:pPr>
      <w:r>
        <w:t xml:space="preserve">34.</w:t>
      </w:r>
      <w:r>
        <w:t xml:space="preserve"> </w:t>
      </w:r>
      <w:r>
        <w:t xml:space="preserve">	</w:t>
      </w:r>
      <w:r>
        <w:t xml:space="preserve">Schnaas L, Rothenberg Stephen J, Flores MF, Martinez S, Hernandez C, Osorio E, et al.</w:t>
      </w:r>
      <w:r>
        <w:t xml:space="preserve"> </w:t>
      </w:r>
      <w:hyperlink r:id="rId132">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33"/>
    <w:bookmarkStart w:id="134" w:name="X4bd034c52731e178b4de125c2c778bdc533803c"/>
    <w:p>
      <w:pPr>
        <w:pStyle w:val="Bibliography"/>
      </w:pPr>
      <w:r>
        <w:t xml:space="preserve">35.</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4"/>
    <w:bookmarkStart w:id="136" w:name="ref-burkner2017BrmsPackageBayesian"/>
    <w:p>
      <w:pPr>
        <w:pStyle w:val="Bibliography"/>
      </w:pPr>
      <w:r>
        <w:t xml:space="preserve">36.</w:t>
      </w:r>
      <w:r>
        <w:t xml:space="preserve"> </w:t>
      </w:r>
      <w:r>
        <w:t xml:space="preserve">	</w:t>
      </w:r>
      <w:r>
        <w:t xml:space="preserve">Bürkner PC.</w:t>
      </w:r>
      <w:r>
        <w:t xml:space="preserve"> </w:t>
      </w:r>
      <w:hyperlink r:id="rId135">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6"/>
    <w:bookmarkStart w:id="138" w:name="ref-hoffman2011NoUTurnSamplerAdaptively"/>
    <w:p>
      <w:pPr>
        <w:pStyle w:val="Bibliography"/>
      </w:pPr>
      <w:r>
        <w:t xml:space="preserve">37.</w:t>
      </w:r>
      <w:r>
        <w:t xml:space="preserve"> </w:t>
      </w:r>
      <w:r>
        <w:t xml:space="preserve">	</w:t>
      </w:r>
      <w:r>
        <w:t xml:space="preserve">Hoffman MD, Gelman A.</w:t>
      </w:r>
      <w:r>
        <w:t xml:space="preserve"> </w:t>
      </w:r>
      <w:hyperlink r:id="rId137">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8"/>
    <w:bookmarkStart w:id="139" w:name="X21bf392f662dc1b38e9a7fa4b314fc7a471696b"/>
    <w:p>
      <w:pPr>
        <w:pStyle w:val="Bibliography"/>
      </w:pPr>
      <w:r>
        <w:t xml:space="preserve">38.</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9"/>
    <w:bookmarkStart w:id="141" w:name="X111bb06244f8f2a1a6d0d2f1f41c24b71f248e6"/>
    <w:p>
      <w:pPr>
        <w:pStyle w:val="Bibliography"/>
      </w:pPr>
      <w:r>
        <w:t xml:space="preserve">39.</w:t>
      </w:r>
      <w:r>
        <w:t xml:space="preserve"> </w:t>
      </w:r>
      <w:r>
        <w:t xml:space="preserve">	</w:t>
      </w:r>
      <w:r>
        <w:t xml:space="preserve">Wolfgang Viechtbauer.</w:t>
      </w:r>
      <w:r>
        <w:t xml:space="preserve"> </w:t>
      </w:r>
      <w:hyperlink r:id="rId140">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41"/>
    <w:bookmarkStart w:id="143" w:name="ref-bauer2020AssociationsMetalMixture"/>
    <w:p>
      <w:pPr>
        <w:pStyle w:val="Bibliography"/>
      </w:pPr>
      <w:r>
        <w:t xml:space="preserve">40.</w:t>
      </w:r>
      <w:r>
        <w:t xml:space="preserve"> </w:t>
      </w:r>
      <w:r>
        <w:t xml:space="preserve">	</w:t>
      </w:r>
      <w:r>
        <w:t xml:space="preserve">Bauer JA, Devick KL, Bobb JF, Coull BA, Bellinger D, Benedetti C, et al.</w:t>
      </w:r>
      <w:r>
        <w:t xml:space="preserve"> </w:t>
      </w:r>
      <w:hyperlink r:id="rId142">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43"/>
    <w:bookmarkStart w:id="145" w:name="ref-dantzer2020ComparisonBloodToenails"/>
    <w:p>
      <w:pPr>
        <w:pStyle w:val="Bibliography"/>
      </w:pPr>
      <w:r>
        <w:t xml:space="preserve">41.</w:t>
      </w:r>
      <w:r>
        <w:t xml:space="preserve"> </w:t>
      </w:r>
      <w:r>
        <w:t xml:space="preserve">	</w:t>
      </w:r>
      <w:r>
        <w:t xml:space="preserve">Dantzer J, Ryan P, Yolton K, Parsons PJ, Palmer CD, Cecil K, et al.</w:t>
      </w:r>
      <w:r>
        <w:t xml:space="preserve"> </w:t>
      </w:r>
      <w:hyperlink r:id="rId144">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5"/>
    <w:bookmarkStart w:id="147" w:name="X6bc65313eadd1b86059eb4ba10c8cf9d91be17d"/>
    <w:p>
      <w:pPr>
        <w:pStyle w:val="Bibliography"/>
      </w:pPr>
      <w:r>
        <w:t xml:space="preserve">42.</w:t>
      </w:r>
      <w:r>
        <w:t xml:space="preserve"> </w:t>
      </w:r>
      <w:r>
        <w:t xml:space="preserve">	</w:t>
      </w:r>
      <w:r>
        <w:t xml:space="preserve">Desrochers-Couture M, Oulhote Y, Arbuckle TE, Fraser WD, Séguin JR, Ouellet E, et al.</w:t>
      </w:r>
      <w:r>
        <w:t xml:space="preserve"> </w:t>
      </w:r>
      <w:hyperlink r:id="rId146">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7"/>
    <w:bookmarkStart w:id="149" w:name="ref-hong2015EnvironmentalLeadExposure"/>
    <w:p>
      <w:pPr>
        <w:pStyle w:val="Bibliography"/>
      </w:pPr>
      <w:r>
        <w:t xml:space="preserve">43.</w:t>
      </w:r>
      <w:r>
        <w:t xml:space="preserve"> </w:t>
      </w:r>
      <w:r>
        <w:t xml:space="preserve">	</w:t>
      </w:r>
      <w:r>
        <w:t xml:space="preserve">Hong SB, Im MH, Kim JW, Park EJ, Shin MS, Kim BN, et al.</w:t>
      </w:r>
      <w:r>
        <w:t xml:space="preserve"> </w:t>
      </w:r>
      <w:hyperlink r:id="rId148">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9"/>
    <w:bookmarkStart w:id="151" w:name="ref-lee2021PrenatalPostnatalExposures"/>
    <w:p>
      <w:pPr>
        <w:pStyle w:val="Bibliography"/>
      </w:pPr>
      <w:r>
        <w:t xml:space="preserve">44.</w:t>
      </w:r>
      <w:r>
        <w:t xml:space="preserve"> </w:t>
      </w:r>
      <w:r>
        <w:t xml:space="preserve">	</w:t>
      </w:r>
      <w:r>
        <w:t xml:space="preserve">Lee KS, Kim KN, Ahn YD, Choi YJ, Cho J, Jang Y, et al.</w:t>
      </w:r>
      <w:r>
        <w:t xml:space="preserve"> </w:t>
      </w:r>
      <w:hyperlink r:id="rId150">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51"/>
    <w:bookmarkStart w:id="152" w:name="X33fe7de6e8b65c86af337dbdb8d7cc8651c48a8"/>
    <w:p>
      <w:pPr>
        <w:pStyle w:val="Bibliography"/>
      </w:pPr>
      <w:r>
        <w:t xml:space="preserve">45.</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52"/>
    <w:bookmarkStart w:id="154" w:name="ref-roy2013EffectModificationTransferrin"/>
    <w:p>
      <w:pPr>
        <w:pStyle w:val="Bibliography"/>
      </w:pPr>
      <w:r>
        <w:t xml:space="preserve">46.</w:t>
      </w:r>
      <w:r>
        <w:t xml:space="preserve"> </w:t>
      </w:r>
      <w:r>
        <w:t xml:space="preserve">	</w:t>
      </w:r>
      <w:r>
        <w:t xml:space="preserve">Roy A, Ettinger AS, Hu H, Bellinger D, Schwartz J, Modali R, et al.</w:t>
      </w:r>
      <w:r>
        <w:t xml:space="preserve"> </w:t>
      </w:r>
      <w:hyperlink r:id="rId153">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54"/>
    <w:bookmarkStart w:id="156" w:name="Xb0421be95a139ca5af39ce6040517bf1be79427"/>
    <w:p>
      <w:pPr>
        <w:pStyle w:val="Bibliography"/>
      </w:pPr>
      <w:r>
        <w:t xml:space="preserve">47.</w:t>
      </w:r>
      <w:r>
        <w:t xml:space="preserve"> </w:t>
      </w:r>
      <w:r>
        <w:t xml:space="preserve">	</w:t>
      </w:r>
      <w:r>
        <w:t xml:space="preserve">Lucchini RG, Zoni S, Guazzetti S, Bontempi E, Micheletti S, Broberg K, et al.</w:t>
      </w:r>
      <w:r>
        <w:t xml:space="preserve"> </w:t>
      </w:r>
      <w:hyperlink r:id="rId155">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6"/>
    <w:bookmarkStart w:id="158" w:name="X716dc31ca13dac7355fea3a0f7dea95779ecabb"/>
    <w:p>
      <w:pPr>
        <w:pStyle w:val="Bibliography"/>
      </w:pPr>
      <w:r>
        <w:t xml:space="preserve">48.</w:t>
      </w:r>
      <w:r>
        <w:t xml:space="preserve"> </w:t>
      </w:r>
      <w:r>
        <w:t xml:space="preserve">	</w:t>
      </w:r>
      <w:r>
        <w:t xml:space="preserve">Lucchini RG, Guazzetti S, Renzetti S, Conversano M, Cagna G, Fedrighi C, et al.</w:t>
      </w:r>
      <w:r>
        <w:t xml:space="preserve"> </w:t>
      </w:r>
      <w:hyperlink r:id="rId157">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8"/>
    <w:bookmarkStart w:id="160" w:name="ref-earl2016LowlevelEnvironmentalLead"/>
    <w:p>
      <w:pPr>
        <w:pStyle w:val="Bibliography"/>
      </w:pPr>
      <w:r>
        <w:t xml:space="preserve">49.</w:t>
      </w:r>
      <w:r>
        <w:t xml:space="preserve"> </w:t>
      </w:r>
      <w:r>
        <w:t xml:space="preserve">	</w:t>
      </w:r>
      <w:r>
        <w:t xml:space="preserve">Earl R, Burns N, Nettelbeck T, Baghurst P.</w:t>
      </w:r>
      <w:r>
        <w:t xml:space="preserve"> </w:t>
      </w:r>
      <w:hyperlink r:id="rId159">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60"/>
    <w:bookmarkStart w:id="162" w:name="ref-smith2018StepAwayStepwise"/>
    <w:p>
      <w:pPr>
        <w:pStyle w:val="Bibliography"/>
      </w:pPr>
      <w:r>
        <w:t xml:space="preserve">50.</w:t>
      </w:r>
      <w:r>
        <w:t xml:space="preserve"> </w:t>
      </w:r>
      <w:r>
        <w:t xml:space="preserve">	</w:t>
      </w:r>
      <w:r>
        <w:t xml:space="preserve">Smith G.</w:t>
      </w:r>
      <w:r>
        <w:t xml:space="preserve"> </w:t>
      </w:r>
      <w:hyperlink r:id="rId161">
        <w:r>
          <w:rPr>
            <w:rStyle w:val="Hyperlink"/>
          </w:rPr>
          <w:t xml:space="preserve">Step away from stepwise</w:t>
        </w:r>
      </w:hyperlink>
      <w:r>
        <w:t xml:space="preserve">. J Big Data. 2018 Dec;5(1):32.</w:t>
      </w:r>
      <w:r>
        <w:t xml:space="preserve"> </w:t>
      </w:r>
    </w:p>
    <w:bookmarkEnd w:id="162"/>
    <w:bookmarkStart w:id="164" w:name="ref-goodman2023SexDifferencePre"/>
    <w:p>
      <w:pPr>
        <w:pStyle w:val="Bibliography"/>
      </w:pPr>
      <w:r>
        <w:t xml:space="preserve">51.</w:t>
      </w:r>
      <w:r>
        <w:t xml:space="preserve"> </w:t>
      </w:r>
      <w:r>
        <w:t xml:space="preserve">	</w:t>
      </w:r>
      <w:r>
        <w:t xml:space="preserve">Goodman CV, Green R, DaCosta A, Flora D, Lanphear B, Till C.</w:t>
      </w:r>
      <w:r>
        <w:t xml:space="preserve"> </w:t>
      </w:r>
      <w:hyperlink r:id="rId163">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64"/>
    <w:bookmarkStart w:id="166" w:name="ref-pocock1994EnvironmentalLeadChildrens"/>
    <w:p>
      <w:pPr>
        <w:pStyle w:val="Bibliography"/>
      </w:pPr>
      <w:r>
        <w:t xml:space="preserve">52.</w:t>
      </w:r>
      <w:r>
        <w:t xml:space="preserve"> </w:t>
      </w:r>
      <w:r>
        <w:t xml:space="preserve">	</w:t>
      </w:r>
      <w:r>
        <w:t xml:space="preserve">Pocock SJ, Smith M, Baghurst P.</w:t>
      </w:r>
      <w:r>
        <w:t xml:space="preserve"> </w:t>
      </w:r>
      <w:hyperlink r:id="rId165">
        <w:r>
          <w:rPr>
            <w:rStyle w:val="Hyperlink"/>
          </w:rPr>
          <w:t xml:space="preserve">Environmental lead and children’s intelligence: A systematic review of the epidemiological evidence</w:t>
        </w:r>
      </w:hyperlink>
      <w:r>
        <w:t xml:space="preserve">. BMJ. 1994 Nov;309(6963):1189–97.</w:t>
      </w:r>
      <w:r>
        <w:t xml:space="preserve"> </w:t>
      </w:r>
    </w:p>
    <w:bookmarkEnd w:id="166"/>
    <w:bookmarkStart w:id="168" w:name="ref-heidari2022EffectLeadExposurea"/>
    <w:p>
      <w:pPr>
        <w:pStyle w:val="Bibliography"/>
      </w:pPr>
      <w:r>
        <w:t xml:space="preserve">53.</w:t>
      </w:r>
      <w:r>
        <w:t xml:space="preserve"> </w:t>
      </w:r>
      <w:r>
        <w:t xml:space="preserve">	</w:t>
      </w:r>
      <w:r>
        <w:t xml:space="preserve">Heidari S, Mostafaei S, Razazian N, Rajati M, Saeedi A, Rajati F.</w:t>
      </w:r>
      <w:r>
        <w:t xml:space="preserve"> </w:t>
      </w:r>
      <w:hyperlink r:id="rId167">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68"/>
    <w:bookmarkStart w:id="170" w:name="X99fa6bd9cd2521340285769f289a6c9d4bfe17b"/>
    <w:p>
      <w:pPr>
        <w:pStyle w:val="Bibliography"/>
      </w:pPr>
      <w:r>
        <w:t xml:space="preserve">54.</w:t>
      </w:r>
      <w:r>
        <w:t xml:space="preserve"> </w:t>
      </w:r>
      <w:r>
        <w:t xml:space="preserve">	</w:t>
      </w:r>
      <w:r>
        <w:t xml:space="preserve">Thompson B.</w:t>
      </w:r>
      <w:r>
        <w:t xml:space="preserve"> </w:t>
      </w:r>
      <w:hyperlink r:id="rId169">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70"/>
    <w:bookmarkStart w:id="172" w:name="Xec30ec7c912152a14c0f622040312567154bf15"/>
    <w:p>
      <w:pPr>
        <w:pStyle w:val="Bibliography"/>
      </w:pPr>
      <w:r>
        <w:t xml:space="preserve">55.</w:t>
      </w:r>
      <w:r>
        <w:t xml:space="preserve"> </w:t>
      </w:r>
      <w:r>
        <w:t xml:space="preserve">	</w:t>
      </w:r>
      <w:r>
        <w:t xml:space="preserve">Harrell FE.</w:t>
      </w:r>
      <w:r>
        <w:t xml:space="preserve"> </w:t>
      </w:r>
      <w:hyperlink r:id="rId171">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72"/>
    <w:bookmarkStart w:id="174" w:name="ref-gelman2013BayesianDataAnalysis"/>
    <w:p>
      <w:pPr>
        <w:pStyle w:val="Bibliography"/>
      </w:pPr>
      <w:r>
        <w:t xml:space="preserve">56.</w:t>
      </w:r>
      <w:r>
        <w:t xml:space="preserve"> </w:t>
      </w:r>
      <w:r>
        <w:t xml:space="preserve">	</w:t>
      </w:r>
      <w:r>
        <w:t xml:space="preserve">Gelman A, Carlin JB, Stern HS, Dunson DB, Vehtari A, Rubin DB.</w:t>
      </w:r>
      <w:r>
        <w:t xml:space="preserve"> </w:t>
      </w:r>
      <w:hyperlink r:id="rId173">
        <w:r>
          <w:rPr>
            <w:rStyle w:val="Hyperlink"/>
          </w:rPr>
          <w:t xml:space="preserve">Bayesian</w:t>
        </w:r>
        <w:r>
          <w:rPr>
            <w:rStyle w:val="Hyperlink"/>
          </w:rPr>
          <w:t xml:space="preserve"> </w:t>
        </w:r>
        <w:r>
          <w:rPr>
            <w:rStyle w:val="Hyperlink"/>
          </w:rPr>
          <w:t xml:space="preserve">Data Analysis</w:t>
        </w:r>
      </w:hyperlink>
      <w:r>
        <w:t xml:space="preserve">. 0th ed.</w:t>
      </w:r>
      <w:r>
        <w:t xml:space="preserve"> </w:t>
      </w:r>
      <w:r>
        <w:t xml:space="preserve">Chapman and Hall/CRC</w:t>
      </w:r>
      <w:r>
        <w:t xml:space="preserve">; 2013.</w:t>
      </w:r>
      <w:r>
        <w:t xml:space="preserve"> </w:t>
      </w:r>
    </w:p>
    <w:bookmarkEnd w:id="174"/>
    <w:bookmarkStart w:id="176" w:name="ref-gelman2020BayesianWorkflow"/>
    <w:p>
      <w:pPr>
        <w:pStyle w:val="Bibliography"/>
      </w:pPr>
      <w:r>
        <w:t xml:space="preserve">57.</w:t>
      </w:r>
      <w:r>
        <w:t xml:space="preserve"> </w:t>
      </w:r>
      <w:r>
        <w:t xml:space="preserve">	</w:t>
      </w:r>
      <w:r>
        <w:t xml:space="preserve">Gelman A, Vehtari A, Simpson D, Margossian CC, Carpenter B, Yao Y, et al.</w:t>
      </w:r>
      <w:r>
        <w:t xml:space="preserve"> </w:t>
      </w:r>
      <w:hyperlink r:id="rId175">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76"/>
    <w:bookmarkStart w:id="177" w:name="Xd915bcb040430c17655975a5ceb4d7b4bdd04ac"/>
    <w:p>
      <w:pPr>
        <w:pStyle w:val="Bibliography"/>
      </w:pPr>
      <w:r>
        <w:t xml:space="preserve">58.</w:t>
      </w:r>
      <w:r>
        <w:t xml:space="preserve"> </w:t>
      </w:r>
      <w:r>
        <w:t xml:space="preserve">	</w:t>
      </w:r>
      <w:r>
        <w:t xml:space="preserve">Prüss-Üstün A, Mathers C, Corvalán C, Woodward A. Assessing the environmental burden of disease at national and local levels: Introduction and methods. Environmental burden of disease series. 2003;(1).</w:t>
      </w:r>
      <w:r>
        <w:t xml:space="preserve"> </w:t>
      </w:r>
    </w:p>
    <w:bookmarkEnd w:id="177"/>
    <w:bookmarkStart w:id="179" w:name="ref-kazi2026PvaluesBayesFactor"/>
    <w:p>
      <w:pPr>
        <w:pStyle w:val="Bibliography"/>
      </w:pPr>
      <w:r>
        <w:t xml:space="preserve">59.</w:t>
      </w:r>
      <w:r>
        <w:t xml:space="preserve"> </w:t>
      </w:r>
      <w:r>
        <w:t xml:space="preserve">	</w:t>
      </w:r>
      <w:r>
        <w:t xml:space="preserve">Kazi M.</w:t>
      </w:r>
      <w:r>
        <w:t xml:space="preserve"> </w:t>
      </w:r>
      <w:hyperlink r:id="rId178">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79"/>
    <w:bookmarkStart w:id="181" w:name="X946754e67e3c74fad7a8806aa9d2819ed4ec186"/>
    <w:p>
      <w:pPr>
        <w:pStyle w:val="Bibliography"/>
      </w:pPr>
      <w:r>
        <w:t xml:space="preserve">60.</w:t>
      </w:r>
      <w:r>
        <w:t xml:space="preserve"> </w:t>
      </w:r>
      <w:r>
        <w:t xml:space="preserve">	</w:t>
      </w:r>
      <w:r>
        <w:t xml:space="preserve">Yao M, Deng K, Wang Y, Mei F, Zou K, Li L, et al.</w:t>
      </w:r>
      <w:r>
        <w:t xml:space="preserve"> </w:t>
      </w:r>
      <w:hyperlink r:id="rId180">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81"/>
    <w:bookmarkStart w:id="183" w:name="ref-ciyer2025BayesianMetaanalysis21st"/>
    <w:p>
      <w:pPr>
        <w:pStyle w:val="Bibliography"/>
      </w:pPr>
      <w:r>
        <w:t xml:space="preserve">61.</w:t>
      </w:r>
      <w:r>
        <w:t xml:space="preserve"> </w:t>
      </w:r>
      <w:r>
        <w:t xml:space="preserve">	</w:t>
      </w:r>
      <w:r>
        <w:t xml:space="preserve">C Iyer S, Yap QV, Soong J, Cove M.</w:t>
      </w:r>
      <w:r>
        <w:t xml:space="preserve"> </w:t>
      </w:r>
      <w:hyperlink r:id="rId182">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83"/>
    <w:bookmarkStart w:id="185" w:name="ref-hong2013ComparingBayesianFrequentist"/>
    <w:p>
      <w:pPr>
        <w:pStyle w:val="Bibliography"/>
      </w:pPr>
      <w:r>
        <w:t xml:space="preserve">62.</w:t>
      </w:r>
      <w:r>
        <w:t xml:space="preserve"> </w:t>
      </w:r>
      <w:r>
        <w:t xml:space="preserve">	</w:t>
      </w:r>
      <w:r>
        <w:t xml:space="preserve">Hong H, Carlin BP, Shamliyan TA, Wyman JF, Ramakrishnan R, Sainfort F, et al.</w:t>
      </w:r>
      <w:r>
        <w:t xml:space="preserve"> </w:t>
      </w:r>
      <w:hyperlink r:id="rId184">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85"/>
    <w:bookmarkStart w:id="187" w:name="ref-sadeghirad2023TheoryPracticeBayesian"/>
    <w:p>
      <w:pPr>
        <w:pStyle w:val="Bibliography"/>
      </w:pPr>
      <w:r>
        <w:t xml:space="preserve">63.</w:t>
      </w:r>
      <w:r>
        <w:t xml:space="preserve"> </w:t>
      </w:r>
      <w:r>
        <w:t xml:space="preserve">	</w:t>
      </w:r>
      <w:r>
        <w:t xml:space="preserve">Sadeghirad B, Foroutan F, Zoratti MJ, Busse JW, Brignardello-Petersen R, Guyatt G, et al.</w:t>
      </w:r>
      <w:r>
        <w:t xml:space="preserve"> </w:t>
      </w:r>
      <w:hyperlink r:id="rId186">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87"/>
    <w:bookmarkStart w:id="189" w:name="X55ae1a8b757df519e0a47e2002b3acc0b2e73ec"/>
    <w:p>
      <w:pPr>
        <w:pStyle w:val="Bibliography"/>
      </w:pPr>
      <w:r>
        <w:t xml:space="preserve">64.</w:t>
      </w:r>
      <w:r>
        <w:t xml:space="preserve"> </w:t>
      </w:r>
      <w:r>
        <w:t xml:space="preserve">	</w:t>
      </w:r>
      <w:r>
        <w:t xml:space="preserve">Seide SE, Jensen K, Kieser M.</w:t>
      </w:r>
      <w:r>
        <w:t xml:space="preserve"> </w:t>
      </w:r>
      <w:hyperlink r:id="rId188">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89"/>
    <w:bookmarkEnd w:id="190"/>
    <w:bookmarkEnd w:id="191"/>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2"/>
  </w:num>
  <w:num w:numId="1013">
    <w:abstractNumId w:val="992"/>
  </w:num>
  <w:num w:numId="1014">
    <w:abstractNumId w:val="991"/>
  </w:num>
  <w:num w:numId="1015">
    <w:abstractNumId w:val="991"/>
  </w:num>
  <w:num w:numId="1016">
    <w:abstractNumId w:val="991"/>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45" Target="media/rId45.png" /><Relationship Type="http://schemas.openxmlformats.org/officeDocument/2006/relationships/hyperlink" Id="rId94" Target="https://doi.org/10.1001/jama.1990.03440050067035" TargetMode="External" /><Relationship Type="http://schemas.openxmlformats.org/officeDocument/2006/relationships/hyperlink" Id="rId188" Target="https://doi.org/10.1002/jrsm.1397" TargetMode="External" /><Relationship Type="http://schemas.openxmlformats.org/officeDocument/2006/relationships/hyperlink" Id="rId104"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8" Target="https://doi.org/10.1007/s11121-023-01601-6" TargetMode="External" /><Relationship Type="http://schemas.openxmlformats.org/officeDocument/2006/relationships/hyperlink" Id="rId74" Target="https://doi.org/10.1007/s12403-023-00535-2" TargetMode="External" /><Relationship Type="http://schemas.openxmlformats.org/officeDocument/2006/relationships/hyperlink" Id="rId178" Target="https://doi.org/10.1007/s13193-025-02314-8" TargetMode="External" /><Relationship Type="http://schemas.openxmlformats.org/officeDocument/2006/relationships/hyperlink" Id="rId76" Target="https://doi.org/10.1016/S0140-6736(24)00933-4" TargetMode="External" /><Relationship Type="http://schemas.openxmlformats.org/officeDocument/2006/relationships/hyperlink" Id="rId84" Target="https://doi.org/10.1016/S2468-2667(18)30025-2" TargetMode="External" /><Relationship Type="http://schemas.openxmlformats.org/officeDocument/2006/relationships/hyperlink" Id="rId100" Target="https://doi.org/10.1016/S2542-5196(23)00166-3" TargetMode="External" /><Relationship Type="http://schemas.openxmlformats.org/officeDocument/2006/relationships/hyperlink" Id="rId70" Target="https://doi.org/10.1016/j.chemosphere.2023.138207" TargetMode="External" /><Relationship Type="http://schemas.openxmlformats.org/officeDocument/2006/relationships/hyperlink" Id="rId80"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90" Target="https://doi.org/10.1016/j.envint.2025.109786" TargetMode="External" /><Relationship Type="http://schemas.openxmlformats.org/officeDocument/2006/relationships/hyperlink" Id="rId86"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8" Target="https://doi.org/10.1016/j.envres.2019.02.023" TargetMode="External" /><Relationship Type="http://schemas.openxmlformats.org/officeDocument/2006/relationships/hyperlink" Id="rId110"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23" Target="https://doi.org/10.1038/s41562-021-01177-7" TargetMode="External" /><Relationship Type="http://schemas.openxmlformats.org/officeDocument/2006/relationships/hyperlink" Id="rId68" Target="https://doi.org/10.1038/s41598-025-17943-w" TargetMode="External" /><Relationship Type="http://schemas.openxmlformats.org/officeDocument/2006/relationships/hyperlink" Id="rId78" Target="https://doi.org/10.1053/j.ajkd.2018.02.358" TargetMode="External" /><Relationship Type="http://schemas.openxmlformats.org/officeDocument/2006/relationships/hyperlink" Id="rId92" Target="https://doi.org/10.1056/NEJM199210293271805" TargetMode="External" /><Relationship Type="http://schemas.openxmlformats.org/officeDocument/2006/relationships/hyperlink" Id="rId106" Target="https://doi.org/10.1056/NEJMoa022848" TargetMode="External" /><Relationship Type="http://schemas.openxmlformats.org/officeDocument/2006/relationships/hyperlink" Id="rId112"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2" Target="https://doi.org/10.1136/bmj.n71" TargetMode="External" /><Relationship Type="http://schemas.openxmlformats.org/officeDocument/2006/relationships/hyperlink" Id="rId186" Target="https://doi.org/10.1136/bmjebm-2022-111928" TargetMode="External" /><Relationship Type="http://schemas.openxmlformats.org/officeDocument/2006/relationships/hyperlink" Id="rId82"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84" Target="https://doi.org/10.1177/0272989X13481110" TargetMode="External" /><Relationship Type="http://schemas.openxmlformats.org/officeDocument/2006/relationships/hyperlink" Id="rId180" Target="https://doi.org/10.1186/s12874-025-02664-5"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8" Target="https://doi.org/10.1201/9781003375821" TargetMode="External" /><Relationship Type="http://schemas.openxmlformats.org/officeDocument/2006/relationships/hyperlink" Id="rId173" Target="https://doi.org/10.1201/b16018" TargetMode="External" /><Relationship Type="http://schemas.openxmlformats.org/officeDocument/2006/relationships/hyperlink" Id="rId116"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6"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2" Target="https://doi.org/10.2903/j.efsa.2010.1570" TargetMode="External" /><Relationship Type="http://schemas.openxmlformats.org/officeDocument/2006/relationships/hyperlink" Id="rId72"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4" Target="https://doi.org/10.3109/10408444.2013.832726" TargetMode="External" /><Relationship Type="http://schemas.openxmlformats.org/officeDocument/2006/relationships/hyperlink" Id="rId120" Target="https://doi.org/10.3758/s13423-013-0572-3" TargetMode="External" /><Relationship Type="http://schemas.openxmlformats.org/officeDocument/2006/relationships/hyperlink" Id="rId182" Target="https://doi.org/10.47102/annals-acadmedsg.2025104" TargetMode="External" /><Relationship Type="http://schemas.openxmlformats.org/officeDocument/2006/relationships/hyperlink" Id="rId137" Target="https://doi.org/10.48550/ARXIV.1111.4246" TargetMode="External" /><Relationship Type="http://schemas.openxmlformats.org/officeDocument/2006/relationships/hyperlink" Id="rId175" Target="https://doi.org/10.48550/ARXIV.2011.01808"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8" Target="https://doi.org/doi:10.1289/ehp.7688" TargetMode="External" /><Relationship Type="http://schemas.openxmlformats.org/officeDocument/2006/relationships/hyperlink" Id="rId24" Target="https://efsa.onlinelibrary.wiley.com/doi/10.2903/sp.efsa.2024.EN-8925" TargetMode="External" /><Relationship Type="http://schemas.openxmlformats.org/officeDocument/2006/relationships/hyperlink" Id="rId34" Target="https://github.com/PaulinaSell/lead-IQ_meta-analysis" TargetMode="External" /><Relationship Type="http://schemas.openxmlformats.org/officeDocument/2006/relationships/hyperlink" Id="rId27"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9"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1/jama.1990.03440050067035" TargetMode="External" /><Relationship Type="http://schemas.openxmlformats.org/officeDocument/2006/relationships/hyperlink" Id="rId188" Target="https://doi.org/10.1002/jrsm.1397" TargetMode="External" /><Relationship Type="http://schemas.openxmlformats.org/officeDocument/2006/relationships/hyperlink" Id="rId104" Target="https://doi.org/10.1006/enrs.1994.1020" TargetMode="External" /><Relationship Type="http://schemas.openxmlformats.org/officeDocument/2006/relationships/hyperlink" Id="rId171" Target="https://doi.org/10.1007/978-3-319-19425-7" TargetMode="External" /><Relationship Type="http://schemas.openxmlformats.org/officeDocument/2006/relationships/hyperlink" Id="rId88" Target="https://doi.org/10.1007/s11121-023-01601-6" TargetMode="External" /><Relationship Type="http://schemas.openxmlformats.org/officeDocument/2006/relationships/hyperlink" Id="rId74" Target="https://doi.org/10.1007/s12403-023-00535-2" TargetMode="External" /><Relationship Type="http://schemas.openxmlformats.org/officeDocument/2006/relationships/hyperlink" Id="rId178" Target="https://doi.org/10.1007/s13193-025-02314-8" TargetMode="External" /><Relationship Type="http://schemas.openxmlformats.org/officeDocument/2006/relationships/hyperlink" Id="rId76" Target="https://doi.org/10.1016/S0140-6736(24)00933-4" TargetMode="External" /><Relationship Type="http://schemas.openxmlformats.org/officeDocument/2006/relationships/hyperlink" Id="rId84" Target="https://doi.org/10.1016/S2468-2667(18)30025-2" TargetMode="External" /><Relationship Type="http://schemas.openxmlformats.org/officeDocument/2006/relationships/hyperlink" Id="rId100" Target="https://doi.org/10.1016/S2542-5196(23)00166-3" TargetMode="External" /><Relationship Type="http://schemas.openxmlformats.org/officeDocument/2006/relationships/hyperlink" Id="rId70" Target="https://doi.org/10.1016/j.chemosphere.2023.138207" TargetMode="External" /><Relationship Type="http://schemas.openxmlformats.org/officeDocument/2006/relationships/hyperlink" Id="rId80"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50" Target="https://doi.org/10.1016/j.envint.2021.106798" TargetMode="External" /><Relationship Type="http://schemas.openxmlformats.org/officeDocument/2006/relationships/hyperlink" Id="rId90" Target="https://doi.org/10.1016/j.envint.2025.109786" TargetMode="External" /><Relationship Type="http://schemas.openxmlformats.org/officeDocument/2006/relationships/hyperlink" Id="rId86" Target="https://doi.org/10.1016/j.envres.2005.10.004" TargetMode="External" /><Relationship Type="http://schemas.openxmlformats.org/officeDocument/2006/relationships/hyperlink" Id="rId155" Target="https://doi.org/10.1016/j.envres.2012.08.003" TargetMode="External" /><Relationship Type="http://schemas.openxmlformats.org/officeDocument/2006/relationships/hyperlink" Id="rId108" Target="https://doi.org/10.1016/j.envres.2019.02.023" TargetMode="External" /><Relationship Type="http://schemas.openxmlformats.org/officeDocument/2006/relationships/hyperlink" Id="rId110" Target="https://doi.org/10.1016/j.envres.2024.120013" TargetMode="External" /><Relationship Type="http://schemas.openxmlformats.org/officeDocument/2006/relationships/hyperlink" Id="rId153"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28" Target="https://doi.org/10.1038/s41370-022-00450-9" TargetMode="External" /><Relationship Type="http://schemas.openxmlformats.org/officeDocument/2006/relationships/hyperlink" Id="rId23" Target="https://doi.org/10.1038/s41562-021-01177-7" TargetMode="External" /><Relationship Type="http://schemas.openxmlformats.org/officeDocument/2006/relationships/hyperlink" Id="rId68" Target="https://doi.org/10.1038/s41598-025-17943-w" TargetMode="External" /><Relationship Type="http://schemas.openxmlformats.org/officeDocument/2006/relationships/hyperlink" Id="rId78" Target="https://doi.org/10.1053/j.ajkd.2018.02.358" TargetMode="External" /><Relationship Type="http://schemas.openxmlformats.org/officeDocument/2006/relationships/hyperlink" Id="rId92" Target="https://doi.org/10.1056/NEJM199210293271805" TargetMode="External" /><Relationship Type="http://schemas.openxmlformats.org/officeDocument/2006/relationships/hyperlink" Id="rId106" Target="https://doi.org/10.1056/NEJMoa022848" TargetMode="External" /><Relationship Type="http://schemas.openxmlformats.org/officeDocument/2006/relationships/hyperlink" Id="rId112" Target="https://doi.org/10.1073/pnas.2118631119" TargetMode="External" /><Relationship Type="http://schemas.openxmlformats.org/officeDocument/2006/relationships/hyperlink" Id="rId159" Target="https://doi.org/10.1111/ajpy.12096" TargetMode="External" /><Relationship Type="http://schemas.openxmlformats.org/officeDocument/2006/relationships/hyperlink" Id="rId165" Target="https://doi.org/10.1136/bmj.309.6963.1189" TargetMode="External" /><Relationship Type="http://schemas.openxmlformats.org/officeDocument/2006/relationships/hyperlink" Id="rId122" Target="https://doi.org/10.1136/bmj.n71" TargetMode="External" /><Relationship Type="http://schemas.openxmlformats.org/officeDocument/2006/relationships/hyperlink" Id="rId186" Target="https://doi.org/10.1136/bmjebm-2022-111928" TargetMode="External" /><Relationship Type="http://schemas.openxmlformats.org/officeDocument/2006/relationships/hyperlink" Id="rId82" Target="https://doi.org/10.1161/JAHA.124.037633" TargetMode="External" /><Relationship Type="http://schemas.openxmlformats.org/officeDocument/2006/relationships/hyperlink" Id="rId169" Target="https://doi.org/10.1177/0013164495055004001" TargetMode="External" /><Relationship Type="http://schemas.openxmlformats.org/officeDocument/2006/relationships/hyperlink" Id="rId184" Target="https://doi.org/10.1177/0272989X13481110" TargetMode="External" /><Relationship Type="http://schemas.openxmlformats.org/officeDocument/2006/relationships/hyperlink" Id="rId180" Target="https://doi.org/10.1186/s12874-025-02664-5" TargetMode="External" /><Relationship Type="http://schemas.openxmlformats.org/officeDocument/2006/relationships/hyperlink" Id="rId157" Target="https://doi.org/10.1186/s12940-019-0505-3" TargetMode="External" /><Relationship Type="http://schemas.openxmlformats.org/officeDocument/2006/relationships/hyperlink" Id="rId163" Target="https://doi.org/10.1186/s12940-023-01029-z" TargetMode="External" /><Relationship Type="http://schemas.openxmlformats.org/officeDocument/2006/relationships/hyperlink" Id="rId167"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118" Target="https://doi.org/10.1201/9781003375821" TargetMode="External" /><Relationship Type="http://schemas.openxmlformats.org/officeDocument/2006/relationships/hyperlink" Id="rId173" Target="https://doi.org/10.1201/b16018" TargetMode="External" /><Relationship Type="http://schemas.openxmlformats.org/officeDocument/2006/relationships/hyperlink" Id="rId116" Target="https://doi.org/10.1289/EHP5685" TargetMode="External" /><Relationship Type="http://schemas.openxmlformats.org/officeDocument/2006/relationships/hyperlink" Id="rId132" Target="https://doi.org/10.1289/ehp.8552" TargetMode="External" /><Relationship Type="http://schemas.openxmlformats.org/officeDocument/2006/relationships/hyperlink" Id="rId96" Target="https://doi.org/10.1542/peds.90.6.855" TargetMode="External" /><Relationship Type="http://schemas.openxmlformats.org/officeDocument/2006/relationships/hyperlink" Id="rId140" Target="https://doi.org/10.18637/jss.v036.i03" TargetMode="External" /><Relationship Type="http://schemas.openxmlformats.org/officeDocument/2006/relationships/hyperlink" Id="rId135" Target="https://doi.org/10.18637/jss.v080.i01" TargetMode="External" /><Relationship Type="http://schemas.openxmlformats.org/officeDocument/2006/relationships/hyperlink" Id="rId102" Target="https://doi.org/10.2903/j.efsa.2010.1570" TargetMode="External" /><Relationship Type="http://schemas.openxmlformats.org/officeDocument/2006/relationships/hyperlink" Id="rId72" Target="https://doi.org/10.2903/j.efsa.2012.2831" TargetMode="External" /><Relationship Type="http://schemas.openxmlformats.org/officeDocument/2006/relationships/hyperlink" Id="rId126" Target="https://doi.org/10.2903/sp.efsa.2024.EN-8925" TargetMode="External" /><Relationship Type="http://schemas.openxmlformats.org/officeDocument/2006/relationships/hyperlink" Id="rId114" Target="https://doi.org/10.3109/10408444.2013.832726" TargetMode="External" /><Relationship Type="http://schemas.openxmlformats.org/officeDocument/2006/relationships/hyperlink" Id="rId120" Target="https://doi.org/10.3758/s13423-013-0572-3" TargetMode="External" /><Relationship Type="http://schemas.openxmlformats.org/officeDocument/2006/relationships/hyperlink" Id="rId182" Target="https://doi.org/10.47102/annals-acadmedsg.2025104" TargetMode="External" /><Relationship Type="http://schemas.openxmlformats.org/officeDocument/2006/relationships/hyperlink" Id="rId137" Target="https://doi.org/10.48550/ARXIV.1111.4246" TargetMode="External" /><Relationship Type="http://schemas.openxmlformats.org/officeDocument/2006/relationships/hyperlink" Id="rId175" Target="https://doi.org/10.48550/ARXIV.2011.01808" TargetMode="External" /><Relationship Type="http://schemas.openxmlformats.org/officeDocument/2006/relationships/hyperlink" Id="rId142" Target="https://doi.org/doi:10.1289/EHP6803" TargetMode="External" /><Relationship Type="http://schemas.openxmlformats.org/officeDocument/2006/relationships/hyperlink" Id="rId148" Target="https://doi.org/doi:10.1289/ehp.1307420" TargetMode="External" /><Relationship Type="http://schemas.openxmlformats.org/officeDocument/2006/relationships/hyperlink" Id="rId130" Target="https://doi.org/doi:10.1289/ehp.7625" TargetMode="External" /><Relationship Type="http://schemas.openxmlformats.org/officeDocument/2006/relationships/hyperlink" Id="rId98" Target="https://doi.org/doi:10.1289/ehp.7688" TargetMode="External" /><Relationship Type="http://schemas.openxmlformats.org/officeDocument/2006/relationships/hyperlink" Id="rId24" Target="https://efsa.onlinelibrary.wiley.com/doi/10.2903/sp.efsa.2024.EN-8925" TargetMode="External" /><Relationship Type="http://schemas.openxmlformats.org/officeDocument/2006/relationships/hyperlink" Id="rId34" Target="https://github.com/PaulinaSell/lead-IQ_meta-analysis" TargetMode="External" /><Relationship Type="http://schemas.openxmlformats.org/officeDocument/2006/relationships/hyperlink" Id="rId27"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9"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methodological comparison of Bayesian and frequentist meta-analyses of epidemiological studies on lead exposure and children’s intelligence quotient</dc:title>
  <dc:creator>Paulina Sell1,✉, Margaux Sanchez2, Philippe Palmont2, and Dietrich Plass1</dc:creator>
  <cp:keywords/>
  <dcterms:created xsi:type="dcterms:W3CDTF">2026-03-02T14:10:24Z</dcterms:created>
  <dcterms:modified xsi:type="dcterms:W3CDTF">2026-03-02T14:10:24Z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