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Lead Exposure and IQ Loss: Comparison of a Bayesian vs. Frequentist Meta Analysis Approach</w:t>
      </w:r>
    </w:p>
    <w:p>
      <w:pPr>
        <w:pStyle w:val="Author"/>
        <w:rPr/>
      </w:pPr>
      <w:r>
        <w:rPr/>
        <w:t>Paulina Sell</w:t>
      </w:r>
    </w:p>
    <w:p>
      <w:pPr>
        <w:pStyle w:val="Author"/>
        <w:rPr/>
      </w:pPr>
      <w:r>
        <w:rPr/>
        <w:t>Dietrich Plass</w:t>
      </w:r>
    </w:p>
    <w:p>
      <w:pPr>
        <w:pStyle w:val="Author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keepNext w:val="true"/>
            <w:keepLines/>
            <w:widowControl/>
            <w:suppressAutoHyphens w:val="true"/>
            <w:bidi w:val="0"/>
            <w:spacing w:before="360" w:after="80"/>
            <w:jc w:val="left"/>
            <w:rPr>
              <w:rFonts w:ascii="Helvetica Neue" w:hAnsi="Helvetica Neue" w:eastAsia="Helvetica Neue" w:cs="Helvetica Neue"/>
              <w:color w:val="000000"/>
              <w:kern w:val="0"/>
              <w:sz w:val="40"/>
              <w:szCs w:val="40"/>
              <w:u w:val="none" w:color="0F4761"/>
              <w:lang w:val="en-US" w:eastAsia="de-DE" w:bidi="ar-SA"/>
              <w14:textOutline w14:w="12700" w14:cap="flat" w14:cmpd="sng" w14:algn="ctr">
                <w14:noFill/>
                <w14:prstDash w14:val="solid"/>
                <w14:miter w14:lim="400000"/>
              </w14:textOutline>
            </w:rPr>
          </w:pPr>
          <w:r>
            <w:rPr>
              <w:rFonts w:eastAsia="Helvetica Neue" w:cs="Helvetica Neue"/>
              <w:color w:val="000000"/>
              <w:kern w:val="0"/>
              <w:sz w:val="40"/>
              <w:szCs w:val="40"/>
              <w:u w:val="none" w:color="0F4761"/>
              <w:lang w:val="en-US" w:eastAsia="de-DE" w:bidi="ar-SA"/>
              <w14:textOutline w14:w="12700" w14:cap="flat" w14:cmpd="sng" w14:algn="ctr">
                <w14:noFill/>
                <w14:prstDash w14:val="solid"/>
                <w14:miter w14:lim="400000"/>
              </w14:textOutline>
            </w:rPr>
            <w:t>Table of Contents</w:t>
          </w:r>
        </w:p>
        <w:p>
          <w:pPr>
            <w:pStyle w:val="TOC1"/>
            <w:tabs>
              <w:tab w:val="clear" w:pos="9071"/>
              <w:tab w:val="right" w:pos="9360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775_2418243788">
            <w:r>
              <w:rPr>
                <w:rStyle w:val="IndexLink"/>
              </w:rPr>
              <w:t>Table of contents</w:t>
              <w:tab/>
              <w:t>1</w:t>
            </w:r>
          </w:hyperlink>
        </w:p>
        <w:p>
          <w:pPr>
            <w:pStyle w:val="TOC1"/>
            <w:tabs>
              <w:tab w:val="clear" w:pos="9071"/>
              <w:tab w:val="right" w:pos="9360" w:leader="dot"/>
            </w:tabs>
            <w:rPr/>
          </w:pPr>
          <w:hyperlink w:anchor="__RefHeading___Toc1777_2418243788">
            <w:r>
              <w:rPr>
                <w:rStyle w:val="IndexLink"/>
              </w:rPr>
              <w:t>Notes</w:t>
              <w:tab/>
              <w:t>2</w:t>
            </w:r>
          </w:hyperlink>
        </w:p>
        <w:p>
          <w:pPr>
            <w:pStyle w:val="TOC1"/>
            <w:tabs>
              <w:tab w:val="clear" w:pos="9071"/>
              <w:tab w:val="right" w:pos="9360" w:leader="dot"/>
            </w:tabs>
            <w:rPr/>
          </w:pPr>
          <w:hyperlink w:anchor="__RefHeading___Toc1779_2418243788">
            <w:r>
              <w:rPr>
                <w:rStyle w:val="IndexLink"/>
              </w:rPr>
              <w:t>Abstract</w:t>
              <w:tab/>
              <w:t>2</w:t>
            </w:r>
          </w:hyperlink>
        </w:p>
        <w:p>
          <w:pPr>
            <w:pStyle w:val="TOC1"/>
            <w:tabs>
              <w:tab w:val="clear" w:pos="9071"/>
              <w:tab w:val="right" w:pos="9360" w:leader="dot"/>
            </w:tabs>
            <w:rPr/>
          </w:pPr>
          <w:hyperlink w:anchor="__RefHeading___Toc1781_2418243788">
            <w:r>
              <w:rPr>
                <w:rStyle w:val="IndexLink"/>
              </w:rPr>
              <w:t>1. Background</w:t>
              <w:tab/>
              <w:t>2</w:t>
            </w:r>
          </w:hyperlink>
        </w:p>
        <w:p>
          <w:pPr>
            <w:pStyle w:val="TOC1"/>
            <w:tabs>
              <w:tab w:val="clear" w:pos="9071"/>
              <w:tab w:val="right" w:pos="9360" w:leader="dot"/>
            </w:tabs>
            <w:rPr/>
          </w:pPr>
          <w:hyperlink w:anchor="__RefHeading___Toc1783_2418243788">
            <w:r>
              <w:rPr>
                <w:rStyle w:val="IndexLink"/>
              </w:rPr>
              <w:t>2. Methods</w:t>
              <w:tab/>
              <w:t>3</w:t>
            </w:r>
          </w:hyperlink>
        </w:p>
        <w:p>
          <w:pPr>
            <w:pStyle w:val="TOC1"/>
            <w:tabs>
              <w:tab w:val="clear" w:pos="9071"/>
              <w:tab w:val="right" w:pos="9360" w:leader="dot"/>
            </w:tabs>
            <w:rPr/>
          </w:pPr>
          <w:hyperlink w:anchor="__RefHeading___Toc1785_2418243788">
            <w:r>
              <w:rPr>
                <w:rStyle w:val="IndexLink"/>
              </w:rPr>
              <w:t>3. Results</w:t>
              <w:tab/>
              <w:t>3</w:t>
            </w:r>
          </w:hyperlink>
        </w:p>
        <w:p>
          <w:pPr>
            <w:pStyle w:val="TOC1"/>
            <w:tabs>
              <w:tab w:val="clear" w:pos="9071"/>
              <w:tab w:val="right" w:pos="9360" w:leader="dot"/>
            </w:tabs>
            <w:rPr/>
          </w:pPr>
          <w:hyperlink w:anchor="__RefHeading___Toc1787_2418243788">
            <w:r>
              <w:rPr>
                <w:rStyle w:val="IndexLink"/>
              </w:rPr>
              <w:t>4. Discussion</w:t>
              <w:tab/>
              <w:t>3</w:t>
            </w:r>
          </w:hyperlink>
        </w:p>
        <w:p>
          <w:pPr>
            <w:pStyle w:val="TOC1"/>
            <w:tabs>
              <w:tab w:val="clear" w:pos="9071"/>
              <w:tab w:val="right" w:pos="9360" w:leader="dot"/>
            </w:tabs>
            <w:rPr/>
          </w:pPr>
          <w:hyperlink w:anchor="__RefHeading___Toc1789_2418243788">
            <w:r>
              <w:rPr>
                <w:rStyle w:val="IndexLink"/>
              </w:rPr>
              <w:t>5. Conclusions</w:t>
              <w:tab/>
              <w:t>3</w:t>
            </w:r>
          </w:hyperlink>
        </w:p>
        <w:p>
          <w:pPr>
            <w:pStyle w:val="TOC1"/>
            <w:tabs>
              <w:tab w:val="clear" w:pos="9071"/>
              <w:tab w:val="right" w:pos="9360" w:leader="dot"/>
            </w:tabs>
            <w:rPr/>
          </w:pPr>
          <w:hyperlink w:anchor="__RefHeading___Toc1791_2418243788">
            <w:r>
              <w:rPr>
                <w:rStyle w:val="IndexLink"/>
              </w:rPr>
              <w:t>List of abbreviations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60" w:leader="dot"/>
            </w:tabs>
            <w:rPr/>
          </w:pPr>
          <w:hyperlink w:anchor="__RefHeading___Toc1793_2418243788">
            <w:r>
              <w:rPr>
                <w:rStyle w:val="IndexLink"/>
              </w:rPr>
              <w:t>5.1 Setting Priors</w:t>
              <w:tab/>
              <w:t>3</w:t>
            </w:r>
          </w:hyperlink>
        </w:p>
        <w:p>
          <w:pPr>
            <w:pStyle w:val="TOC3"/>
            <w:tabs>
              <w:tab w:val="clear" w:pos="8793"/>
              <w:tab w:val="right" w:pos="9360" w:leader="dot"/>
            </w:tabs>
            <w:rPr/>
          </w:pPr>
          <w:hyperlink w:anchor="__RefHeading___Toc1795_2418243788">
            <w:r>
              <w:rPr>
                <w:rStyle w:val="IndexLink"/>
              </w:rPr>
              <w:t>5.1.1 Setting the Prioo</w:t>
              <w:tab/>
              <w:t>4</w:t>
            </w:r>
          </w:hyperlink>
        </w:p>
        <w:p>
          <w:pPr>
            <w:pStyle w:val="TOC4"/>
            <w:tabs>
              <w:tab w:val="clear" w:pos="8510"/>
              <w:tab w:val="right" w:pos="9360" w:leader="dot"/>
            </w:tabs>
            <w:rPr/>
          </w:pPr>
          <w:hyperlink w:anchor="__RefHeading___Toc1797_2418243788">
            <w:r>
              <w:rPr>
                <w:rStyle w:val="IndexLink"/>
              </w:rPr>
              <w:t>5.1.1.1 title 4</w:t>
              <w:tab/>
              <w:t>4</w:t>
            </w:r>
          </w:hyperlink>
        </w:p>
        <w:p>
          <w:pPr>
            <w:pStyle w:val="TOC1"/>
            <w:tabs>
              <w:tab w:val="clear" w:pos="9071"/>
              <w:tab w:val="right" w:pos="9360" w:leader="dot"/>
            </w:tabs>
            <w:rPr/>
          </w:pPr>
          <w:hyperlink w:anchor="__RefHeading___Toc1799_2418243788">
            <w:r>
              <w:rPr>
                <w:rStyle w:val="IndexLink"/>
              </w:rPr>
              <w:t>References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Title"/>
        <w:rPr/>
      </w:pPr>
      <w:r>
        <w:rPr/>
      </w:r>
    </w:p>
    <w:p>
      <w:pPr>
        <w:pStyle w:val="SourceCode"/>
        <w:rPr/>
      </w:pPr>
      <w:r>
        <w:rPr/>
        <w:t xml:space="preserve"> </w:t>
      </w:r>
      <w:r>
        <w:rPr/>
        <w:t xml:space="preserve">Family: gaussian </w:t>
        <w:br/>
        <w:t xml:space="preserve">  Links: mu = identity; sigma = identity </w:t>
        <w:br/>
        <w:t xml:space="preserve">Formula: beta_ln | se(se_beta_ln) ~ 1 + (1 | author_year) </w:t>
        <w:br/>
        <w:t xml:space="preserve">   Data: data (Number of observations: 12) </w:t>
        <w:br/>
        <w:t xml:space="preserve">  Draws: 4 chains, each with iter = 4000; warmup = 2000; thin = 1;</w:t>
        <w:br/>
        <w:t xml:space="preserve">         total post-warmup draws = 8000</w:t>
        <w:br/>
        <w:br/>
        <w:t>Multilevel Hyperparameters:</w:t>
        <w:br/>
        <w:t xml:space="preserve">~author_year (Number of levels: 12) </w:t>
        <w:br/>
        <w:t xml:space="preserve">              Estimate Est.Error l-95% CI u-95% CI Rhat Bulk_ESS Tail_ESS</w:t>
        <w:br/>
        <w:t>sd(Intercept)     1.94      0.55     1.05     3.19 1.00     1796     3188</w:t>
        <w:br/>
        <w:br/>
        <w:t>Regression Coefficients:</w:t>
        <w:br/>
        <w:t xml:space="preserve">          Estimate Est.Error l-95% CI u-95% CI Rhat Bulk_ESS Tail_ESS</w:t>
        <w:br/>
        <w:t>Intercept    -2.10      0.65    -3.44    -0.87 1.00     1843     3230</w:t>
        <w:br/>
        <w:br/>
        <w:t>Further Distributional Parameters:</w:t>
        <w:br/>
        <w:t xml:space="preserve">      Estimate Est.Error l-95% CI u-95% CI Rhat Bulk_ESS Tail_ESS</w:t>
        <w:br/>
        <w:t>sigma     0.00      0.00     0.00     0.00   NA       NA       NA</w:t>
        <w:br/>
        <w:br/>
        <w:t>Draws were sampled using sampling(NUTS). For each parameter, Bulk_ESS</w:t>
        <w:br/>
        <w:t>and Tail_ESS are effective sample size measures, and Rhat is the potential</w:t>
        <w:br/>
        <w:t>scale reduction factor on split chains (at convergence, Rhat = 1).</w:t>
      </w:r>
    </w:p>
    <w:p>
      <w:pPr>
        <w:pStyle w:val="Heading1"/>
        <w:rPr/>
      </w:pPr>
      <w:bookmarkStart w:id="0" w:name="__RefHeading___Toc1777_2418243788"/>
      <w:bookmarkStart w:id="1" w:name="notes"/>
      <w:bookmarkEnd w:id="0"/>
      <w:r>
        <w:rPr/>
        <w:t>Notes</w:t>
      </w:r>
    </w:p>
    <w:p>
      <w:pPr>
        <w:pStyle w:val="Normal"/>
        <w:rPr/>
      </w:pPr>
      <w:r>
        <w:rPr/>
        <w:t xml:space="preserve">Journal: </w:t>
      </w:r>
      <w:r>
        <w:fldChar w:fldCharType="begin"/>
      </w:r>
      <w:r>
        <w:rPr>
          <w:rStyle w:val="Hyperlink"/>
        </w:rPr>
        <w:instrText xml:space="preserve"> HYPERLINK "https://link.springer.com/journal/12963/submission-guidelines" \l "aimsAndScope"</w:instrText>
      </w:r>
      <w:r>
        <w:rPr>
          <w:rStyle w:val="Hyperlink"/>
        </w:rPr>
        <w:fldChar w:fldCharType="separate"/>
      </w:r>
      <w:r>
        <w:rPr>
          <w:rStyle w:val="Hyperlink"/>
        </w:rPr>
        <w:t>Population Health Metrics, BMC</w:t>
      </w:r>
      <w:r>
        <w:rPr>
          <w:rStyle w:val="Hyperlink"/>
        </w:rPr>
        <w:fldChar w:fldCharType="end"/>
      </w:r>
    </w:p>
    <w:p>
      <w:pPr>
        <w:pStyle w:val="Normal"/>
        <w:rPr/>
      </w:pPr>
      <w:r>
        <w:rPr/>
        <w:t xml:space="preserve">Using </w:t>
      </w:r>
      <w:hyperlink r:id="rId2">
        <w:r>
          <w:rPr>
            <w:rStyle w:val="Hyperlink"/>
          </w:rPr>
          <w:t>PRISMA 2020 checklist</w:t>
        </w:r>
      </w:hyperlink>
      <w:r>
        <w:rPr/>
        <w:t xml:space="preserve"> for structure</w:t>
      </w:r>
    </w:p>
    <w:p>
      <w:pPr>
        <w:pStyle w:val="Normal"/>
        <w:rPr/>
      </w:pPr>
      <w:r>
        <w:rPr/>
        <w:t>Reference (1)</w:t>
      </w:r>
    </w:p>
    <w:p>
      <w:pPr>
        <w:pStyle w:val="Normal"/>
        <w:rPr/>
      </w:pPr>
      <w:bookmarkStart w:id="2" w:name="notes"/>
      <w:r>
        <w:rPr/>
        <w:t>testtest?</w:t>
      </w:r>
      <w:bookmarkEnd w:id="2"/>
    </w:p>
    <w:p>
      <w:pPr>
        <w:pStyle w:val="Heading1"/>
        <w:rPr/>
      </w:pPr>
      <w:bookmarkStart w:id="3" w:name="__RefHeading___Toc1779_2418243788"/>
      <w:bookmarkStart w:id="4" w:name="abstract"/>
      <w:bookmarkEnd w:id="3"/>
      <w:r>
        <w:rPr/>
        <w:t>Abstract</w:t>
      </w:r>
      <w:bookmarkEnd w:id="4"/>
    </w:p>
    <w:p>
      <w:pPr>
        <w:pStyle w:val="Heading1"/>
        <w:rPr/>
      </w:pPr>
      <w:bookmarkStart w:id="5" w:name="__RefHeading___Toc1781_2418243788"/>
      <w:bookmarkStart w:id="6" w:name="background"/>
      <w:bookmarkEnd w:id="5"/>
      <w:r>
        <w:rPr/>
        <w:t>1. Background</w:t>
      </w:r>
    </w:p>
    <w:p>
      <w:pPr>
        <w:pStyle w:val="Normal"/>
        <w:rPr/>
      </w:pPr>
      <w:r>
        <w:rPr/>
        <w:t xml:space="preserve">☐ </w:t>
      </w:r>
      <w:r>
        <w:rPr/>
        <w:t>Short intro: Lead, health effects, burden of disease, exposure in Germany</w:t>
      </w:r>
    </w:p>
    <w:p>
      <w:pPr>
        <w:pStyle w:val="Normal"/>
        <w:rPr/>
      </w:pPr>
      <w:r>
        <w:rPr/>
        <w:t xml:space="preserve">☐ </w:t>
      </w:r>
      <w:r>
        <w:rPr/>
        <w:t>Aim of this study</w:t>
      </w:r>
      <w:bookmarkEnd w:id="6"/>
    </w:p>
    <w:p>
      <w:pPr>
        <w:pStyle w:val="Heading1"/>
        <w:rPr/>
      </w:pPr>
      <w:bookmarkStart w:id="7" w:name="__RefHeading___Toc1783_2418243788"/>
      <w:bookmarkStart w:id="8" w:name="methods"/>
      <w:bookmarkEnd w:id="7"/>
      <w:r>
        <w:rPr/>
        <w:t>2. Methods</w:t>
      </w:r>
    </w:p>
    <w:p>
      <w:pPr>
        <w:pStyle w:val="Normal"/>
        <w:rPr/>
      </w:pPr>
      <w:r>
        <w:rPr/>
        <w:t xml:space="preserve">☐ </w:t>
      </w:r>
      <w:r>
        <w:rPr/>
        <w:t>Overview: systematic review and meta analysis, comparing a frequentist to a Bayesian approach</w:t>
      </w:r>
    </w:p>
    <w:p>
      <w:pPr>
        <w:pStyle w:val="Normal"/>
        <w:rPr/>
      </w:pPr>
      <w:r>
        <w:rPr/>
        <w:t xml:space="preserve">☐ </w:t>
      </w:r>
      <w:r>
        <w:rPr/>
        <w:t>Inclusion &amp; exclusion criteria, databases, search strategy, screening process</w:t>
      </w:r>
    </w:p>
    <w:p>
      <w:pPr>
        <w:pStyle w:val="Normal"/>
        <w:rPr/>
      </w:pPr>
      <w:r>
        <w:rPr/>
        <w:t xml:space="preserve">☐ </w:t>
      </w:r>
      <w:r>
        <w:rPr/>
        <w:t>(Risk of bias analysis method)</w:t>
      </w:r>
    </w:p>
    <w:p>
      <w:pPr>
        <w:pStyle w:val="Normal"/>
        <w:rPr/>
      </w:pPr>
      <w:r>
        <w:rPr/>
        <w:t xml:space="preserve">☐ </w:t>
      </w:r>
      <w:r>
        <w:rPr/>
        <w:t>Description &amp; rationale of harmonization of reported effect measures</w:t>
      </w:r>
    </w:p>
    <w:p>
      <w:pPr>
        <w:pStyle w:val="Normal"/>
        <w:rPr/>
      </w:pPr>
      <w:r>
        <w:rPr/>
        <w:t xml:space="preserve">☐ </w:t>
      </w:r>
      <w:r>
        <w:rPr/>
        <w:t>Description of meta analysis methodology (frequentist &amp; Bayesian), models and software used, heterogeneity identification</w:t>
      </w:r>
    </w:p>
    <w:p>
      <w:pPr>
        <w:pStyle w:val="Normal"/>
        <w:rPr/>
      </w:pPr>
      <w:r>
        <w:rPr/>
        <w:t xml:space="preserve">☐ </w:t>
      </w:r>
      <w:r>
        <w:rPr/>
        <w:t>Method to assess robustness of synthesized results</w:t>
      </w:r>
      <w:bookmarkEnd w:id="8"/>
    </w:p>
    <w:p>
      <w:pPr>
        <w:pStyle w:val="Heading1"/>
        <w:rPr/>
      </w:pPr>
      <w:bookmarkStart w:id="9" w:name="__RefHeading___Toc1785_2418243788"/>
      <w:bookmarkStart w:id="10" w:name="results"/>
      <w:bookmarkEnd w:id="9"/>
      <w:r>
        <w:rPr/>
        <w:t>3. Results</w:t>
      </w:r>
    </w:p>
    <w:p>
      <w:pPr>
        <w:pStyle w:val="Normal"/>
        <w:rPr/>
      </w:pPr>
      <w:r>
        <w:rPr/>
        <w:t xml:space="preserve">☐ </w:t>
      </w:r>
      <w:r>
        <w:rPr/>
        <w:t>Cite studies that might appear to meet inclusion criteria, but were excluded &amp; explain why</w:t>
      </w:r>
    </w:p>
    <w:p>
      <w:pPr>
        <w:pStyle w:val="Normal"/>
        <w:rPr/>
      </w:pPr>
      <w:r>
        <w:rPr/>
        <w:t xml:space="preserve">☐ </w:t>
      </w:r>
      <w:r>
        <w:rPr/>
        <w:t>Study characteristics (table), including original and harmonized effect measures</w:t>
      </w:r>
    </w:p>
    <w:p>
      <w:pPr>
        <w:pStyle w:val="Normal"/>
        <w:rPr/>
      </w:pPr>
      <w:r>
        <w:rPr/>
        <w:t xml:space="preserve">☐ </w:t>
      </w:r>
      <w:r>
        <w:rPr/>
        <w:t>Flow diagram, description of (fulltext) screening results</w:t>
      </w:r>
    </w:p>
    <w:p>
      <w:pPr>
        <w:pStyle w:val="Normal"/>
        <w:rPr/>
      </w:pPr>
      <w:r>
        <w:rPr/>
        <w:t xml:space="preserve">☐ </w:t>
      </w:r>
      <w:r>
        <w:rPr/>
        <w:t>RoB results for each included study</w:t>
      </w:r>
    </w:p>
    <w:p>
      <w:pPr>
        <w:pStyle w:val="Normal"/>
        <w:rPr/>
      </w:pPr>
      <w:r>
        <w:rPr/>
        <w:t xml:space="preserve">☐ </w:t>
      </w:r>
      <w:r>
        <w:rPr/>
        <w:t>Forest plots</w:t>
      </w:r>
      <w:bookmarkEnd w:id="10"/>
    </w:p>
    <w:p>
      <w:pPr>
        <w:pStyle w:val="Heading1"/>
        <w:rPr/>
      </w:pPr>
      <w:bookmarkStart w:id="11" w:name="__RefHeading___Toc1787_2418243788"/>
      <w:bookmarkStart w:id="12" w:name="discussion"/>
      <w:bookmarkEnd w:id="11"/>
      <w:r>
        <w:rPr/>
        <w:t>4. Discussion</w:t>
      </w:r>
    </w:p>
    <w:p>
      <w:pPr>
        <w:pStyle w:val="Normal"/>
        <w:rPr/>
      </w:pPr>
      <w:r>
        <w:rPr/>
        <w:t xml:space="preserve">☐ </w:t>
      </w:r>
      <w:r>
        <w:rPr/>
        <w:t>General interpretation of results in light of evidence in literature</w:t>
      </w:r>
    </w:p>
    <w:p>
      <w:pPr>
        <w:pStyle w:val="Normal"/>
        <w:rPr/>
      </w:pPr>
      <w:r>
        <w:rPr/>
        <w:t xml:space="preserve">☐ </w:t>
      </w:r>
      <w:r>
        <w:rPr/>
        <w:t>Discuss differences, similarities, strenghts and weaknesses of freq vs. Bayesian approach</w:t>
      </w:r>
    </w:p>
    <w:p>
      <w:pPr>
        <w:pStyle w:val="Normal"/>
        <w:rPr/>
      </w:pPr>
      <w:r>
        <w:rPr/>
        <w:t xml:space="preserve">☐ </w:t>
      </w:r>
      <w:r>
        <w:rPr/>
        <w:t>Study limitations &amp; strengths</w:t>
      </w:r>
      <w:bookmarkEnd w:id="12"/>
    </w:p>
    <w:p>
      <w:pPr>
        <w:pStyle w:val="Heading1"/>
        <w:rPr/>
      </w:pPr>
      <w:bookmarkStart w:id="13" w:name="__RefHeading___Toc1789_2418243788"/>
      <w:bookmarkStart w:id="14" w:name="conclusions"/>
      <w:bookmarkEnd w:id="13"/>
      <w:r>
        <w:rPr/>
        <w:t>5. Conclusions</w:t>
      </w:r>
    </w:p>
    <w:p>
      <w:pPr>
        <w:pStyle w:val="Normal"/>
        <w:rPr/>
      </w:pPr>
      <w:r>
        <w:rPr/>
        <w:t xml:space="preserve">☐ </w:t>
      </w:r>
      <w:r>
        <w:rPr/>
        <w:t>Conclusion, with reference to aim of study</w:t>
      </w:r>
    </w:p>
    <w:p>
      <w:pPr>
        <w:pStyle w:val="Normal"/>
        <w:rPr/>
      </w:pPr>
      <w:r>
        <w:rPr/>
        <w:t xml:space="preserve">☐ </w:t>
      </w:r>
      <w:r>
        <w:rPr/>
        <w:t>Implications of results: policy, (scientific?) practice, future research needs</w:t>
      </w:r>
      <w:bookmarkEnd w:id="14"/>
    </w:p>
    <w:p>
      <w:pPr>
        <w:pStyle w:val="Heading1"/>
        <w:rPr/>
      </w:pPr>
      <w:bookmarkStart w:id="15" w:name="__RefHeading___Toc1791_2418243788"/>
      <w:bookmarkStart w:id="16" w:name="list-of-abbreviations"/>
      <w:bookmarkEnd w:id="15"/>
      <w:r>
        <w:rPr/>
        <w:t>List of abbreviations</w:t>
      </w:r>
    </w:p>
    <w:p>
      <w:pPr>
        <w:pStyle w:val="Normal"/>
        <w:rPr/>
      </w:pPr>
      <w:r>
        <w:rPr/>
        <w:t>Normal text example</w:t>
      </w:r>
    </w:p>
    <w:p>
      <w:pPr>
        <w:pStyle w:val="Heading2"/>
        <w:numPr>
          <w:ilvl w:val="1"/>
          <w:numId w:val="2"/>
        </w:numPr>
        <w:rPr/>
      </w:pPr>
      <w:bookmarkStart w:id="17" w:name="__RefHeading___Toc1793_2418243788"/>
      <w:bookmarkStart w:id="18" w:name="setting-priors"/>
      <w:bookmarkEnd w:id="17"/>
      <w:r>
        <w:rPr/>
        <w:t>5.1 Setting Priors</w:t>
      </w:r>
    </w:p>
    <w:p>
      <w:pPr>
        <w:pStyle w:val="Normal"/>
        <w:rPr/>
      </w:pPr>
      <w:r>
        <w:rPr/>
        <w:t>yes</w:t>
      </w:r>
    </w:p>
    <w:p>
      <w:pPr>
        <w:pStyle w:val="Heading3"/>
        <w:numPr>
          <w:ilvl w:val="2"/>
          <w:numId w:val="1"/>
        </w:numPr>
        <w:rPr/>
      </w:pPr>
      <w:bookmarkStart w:id="19" w:name="__RefHeading___Toc1795_2418243788"/>
      <w:bookmarkStart w:id="20" w:name="setting-the-prioo"/>
      <w:bookmarkEnd w:id="19"/>
      <w:r>
        <w:rPr/>
        <w:t>5.1.1 Setting the Prioo</w:t>
      </w:r>
    </w:p>
    <w:p>
      <w:pPr>
        <w:pStyle w:val="Normal"/>
        <w:rPr/>
      </w:pPr>
      <w:r>
        <w:rPr/>
        <w:t>yes</w:t>
      </w:r>
    </w:p>
    <w:p>
      <w:pPr>
        <w:pStyle w:val="Heading4"/>
        <w:numPr>
          <w:ilvl w:val="3"/>
          <w:numId w:val="1"/>
        </w:numPr>
        <w:rPr/>
      </w:pPr>
      <w:bookmarkStart w:id="21" w:name="__RefHeading___Toc1797_2418243788"/>
      <w:bookmarkStart w:id="22" w:name="title-4"/>
      <w:bookmarkEnd w:id="21"/>
      <w:r>
        <w:rPr/>
        <w:t>5.1.1.1 title 4</w:t>
      </w:r>
    </w:p>
    <w:p>
      <w:pPr>
        <w:pStyle w:val="Normal"/>
        <w:rPr/>
      </w:pPr>
      <w:r>
        <w:rPr/>
        <w:t xml:space="preserve">First, we need to define the priors. In Bayesian statistics, a prior distribution represents our initial belief about an unknown parameter before observing any data. It’s a probability distribution reflecting our knowledge or assumptions about the parameter’s possible values. This prior distribution is then combined with the likelihood function (based on observed data) to produce a posterior distribution, which represents our updated belief after considering the data. You can read more about choosing prior distributions in Bayesian statistics in this </w:t>
      </w:r>
      <w:r>
        <w:fldChar w:fldCharType="begin"/>
      </w:r>
      <w:r>
        <w:rPr>
          <w:rStyle w:val="Hyperlink"/>
        </w:rPr>
        <w:instrText xml:space="preserve"> HYPERLINK "https://bookdown.org/kevin_davisross/bayesian-reasoning-and-methods/prior.html" \l "prior"</w:instrText>
      </w:r>
      <w:r>
        <w:rPr>
          <w:rStyle w:val="Hyperlink"/>
        </w:rPr>
        <w:fldChar w:fldCharType="separate"/>
      </w:r>
      <w:r>
        <w:rPr>
          <w:rStyle w:val="Hyperlink"/>
        </w:rPr>
        <w:t>book chapter</w:t>
      </w:r>
      <w:r>
        <w:rPr>
          <w:rStyle w:val="Hyperlink"/>
        </w:rPr>
        <w:fldChar w:fldCharType="end"/>
      </w:r>
      <w:r>
        <w:rPr/>
        <w:t>.</w:t>
        <w:br/>
      </w:r>
      <w:bookmarkEnd w:id="16"/>
      <w:bookmarkEnd w:id="18"/>
      <w:bookmarkEnd w:id="20"/>
      <w:bookmarkEnd w:id="22"/>
    </w:p>
    <w:p>
      <w:pPr>
        <w:pStyle w:val="Heading1"/>
        <w:rPr/>
      </w:pPr>
      <w:bookmarkStart w:id="23" w:name="__RefHeading___Toc1799_2418243788"/>
      <w:bookmarkStart w:id="24" w:name="bibliography"/>
      <w:bookmarkEnd w:id="23"/>
      <w:r>
        <w:rPr/>
        <w:t>References</w:t>
      </w:r>
    </w:p>
    <w:p>
      <w:pPr>
        <w:pStyle w:val="Normal"/>
        <w:rPr/>
      </w:pPr>
      <w:bookmarkStart w:id="25" w:name="refs"/>
      <w:bookmarkStart w:id="26" w:name="ref-cao2010DoesBackgroundPostnatal"/>
      <w:r>
        <w:rPr/>
        <w:t xml:space="preserve">1. </w:t>
        <w:tab/>
        <w:t xml:space="preserve">Cao Y, Chen A, Jones RL, Radcliffe J, Caldwell KL, Dietrich KN, et al. </w:t>
      </w:r>
      <w:hyperlink r:id="rId3">
        <w:r>
          <w:rPr>
            <w:rStyle w:val="Hyperlink"/>
          </w:rPr>
          <w:t>Does background postnatal methyl mercury exposure in toddlers affect cognition and behavior?</w:t>
        </w:r>
      </w:hyperlink>
      <w:r>
        <w:rPr/>
        <w:t xml:space="preserve"> NeuroToxicology. 2010;31(1):1–9. </w:t>
      </w:r>
      <w:bookmarkEnd w:id="24"/>
      <w:bookmarkEnd w:id="25"/>
      <w:bookmarkEnd w:id="26"/>
    </w:p>
    <w:sectPr>
      <w:headerReference w:type="default" r:id="rId4"/>
      <w:footerReference w:type="default" r:id="rId5"/>
      <w:type w:val="nextPage"/>
      <w:pgSz w:w="12240" w:h="142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Helvetica Neue">
    <w:charset w:val="01"/>
    <w:family w:val="roman"/>
    <w:pitch w:val="default"/>
  </w:font>
  <w:font w:name="Helvetica Neue">
    <w:charset w:val="01"/>
    <w:family w:val="swiss"/>
    <w:pitch w:val="variable"/>
  </w:font>
  <w:font w:name="Liberation Sans">
    <w:altName w:val="Arial"/>
    <w:charset w:val="01"/>
    <w:family w:val="roman"/>
    <w:pitch w:val="default"/>
  </w:font>
  <w:font w:name="Courier New">
    <w:charset w:val="01"/>
    <w:family w:val="roman"/>
    <w:pitch w:val="default"/>
  </w:font>
  <w:font w:name="Helvetica Neue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eitenzahl1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>
        <w:lang w:val="en-US"/>
      </w:rPr>
      <w:t xml:space="preserve"> </w:t>
    </w:r>
    <w:r>
      <w:rPr>
        <w:lang w:val="en-US"/>
      </w:rPr>
      <w:t xml:space="preserve">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embedSystemFonts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71c2"/>
    <w:pPr>
      <w:widowControl/>
      <w:suppressAutoHyphens w:val="false"/>
      <w:bidi w:val="0"/>
      <w:spacing w:before="0" w:after="0"/>
      <w:jc w:val="left"/>
    </w:pPr>
    <w:rPr>
      <w:rFonts w:ascii="Helvetica Neue" w:hAnsi="Helvetica Neue" w:eastAsia="Arial Unicode MS" w:cs="Times New Roman" w:ascii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uiPriority w:val="9"/>
    <w:qFormat/>
    <w:pPr>
      <w:keepNext w:val="true"/>
      <w:keepLines/>
      <w:widowControl/>
      <w:suppressAutoHyphens w:val="true"/>
      <w:bidi w:val="0"/>
      <w:spacing w:before="360" w:after="80"/>
      <w:jc w:val="left"/>
      <w:outlineLvl w:val="0"/>
    </w:pPr>
    <w:rPr>
      <w:rFonts w:ascii="Helvetica Neue" w:hAnsi="Helvetica Neue" w:eastAsia="Helvetica Neue" w:cs="Helvetica Neue"/>
      <w:color w:val="000000"/>
      <w:kern w:val="0"/>
      <w:sz w:val="40"/>
      <w:szCs w:val="40"/>
      <w:u w:val="none" w:color="0F4761"/>
      <w:lang w:val="de-DE" w:eastAsia="de-DE" w:bidi="ar-SA"/>
      <w14:textOutline w14:w="12700" w14:cap="flat" w14:cmpd="sng" w14:algn="ctr">
        <w14:noFill/>
        <w14:prstDash w14:val="solid"/>
        <w14:miter w14:lim="400000"/>
      </w14:textOutline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rFonts w:ascii="Helvetica Neue" w:hAnsi="Helvetica Neue"/>
      <w:b w:val="false"/>
      <w:bCs w:val="false"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Helvetica Neue" w:hAnsi="Helvetica Neue"/>
      <w:b w:val="false"/>
      <w:bCs/>
      <w:i w:val="false"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uppressAutoHyphens w:val="false"/>
      <w:spacing w:before="120" w:after="120"/>
      <w:outlineLvl w:val="3"/>
    </w:pPr>
    <w:rPr>
      <w:rFonts w:ascii="Helvetica Neue" w:hAnsi="Helvetica Neue"/>
      <w:b w:val="false"/>
      <w:bCs/>
      <w:i w:val="false"/>
      <w:iCs/>
      <w:sz w:val="24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rPr>
      <w:u w:val="single"/>
    </w:rPr>
  </w:style>
  <w:style w:type="character" w:styleId="Link" w:customStyle="1">
    <w:name w:val="Link"/>
    <w:qFormat/>
    <w:rPr>
      <w:outline w:val="false"/>
      <w:color w:val="0000FF"/>
      <w:u w:val="single" w:color="0000FF"/>
    </w:rPr>
  </w:style>
  <w:style w:type="character" w:styleId="Hyperlink0" w:customStyle="1">
    <w:name w:val="Hyperlink.0"/>
    <w:basedOn w:val="Link"/>
    <w:qFormat/>
    <w:rPr>
      <w:outline w:val="false"/>
      <w:color w:val="000000"/>
      <w:u w:val="single" w:color="000000"/>
    </w:rPr>
  </w:style>
  <w:style w:type="character" w:styleId="None" w:customStyle="1">
    <w:name w:val="None"/>
    <w:qFormat/>
    <w:rPr/>
  </w:style>
  <w:style w:type="character" w:styleId="Hyperlink1" w:customStyle="1">
    <w:name w:val="Hyperlink.1"/>
    <w:basedOn w:val="None"/>
    <w:qFormat/>
    <w:rPr>
      <w:rFonts w:ascii="Helvetica Neue" w:hAnsi="Helvetica Neue" w:eastAsia="Helvetica Neue" w:cs="Helvetica Neue"/>
    </w:rPr>
  </w:style>
  <w:style w:type="character" w:styleId="KeywordTok" w:customStyle="1">
    <w:name w:val="KeywordTok"/>
    <w:qFormat/>
    <w:rPr>
      <w:b/>
      <w:color w:val="003B4F"/>
      <w:shd w:fill="F1F3F5" w:val="clear"/>
    </w:rPr>
  </w:style>
  <w:style w:type="character" w:styleId="DataTypeTok" w:customStyle="1">
    <w:name w:val="DataTypeTok"/>
    <w:qFormat/>
    <w:rPr>
      <w:color w:val="AD0000"/>
      <w:shd w:fill="F1F3F5" w:val="clear"/>
    </w:rPr>
  </w:style>
  <w:style w:type="character" w:styleId="DecValTok" w:customStyle="1">
    <w:name w:val="DecValTok"/>
    <w:qFormat/>
    <w:rPr>
      <w:color w:val="AD0000"/>
      <w:shd w:fill="F1F3F5" w:val="clear"/>
    </w:rPr>
  </w:style>
  <w:style w:type="character" w:styleId="BaseNTok" w:customStyle="1">
    <w:name w:val="BaseNTok"/>
    <w:qFormat/>
    <w:rPr>
      <w:color w:val="AD0000"/>
      <w:shd w:fill="F1F3F5" w:val="clear"/>
    </w:rPr>
  </w:style>
  <w:style w:type="character" w:styleId="FloatTok" w:customStyle="1">
    <w:name w:val="FloatTok"/>
    <w:qFormat/>
    <w:rPr>
      <w:color w:val="AD0000"/>
      <w:shd w:fill="F1F3F5" w:val="clear"/>
    </w:rPr>
  </w:style>
  <w:style w:type="character" w:styleId="ConstantTok" w:customStyle="1">
    <w:name w:val="ConstantTok"/>
    <w:qFormat/>
    <w:rPr>
      <w:color w:val="8F5902"/>
      <w:shd w:fill="F1F3F5" w:val="clear"/>
    </w:rPr>
  </w:style>
  <w:style w:type="character" w:styleId="CharTok" w:customStyle="1">
    <w:name w:val="CharTok"/>
    <w:qFormat/>
    <w:rPr>
      <w:color w:val="20794D"/>
      <w:shd w:fill="F1F3F5" w:val="clear"/>
    </w:rPr>
  </w:style>
  <w:style w:type="character" w:styleId="SpecialCharTok" w:customStyle="1">
    <w:name w:val="SpecialCharTok"/>
    <w:qFormat/>
    <w:rPr>
      <w:color w:val="5E5E5E"/>
      <w:shd w:fill="F1F3F5" w:val="clear"/>
    </w:rPr>
  </w:style>
  <w:style w:type="character" w:styleId="StringTok" w:customStyle="1">
    <w:name w:val="StringTok"/>
    <w:qFormat/>
    <w:rPr>
      <w:color w:val="20794D"/>
      <w:shd w:fill="F1F3F5" w:val="clear"/>
    </w:rPr>
  </w:style>
  <w:style w:type="character" w:styleId="VerbatimStringTok" w:customStyle="1">
    <w:name w:val="VerbatimStringTok"/>
    <w:qFormat/>
    <w:rPr>
      <w:color w:val="20794D"/>
      <w:shd w:fill="F1F3F5" w:val="clear"/>
    </w:rPr>
  </w:style>
  <w:style w:type="character" w:styleId="SpecialStringTok" w:customStyle="1">
    <w:name w:val="SpecialStringTok"/>
    <w:qFormat/>
    <w:rPr>
      <w:color w:val="20794D"/>
      <w:shd w:fill="F1F3F5" w:val="clear"/>
    </w:rPr>
  </w:style>
  <w:style w:type="character" w:styleId="ImportTok" w:customStyle="1">
    <w:name w:val="ImportTok"/>
    <w:qFormat/>
    <w:rPr>
      <w:color w:val="00769E"/>
      <w:shd w:fill="F1F3F5" w:val="clear"/>
    </w:rPr>
  </w:style>
  <w:style w:type="character" w:styleId="CommentTok" w:customStyle="1">
    <w:name w:val="CommentTok"/>
    <w:qFormat/>
    <w:rPr>
      <w:color w:val="5E5E5E"/>
      <w:shd w:fill="F1F3F5" w:val="clear"/>
    </w:rPr>
  </w:style>
  <w:style w:type="character" w:styleId="DocumentationTok" w:customStyle="1">
    <w:name w:val="DocumentationTok"/>
    <w:qFormat/>
    <w:rPr>
      <w:i/>
      <w:color w:val="5E5E5E"/>
      <w:shd w:fill="F1F3F5" w:val="clear"/>
    </w:rPr>
  </w:style>
  <w:style w:type="character" w:styleId="AnnotationTok" w:customStyle="1">
    <w:name w:val="AnnotationTok"/>
    <w:qFormat/>
    <w:rPr>
      <w:color w:val="5E5E5E"/>
      <w:shd w:fill="F1F3F5" w:val="clear"/>
    </w:rPr>
  </w:style>
  <w:style w:type="character" w:styleId="CommentVarTok" w:customStyle="1">
    <w:name w:val="CommentVarTok"/>
    <w:qFormat/>
    <w:rPr>
      <w:i/>
      <w:color w:val="5E5E5E"/>
      <w:shd w:fill="F1F3F5" w:val="clear"/>
    </w:rPr>
  </w:style>
  <w:style w:type="character" w:styleId="OtherTok" w:customStyle="1">
    <w:name w:val="OtherTok"/>
    <w:qFormat/>
    <w:rPr>
      <w:color w:val="003B4F"/>
      <w:shd w:fill="F1F3F5" w:val="clear"/>
    </w:rPr>
  </w:style>
  <w:style w:type="character" w:styleId="FunctionTok" w:customStyle="1">
    <w:name w:val="FunctionTok"/>
    <w:qFormat/>
    <w:rPr>
      <w:color w:val="4758AB"/>
      <w:shd w:fill="F1F3F5" w:val="clear"/>
    </w:rPr>
  </w:style>
  <w:style w:type="character" w:styleId="VariableTok" w:customStyle="1">
    <w:name w:val="VariableTok"/>
    <w:qFormat/>
    <w:rPr>
      <w:color w:val="111111"/>
      <w:shd w:fill="F1F3F5" w:val="clear"/>
    </w:rPr>
  </w:style>
  <w:style w:type="character" w:styleId="ControlFlowTok" w:customStyle="1">
    <w:name w:val="ControlFlowTok"/>
    <w:qFormat/>
    <w:rPr>
      <w:b/>
      <w:color w:val="003B4F"/>
      <w:shd w:fill="F1F3F5" w:val="clear"/>
    </w:rPr>
  </w:style>
  <w:style w:type="character" w:styleId="OperatorTok" w:customStyle="1">
    <w:name w:val="OperatorTok"/>
    <w:qFormat/>
    <w:rPr>
      <w:color w:val="5E5E5E"/>
      <w:shd w:fill="F1F3F5" w:val="clear"/>
    </w:rPr>
  </w:style>
  <w:style w:type="character" w:styleId="BuiltInTok" w:customStyle="1">
    <w:name w:val="BuiltInTok"/>
    <w:qFormat/>
    <w:rPr>
      <w:color w:val="003B4F"/>
      <w:shd w:fill="F1F3F5" w:val="clear"/>
    </w:rPr>
  </w:style>
  <w:style w:type="character" w:styleId="ExtensionTok" w:customStyle="1">
    <w:name w:val="ExtensionTok"/>
    <w:qFormat/>
    <w:rPr>
      <w:color w:val="003B4F"/>
      <w:shd w:fill="F1F3F5" w:val="clear"/>
    </w:rPr>
  </w:style>
  <w:style w:type="character" w:styleId="PreprocessorTok" w:customStyle="1">
    <w:name w:val="PreprocessorTok"/>
    <w:qFormat/>
    <w:rPr>
      <w:color w:val="AD0000"/>
      <w:shd w:fill="F1F3F5" w:val="clear"/>
    </w:rPr>
  </w:style>
  <w:style w:type="character" w:styleId="AttributeTok" w:customStyle="1">
    <w:name w:val="AttributeTok"/>
    <w:qFormat/>
    <w:rPr>
      <w:color w:val="657422"/>
      <w:shd w:fill="F1F3F5" w:val="clear"/>
    </w:rPr>
  </w:style>
  <w:style w:type="character" w:styleId="RegionMarkerTok" w:customStyle="1">
    <w:name w:val="RegionMarkerTok"/>
    <w:qFormat/>
    <w:rPr>
      <w:color w:val="003B4F"/>
      <w:shd w:fill="F1F3F5" w:val="clear"/>
    </w:rPr>
  </w:style>
  <w:style w:type="character" w:styleId="InformationTok" w:customStyle="1">
    <w:name w:val="InformationTok"/>
    <w:qFormat/>
    <w:rPr>
      <w:color w:val="5E5E5E"/>
      <w:shd w:fill="F1F3F5" w:val="clear"/>
    </w:rPr>
  </w:style>
  <w:style w:type="character" w:styleId="WarningTok" w:customStyle="1">
    <w:name w:val="WarningTok"/>
    <w:qFormat/>
    <w:rPr>
      <w:i/>
      <w:color w:val="5E5E5E"/>
      <w:shd w:fill="F1F3F5" w:val="clear"/>
    </w:rPr>
  </w:style>
  <w:style w:type="character" w:styleId="AlertTok" w:customStyle="1">
    <w:name w:val="AlertTok"/>
    <w:qFormat/>
    <w:rPr>
      <w:color w:val="AD0000"/>
      <w:shd w:fill="F1F3F5" w:val="clear"/>
    </w:rPr>
  </w:style>
  <w:style w:type="character" w:styleId="ErrorTok" w:customStyle="1">
    <w:name w:val="ErrorTok"/>
    <w:qFormat/>
    <w:rPr>
      <w:color w:val="AD0000"/>
      <w:shd w:fill="F1F3F5" w:val="clear"/>
    </w:rPr>
  </w:style>
  <w:style w:type="character" w:styleId="NormalTok" w:customStyle="1">
    <w:name w:val="NormalTok"/>
    <w:qFormat/>
    <w:rPr>
      <w:color w:val="003B4F"/>
      <w:shd w:fill="F1F3F5" w:val="clear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Footer" w:customStyle="1">
    <w:name w:val="Header &amp; Footer"/>
    <w:qFormat/>
    <w:pPr>
      <w:widowControl/>
      <w:tabs>
        <w:tab w:val="clear" w:pos="720"/>
        <w:tab w:val="right" w:pos="9020" w:leader="none"/>
      </w:tabs>
      <w:suppressAutoHyphens w:val="true"/>
      <w:bidi w:val="0"/>
      <w:spacing w:before="0" w:after="0"/>
      <w:jc w:val="left"/>
    </w:pPr>
    <w:rPr>
      <w:rFonts w:ascii="Helvetica Neue" w:hAnsi="Helvetica Neue" w:eastAsia="Arial Unicode MS" w:cs="Arial Unicode MS"/>
      <w:color w:val="000000"/>
      <w:kern w:val="0"/>
      <w:sz w:val="24"/>
      <w:szCs w:val="24"/>
      <w:lang w:val="de-DE" w:eastAsia="de-DE" w:bidi="ar-SA"/>
      <w14:textOutline w14:w="0" w14:cap="flat" w14:cmpd="sng" w14:algn="ctr">
        <w14:noFill/>
        <w14:prstDash w14:val="solid"/>
        <w14:bevel/>
      </w14:textOutline>
    </w:rPr>
  </w:style>
  <w:style w:type="paragraph" w:styleId="Seitenzahl1" w:customStyle="1">
    <w:name w:val="Seitenzahl1"/>
    <w:qFormat/>
    <w:pPr>
      <w:widowControl/>
      <w:tabs>
        <w:tab w:val="clear" w:pos="720"/>
        <w:tab w:val="right" w:pos="9020" w:leader="none"/>
      </w:tabs>
      <w:suppressAutoHyphens w:val="true"/>
      <w:bidi w:val="0"/>
      <w:spacing w:before="0" w:after="0"/>
      <w:jc w:val="right"/>
    </w:pPr>
    <w:rPr>
      <w:rFonts w:ascii="Helvetica Neue" w:hAnsi="Helvetica Neue" w:eastAsia="Arial Unicode MS" w:cs="Arial Unicode MS"/>
      <w:color w:val="535353"/>
      <w:kern w:val="0"/>
      <w:sz w:val="24"/>
      <w:szCs w:val="24"/>
      <w:u w:val="none" w:color="535353"/>
      <w:lang w:val="de-DE" w:eastAsia="de-DE" w:bidi="ar-SA"/>
      <w14:textOutline w14:w="12700" w14:cap="flat" w14:cmpd="sng" w14:algn="ctr">
        <w14:noFill/>
        <w14:prstDash w14:val="solid"/>
        <w14:miter w14:lim="400000"/>
      </w14:textOutline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300"/>
      <w:jc w:val="center"/>
    </w:pPr>
    <w:rPr>
      <w:rFonts w:ascii="Helvetica Neue" w:hAnsi="Helvetica Neue" w:eastAsia="Arial Unicode MS" w:cs="Arial Unicode MS"/>
      <w:b w:val="false"/>
      <w:bCs w:val="false"/>
      <w:i w:val="false"/>
      <w:iCs w:val="false"/>
      <w:color w:val="000000"/>
      <w:spacing w:val="-9"/>
      <w:kern w:val="2"/>
      <w:sz w:val="40"/>
      <w:szCs w:val="40"/>
      <w:u w:val="none" w:color="000000"/>
      <w:lang w:val="en-US" w:eastAsia="de-DE" w:bidi="ar-SA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uthor" w:customStyle="1">
    <w:name w:val="Author"/>
    <w:qFormat/>
    <w:pPr>
      <w:keepNext w:val="true"/>
      <w:keepLines/>
      <w:widowControl/>
      <w:suppressAutoHyphens w:val="true"/>
      <w:bidi w:val="0"/>
      <w:spacing w:before="0" w:after="0"/>
      <w:jc w:val="center"/>
    </w:pPr>
    <w:rPr>
      <w:rFonts w:ascii="Helvetica Neue" w:hAnsi="Helvetica Neue" w:eastAsia="Arial Unicode MS" w:cs="Arial Unicode MS"/>
      <w:color w:val="000000"/>
      <w:kern w:val="0"/>
      <w:sz w:val="24"/>
      <w:szCs w:val="24"/>
      <w:u w:val="none" w:color="000000"/>
      <w:lang w:val="en-US" w:eastAsia="de-DE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qFormat/>
    <w:pPr>
      <w:keepNext w:val="true"/>
      <w:keepLines/>
      <w:widowControl/>
      <w:suppressAutoHyphens w:val="true"/>
      <w:bidi w:val="0"/>
      <w:spacing w:before="360" w:after="80"/>
      <w:jc w:val="left"/>
      <w:outlineLvl w:val="0"/>
    </w:pPr>
    <w:rPr>
      <w:rFonts w:ascii="Helvetica Neue" w:hAnsi="Helvetica Neue" w:eastAsia="Helvetica Neue" w:cs="Helvetica Neue"/>
      <w:color w:val="000000"/>
      <w:kern w:val="0"/>
      <w:sz w:val="40"/>
      <w:szCs w:val="40"/>
      <w:u w:val="none" w:color="0F4761"/>
      <w:lang w:val="en-US" w:eastAsia="de-DE" w:bidi="ar-SA"/>
      <w14:textOutline w14:w="12700" w14:cap="flat" w14:cmpd="sng" w14:algn="ctr">
        <w14:noFill/>
        <w14:prstDash w14:val="solid"/>
        <w14:miter w14:lim="400000"/>
      </w14:textOutline>
    </w:rPr>
  </w:style>
  <w:style w:type="paragraph" w:styleId="TOC1">
    <w:name w:val="TOC 1"/>
    <w:uiPriority w:val="39"/>
    <w:pPr>
      <w:widowControl/>
      <w:tabs>
        <w:tab w:val="clear" w:pos="720"/>
        <w:tab w:val="right" w:pos="9071" w:leader="none"/>
      </w:tabs>
      <w:suppressAutoHyphens w:val="true"/>
      <w:bidi w:val="0"/>
      <w:spacing w:before="114" w:after="114"/>
      <w:jc w:val="left"/>
    </w:pPr>
    <w:rPr>
      <w:rFonts w:ascii="Helvetica Neue" w:hAnsi="Helvetica Neue" w:eastAsia="Helvetica Neue" w:cs="Helvetica Neue"/>
      <w:color w:val="000000"/>
      <w:kern w:val="0"/>
      <w:sz w:val="24"/>
      <w:szCs w:val="24"/>
      <w:u w:val="none" w:color="000000"/>
      <w:lang w:val="de-DE" w:eastAsia="de-DE" w:bidi="ar-SA"/>
    </w:rPr>
  </w:style>
  <w:style w:type="paragraph" w:styleId="Body" w:customStyle="1">
    <w:name w:val="Body"/>
    <w:qFormat/>
    <w:pPr>
      <w:widowControl/>
      <w:suppressAutoHyphens w:val="true"/>
      <w:bidi w:val="0"/>
      <w:spacing w:before="0" w:after="0"/>
      <w:jc w:val="left"/>
    </w:pPr>
    <w:rPr>
      <w:rFonts w:ascii="Helvetica Neue" w:hAnsi="Helvetica Neue" w:eastAsia="Helvetica Neue" w:cs="Helvetica Neue"/>
      <w:color w:val="000000"/>
      <w:kern w:val="0"/>
      <w:sz w:val="24"/>
      <w:szCs w:val="24"/>
      <w:u w:val="none" w:color="000000"/>
      <w:lang w:val="de-DE" w:eastAsia="de-DE" w:bidi="ar-SA"/>
      <w14:textOutline w14:w="0" w14:cap="flat" w14:cmpd="sng" w14:algn="ctr">
        <w14:noFill/>
        <w14:prstDash w14:val="solid"/>
        <w14:bevel/>
      </w14:textOutline>
    </w:rPr>
  </w:style>
  <w:style w:type="paragraph" w:styleId="SourceCode" w:customStyle="1">
    <w:name w:val="Source Code"/>
    <w:qFormat/>
    <w:pPr>
      <w:widowControl/>
      <w:shd w:val="clear" w:color="auto" w:fill="F1F3F5"/>
      <w:suppressAutoHyphens w:val="true"/>
      <w:bidi w:val="0"/>
      <w:spacing w:before="200" w:after="200"/>
      <w:jc w:val="left"/>
    </w:pPr>
    <w:rPr>
      <w:rFonts w:ascii="Courier New" w:hAnsi="Courier New" w:eastAsia="Arial Unicode MS" w:cs="Arial Unicode MS"/>
      <w:color w:val="000000"/>
      <w:kern w:val="0"/>
      <w:sz w:val="24"/>
      <w:szCs w:val="24"/>
      <w:u w:val="none" w:color="000000"/>
      <w:lang w:val="en-US" w:eastAsia="de-DE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EndnoteText">
    <w:name w:val="Endnote Text"/>
    <w:basedOn w:val="Normal"/>
    <w:pPr>
      <w:suppressLineNumbers/>
      <w:ind w:hanging="340" w:left="340"/>
    </w:pPr>
    <w:rPr>
      <w:sz w:val="24"/>
      <w:szCs w:val="20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TOC2">
    <w:name w:val="TOC 2"/>
    <w:basedOn w:val="Index"/>
    <w:pPr>
      <w:tabs>
        <w:tab w:val="clear" w:pos="720"/>
        <w:tab w:val="right" w:pos="9077" w:leader="dot"/>
      </w:tabs>
      <w:spacing w:before="0" w:after="0"/>
      <w:ind w:hanging="0" w:left="283"/>
    </w:pPr>
    <w:rPr>
      <w:rFonts w:ascii="Helvetica Neue" w:hAnsi="Helvetica Neue"/>
    </w:rPr>
  </w:style>
  <w:style w:type="paragraph" w:styleId="TOC3">
    <w:name w:val="TOC 3"/>
    <w:basedOn w:val="Index"/>
    <w:pPr>
      <w:tabs>
        <w:tab w:val="clear" w:pos="720"/>
        <w:tab w:val="right" w:pos="8793" w:leader="dot"/>
      </w:tabs>
      <w:spacing w:before="86" w:after="86"/>
      <w:ind w:hanging="0" w:left="518"/>
    </w:pPr>
    <w:rPr>
      <w:rFonts w:ascii="Helvetica Neue" w:hAnsi="Helvetica Neue"/>
    </w:rPr>
  </w:style>
  <w:style w:type="paragraph" w:styleId="TOC4">
    <w:name w:val="TOC 4"/>
    <w:basedOn w:val="Index"/>
    <w:pPr>
      <w:tabs>
        <w:tab w:val="clear" w:pos="720"/>
        <w:tab w:val="right" w:pos="8510" w:leader="dot"/>
      </w:tabs>
      <w:ind w:hanging="0" w:left="850"/>
    </w:pPr>
    <w:rPr>
      <w:rFonts w:ascii="Helvetica Neue" w:hAnsi="Helvetica Neue"/>
    </w:rPr>
  </w:style>
  <w:style w:type="numbering" w:styleId="NoList" w:default="1">
    <w:name w:val="No List"/>
    <w:uiPriority w:val="99"/>
    <w:semiHidden/>
    <w:unhideWhenUsed/>
    <w:qFormat/>
  </w:style>
  <w:style w:type="numbering" w:styleId="ImportedStyle1" w:customStyle="1">
    <w:name w:val="Imported Style 1"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prisma-statement.org/prisma-2020" TargetMode="External"/><Relationship Id="rId3" Type="http://schemas.openxmlformats.org/officeDocument/2006/relationships/hyperlink" Target="https://doi.org/10.1016/j.neuro.2009.10.017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LibreOffice/7.6.4.1$MacOSX_AARCH64 LibreOffice_project/e19e193f88cd6c0525a17fb7a176ed8e6a3e2aa1</Application>
  <AppVersion>15.0000</AppVersion>
  <Pages>4</Pages>
  <Words>532</Words>
  <Characters>2967</Characters>
  <CharactersWithSpaces>3577</CharactersWithSpaces>
  <Paragraphs>58</Paragraphs>
  <Company>Umweltbundesamt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2025-12-03T14:57:17Z</dcterms:created>
  <dc:creator>Paulina Sell; Dietrich Plass</dc:creator>
  <dc:description/>
  <dc:language>en-US</dc:language>
  <cp:lastModifiedBy/>
  <dcterms:modified xsi:type="dcterms:W3CDTF">2025-12-03T16:04:26Z</dcterms:modified>
  <cp:revision>1</cp:revision>
  <dc:subject/>
  <dc:title>Lead Exposure and IQ Loss: Comparison of a Bayesian vs. Frequentist Meta Analysis Approach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vancouver.csl</vt:lpwstr>
  </property>
  <property fmtid="{D5CDD505-2E9C-101B-9397-08002B2CF9AE}" pid="9" name="date-modified">
    <vt:lpwstr>2025-12-03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reference-section-title">
    <vt:lpwstr>References</vt:lpwstr>
  </property>
  <property fmtid="{D5CDD505-2E9C-101B-9397-08002B2CF9AE}" pid="15" name="toc-title">
    <vt:lpwstr>Table of contents</vt:lpwstr>
  </property>
</Properties>
</file>