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Abstract DGEpi 2026</w:t>
      </w:r>
    </w:p>
    <w:p>
      <w:pPr>
        <w:pStyle w:val="Author"/>
      </w:pPr>
      <w:r>
        <w:t xml:space="preserve">Paulina Sell</w:t>
      </w:r>
      <w:r>
        <w:rPr>
          <w:vertAlign w:val="superscript"/>
        </w:rPr>
        <w:t xml:space="preserve">1</w:t>
      </w:r>
      <w:r>
        <w:t xml:space="preserve">, Margaux Sanchez</w:t>
      </w:r>
      <w:r>
        <w:rPr>
          <w:vertAlign w:val="superscript"/>
        </w:rPr>
        <w:t xml:space="preserve">2</w:t>
      </w:r>
      <w:r>
        <w:t xml:space="preserve">, Philippe Palmont</w:t>
      </w:r>
      <w:r>
        <w:rPr>
          <w:vertAlign w:val="superscript"/>
        </w:rPr>
        <w:t xml:space="preserve">2</w:t>
      </w:r>
      <w:r>
        <w:t xml:space="preserve">, Simon Steiger</w:t>
      </w:r>
      <w:r>
        <w:rPr>
          <w:vertAlign w:val="superscript"/>
        </w:rPr>
        <w:t xml:space="preserve">3</w:t>
      </w:r>
      <w:r>
        <w:t xml:space="preserve">, and Dietrich Plass</w:t>
      </w:r>
      <w:r>
        <w:rPr>
          <w:vertAlign w:val="superscript"/>
        </w:rPr>
        <w:t xml:space="preserve">1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German Environment Agency, Environmental Hygiene, Berlin, Germany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French National Agency for Food, Environmental and Occupational Health &amp; Safety, Maisons-Alfort, France</w:t>
      </w:r>
      <w:r>
        <w:br/>
      </w:r>
      <w:r>
        <w:rPr>
          <w:vertAlign w:val="superscript"/>
        </w:rPr>
        <w:t xml:space="preserve">3</w:t>
      </w:r>
      <w:r>
        <w:t xml:space="preserve"> </w:t>
      </w:r>
      <w:r>
        <w:t xml:space="preserve">Karolinska Institutet, Department of Medicine Solna, Division of Clinical Epidemiology, Stockholm, Sweden</w:t>
      </w:r>
    </w:p>
    <w:bookmarkStart w:id="21" w:name="information-for-authors"/>
    <w:p>
      <w:pPr>
        <w:pStyle w:val="Heading2"/>
      </w:pPr>
      <w:r>
        <w:t xml:space="preserve">Information for Authors</w:t>
      </w:r>
    </w:p>
    <w:p>
      <w:pPr>
        <w:pStyle w:val="Compact"/>
        <w:numPr>
          <w:ilvl w:val="0"/>
          <w:numId w:val="1001"/>
        </w:numPr>
      </w:pPr>
      <w:r>
        <w:t xml:space="preserve">Abstract submission deadline:</w:t>
      </w:r>
      <w:r>
        <w:t xml:space="preserve"> </w:t>
      </w:r>
      <w:r>
        <w:rPr>
          <w:b/>
          <w:bCs/>
        </w:rPr>
        <w:t xml:space="preserve">April 15, 2026</w:t>
      </w:r>
    </w:p>
    <w:p>
      <w:pPr>
        <w:pStyle w:val="Compact"/>
        <w:numPr>
          <w:ilvl w:val="0"/>
          <w:numId w:val="1001"/>
        </w:numPr>
      </w:pPr>
      <w:r>
        <w:t xml:space="preserve">Submission as</w:t>
      </w:r>
      <w:r>
        <w:t xml:space="preserve"> </w:t>
      </w:r>
      <w:r>
        <w:rPr>
          <w:b/>
          <w:bCs/>
        </w:rPr>
        <w:t xml:space="preserve">oral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posters</w:t>
      </w:r>
    </w:p>
    <w:p>
      <w:pPr>
        <w:pStyle w:val="Compact"/>
        <w:numPr>
          <w:ilvl w:val="0"/>
          <w:numId w:val="1001"/>
        </w:numPr>
      </w:pPr>
      <w:r>
        <w:t xml:space="preserve">Abstracts have to be submitted in English.</w:t>
      </w:r>
    </w:p>
    <w:p>
      <w:pPr>
        <w:pStyle w:val="Compact"/>
        <w:numPr>
          <w:ilvl w:val="0"/>
          <w:numId w:val="1001"/>
        </w:numPr>
      </w:pPr>
      <w:r>
        <w:t xml:space="preserve">The length of the abstract is limited to</w:t>
      </w:r>
      <w:r>
        <w:t xml:space="preserve"> </w:t>
      </w:r>
      <w:r>
        <w:rPr>
          <w:b/>
          <w:bCs/>
        </w:rPr>
        <w:t xml:space="preserve">2,000 characters</w:t>
      </w:r>
      <w:r>
        <w:t xml:space="preserve"> </w:t>
      </w:r>
      <w:r>
        <w:t xml:space="preserve">(including spaces), the length of the</w:t>
      </w:r>
      <w:r>
        <w:t xml:space="preserve"> </w:t>
      </w:r>
      <w:r>
        <w:rPr>
          <w:b/>
          <w:bCs/>
        </w:rPr>
        <w:t xml:space="preserve">title to 250 characters</w:t>
      </w:r>
      <w:r>
        <w:t xml:space="preserve"> </w:t>
      </w:r>
      <w:r>
        <w:t xml:space="preserve">(including spaces).</w:t>
      </w:r>
    </w:p>
    <w:p>
      <w:pPr>
        <w:pStyle w:val="Compact"/>
        <w:numPr>
          <w:ilvl w:val="0"/>
          <w:numId w:val="1001"/>
        </w:numPr>
      </w:pPr>
      <w:r>
        <w:t xml:space="preserve">Use only common abbreviations as referenced in the</w:t>
      </w:r>
      <w:r>
        <w:t xml:space="preserve"> </w:t>
      </w:r>
      <w:hyperlink r:id="rId20">
        <w:r>
          <w:rPr>
            <w:rStyle w:val="Hyperlink"/>
          </w:rPr>
          <w:t xml:space="preserve">Oxford Dictionary of Abbreviations</w:t>
        </w:r>
      </w:hyperlink>
      <w:r>
        <w:t xml:space="preserve">. If you use your own abbreviations, they must be written out in full the first time they are used.</w:t>
      </w:r>
    </w:p>
    <w:p>
      <w:pPr>
        <w:pStyle w:val="Compact"/>
        <w:numPr>
          <w:ilvl w:val="0"/>
          <w:numId w:val="1001"/>
        </w:numPr>
      </w:pPr>
      <w:r>
        <w:t xml:space="preserve">The abstract should use the following structure as far as possible:</w:t>
      </w:r>
      <w:r>
        <w:t xml:space="preserve"> </w:t>
      </w:r>
      <w:r>
        <w:rPr>
          <w:b/>
          <w:bCs/>
        </w:rPr>
        <w:t xml:space="preserve">introduction, methods, results, conclusion/outlook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You can upload a maximum of</w:t>
      </w:r>
      <w:r>
        <w:t xml:space="preserve"> </w:t>
      </w:r>
      <w:r>
        <w:rPr>
          <w:b/>
          <w:bCs/>
        </w:rPr>
        <w:t xml:space="preserve">two additional files</w:t>
      </w:r>
      <w:r>
        <w:t xml:space="preserve"> </w:t>
      </w:r>
      <w:r>
        <w:t xml:space="preserve">containing either tables or graphics.</w:t>
      </w:r>
    </w:p>
    <w:p>
      <w:pPr>
        <w:pStyle w:val="Compact"/>
        <w:numPr>
          <w:ilvl w:val="0"/>
          <w:numId w:val="1001"/>
        </w:numPr>
      </w:pPr>
      <w:r>
        <w:t xml:space="preserve">You can add up to</w:t>
      </w:r>
      <w:r>
        <w:t xml:space="preserve"> </w:t>
      </w:r>
      <w:r>
        <w:rPr>
          <w:b/>
          <w:bCs/>
        </w:rPr>
        <w:t xml:space="preserve">5 keywords</w:t>
      </w:r>
      <w:r>
        <w:t xml:space="preserve"> </w:t>
      </w:r>
      <w:r>
        <w:t xml:space="preserve">to your post.</w:t>
      </w:r>
    </w:p>
    <w:p>
      <w:pPr>
        <w:pStyle w:val="Compact"/>
        <w:numPr>
          <w:ilvl w:val="0"/>
          <w:numId w:val="1001"/>
        </w:numPr>
      </w:pPr>
      <w:r>
        <w:t xml:space="preserve">When preparing your contribution, please make sure that the spelling, grammar, gender and diversity-sensitive language is correct. The contributions will be printed as submitted; there is no proofreading. After submission, contributions can be edited until the end of the abstract submission.</w:t>
      </w:r>
    </w:p>
    <w:p>
      <w:pPr>
        <w:pStyle w:val="Compact"/>
        <w:numPr>
          <w:ilvl w:val="0"/>
          <w:numId w:val="1001"/>
        </w:numPr>
      </w:pPr>
      <w:r>
        <w:t xml:space="preserve">The posters will be presented as printed version on poster boards on site.</w:t>
      </w:r>
    </w:p>
    <w:p>
      <w:pPr>
        <w:pStyle w:val="Compact"/>
        <w:numPr>
          <w:ilvl w:val="0"/>
          <w:numId w:val="1001"/>
        </w:numPr>
      </w:pPr>
      <w:r>
        <w:t xml:space="preserve">The decision on acceptance/rejection of an abstract and its classification in the program is made by the scientific committee based on the review results.</w:t>
      </w:r>
    </w:p>
    <w:p>
      <w:pPr>
        <w:pStyle w:val="Compact"/>
        <w:numPr>
          <w:ilvl w:val="0"/>
          <w:numId w:val="1001"/>
        </w:numPr>
      </w:pPr>
      <w:r>
        <w:t xml:space="preserve">The authorship will be informed in June 2026. Organisational details will be communicated directly to the authors.</w:t>
      </w:r>
    </w:p>
    <w:p>
      <w:pPr>
        <w:pStyle w:val="Compact"/>
        <w:numPr>
          <w:ilvl w:val="0"/>
          <w:numId w:val="1001"/>
        </w:numPr>
      </w:pPr>
      <w:r>
        <w:t xml:space="preserve">To present your paper, you must register for the congress for the fee and pay the registration fee in due time.</w:t>
      </w:r>
    </w:p>
    <w:bookmarkEnd w:id="21"/>
    <w:bookmarkStart w:id="22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Meta-analysis</w:t>
      </w:r>
      <w:r>
        <w:br/>
      </w:r>
      <w:r>
        <w:t xml:space="preserve">Evidence synthesis</w:t>
      </w:r>
      <w:r>
        <w:br/>
      </w:r>
      <w:r>
        <w:t xml:space="preserve">Bayesian modeling</w:t>
      </w:r>
      <w:r>
        <w:br/>
      </w:r>
      <w:r>
        <w:t xml:space="preserve">Uncertainty quantification</w:t>
      </w:r>
      <w:r>
        <w:br/>
      </w:r>
      <w:r>
        <w:t xml:space="preserve">Lead exposure</w:t>
      </w:r>
      <w:r>
        <w:br/>
      </w:r>
    </w:p>
    <w:p>
      <w:pPr>
        <w:pStyle w:val="BodyText"/>
      </w:pPr>
      <w:r>
        <w:rPr>
          <w:b/>
          <w:bCs/>
        </w:rPr>
        <w:t xml:space="preserve">Topic</w:t>
      </w:r>
      <w:r>
        <w:t xml:space="preserve">: Environmental Epidemiology</w:t>
      </w:r>
      <w:r>
        <w:br/>
      </w:r>
      <w:r>
        <w:rPr>
          <w:b/>
          <w:bCs/>
        </w:rPr>
        <w:t xml:space="preserve">Method</w:t>
      </w:r>
      <w:r>
        <w:t xml:space="preserve">: Evidence Synthesis and Triangulation</w:t>
      </w:r>
    </w:p>
    <w:bookmarkEnd w:id="22"/>
    <w:bookmarkStart w:id="24" w:name="abstract"/>
    <w:p>
      <w:pPr>
        <w:pStyle w:val="Heading2"/>
      </w:pPr>
      <w:r>
        <w:t xml:space="preserve">Abstract</w:t>
      </w:r>
    </w:p>
    <w:bookmarkStart w:id="23" w:name="Xe1419aa8ec0d4918e6d611078ec644dda570126"/>
    <w:p>
      <w:pPr>
        <w:pStyle w:val="Heading3"/>
      </w:pPr>
      <w:r>
        <w:t xml:space="preserve">Quantifying uncertainty: A methodological comparison of Bayesian and frequentist meta-analyses of studies on lead exposure and children’s intelligence quotient</w:t>
      </w:r>
    </w:p>
    <w:p>
      <w:pPr>
        <w:pStyle w:val="FirstParagraph"/>
      </w:pPr>
      <w:r>
        <w:rPr>
          <w:b/>
          <w:bCs/>
        </w:rPr>
        <w:t xml:space="preserve">Introduction</w:t>
      </w:r>
      <w:r>
        <w:t xml:space="preserve">: Uncertainty quantification in evidence synthesis is crucial for risk assessment and policy-making, but current meta-analysis approaches often fall short in this regard.</w:t>
      </w:r>
      <w:r>
        <w:t xml:space="preserve"> </w:t>
      </w:r>
      <w:r>
        <w:t xml:space="preserve">The Bayesian framework provides probabilistic uncertainty quantification.</w:t>
      </w:r>
      <w:r>
        <w:t xml:space="preserve"> </w:t>
      </w:r>
      <w:r>
        <w:t xml:space="preserve">We compared frequentist and Bayesian meta-analytic frameworks, using lead exposure and IQ as a case study.</w:t>
      </w:r>
    </w:p>
    <w:p>
      <w:pPr>
        <w:pStyle w:val="BodyText"/>
      </w:pPr>
      <w:r>
        <w:rPr>
          <w:b/>
          <w:bCs/>
        </w:rPr>
        <w:t xml:space="preserve">Methods</w:t>
      </w:r>
      <w:r>
        <w:t xml:space="preserve">: We systematically searched PubMed and Scopus for epidemiological studies on blood lead level (BLL) and IQ score in children.</w:t>
      </w:r>
      <w:r>
        <w:t xml:space="preserve"> </w:t>
      </w:r>
      <w:r>
        <w:t xml:space="preserve">Risk of bias (RoB) was assessed and regression coefficients were harmonized.</w:t>
      </w:r>
      <w:r>
        <w:t xml:space="preserve"> </w:t>
      </w:r>
      <w:r>
        <w:t xml:space="preserve">In both meta-analyses, we used random-effects models and included the same effect estimates.</w:t>
      </w:r>
      <w:r>
        <w:t xml:space="preserve"> </w:t>
      </w:r>
      <w:r>
        <w:t xml:space="preserve"> </w:t>
      </w:r>
      <w:r>
        <w:t xml:space="preserve">The Bayesian meta-analysis employed a hierarchical model with weakly-informative priors.</w:t>
      </w:r>
      <w:r>
        <w:t xml:space="preserve"> </w:t>
      </w:r>
      <w:r>
        <w:t xml:space="preserve">Sensitivity analyses examined robustness to RoB and prior specification.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were estimated as measures of between-study heterogeneity.</w:t>
      </w:r>
    </w:p>
    <w:p>
      <w:pPr>
        <w:pStyle w:val="BodyText"/>
      </w:pPr>
      <w:r>
        <w:rPr>
          <w:b/>
          <w:bCs/>
        </w:rPr>
        <w:t xml:space="preserve">Results</w:t>
      </w:r>
      <w:r>
        <w:t xml:space="preserve">: Twelve studies were included after screening.</w:t>
      </w:r>
      <w:r>
        <w:t xml:space="preserve"> </w:t>
      </w:r>
      <w:r>
        <w:t xml:space="preserve">The frequentist approach yielded a pooled estimate of -2.45 (95% confidence interval: -3.7; -1.2) IQ points per unit increase in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</m:oMath>
      <w:r>
        <w:t xml:space="preserve">-transformed BLL (µg/dL).</w:t>
      </w:r>
      <w:r>
        <w:t xml:space="preserve"> </w:t>
      </w:r>
      <w:r>
        <w:t xml:space="preserve">The Bayesian model yielded a mean pooled estimate of -2.28 (95% credible interval: -3.56; -1.06).</w:t>
      </w:r>
      <w:r>
        <w:t xml:space="preserve"> </w:t>
      </w:r>
      <w:r>
        <w:t xml:space="preserve">Between-study heterogeneity was substantial (frequentist: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3.3,</w:t>
      </w:r>
      <w:r>
        <w:t xml:space="preserve"> </w:t>
      </w:r>
      <m:oMath>
        <m:sSup>
          <m:e>
            <m:r>
              <m:rPr>
                <m:nor/>
                <m:sty m:val="p"/>
              </m:rPr>
              <m:t>I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85%; Bayesian:</w:t>
      </w:r>
      <w:r>
        <w:t xml:space="preserve"> </w:t>
      </w:r>
      <m:oMath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3.8,</w:t>
      </w:r>
      <w:r>
        <w:t xml:space="preserve"> </w:t>
      </w:r>
      <m:oMath>
        <m:sSup>
          <m:e>
            <m:r>
              <m:rPr>
                <m:nor/>
                <m:sty m:val="p"/>
              </m:rPr>
              <m:t>I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83.3%).</w:t>
      </w:r>
      <w:r>
        <w:t xml:space="preserve"> </w:t>
      </w:r>
      <w:r>
        <w:t xml:space="preserve">The Bayesian framework provided a posterior distribution for heterogeneity, quantifying uncertainty from between-study variation.</w:t>
      </w:r>
      <w:r>
        <w:t xml:space="preserve"> </w:t>
      </w:r>
      <w:r>
        <w:t xml:space="preserve">Sensitivity analyses showed robustness to RoB and prior specification.</w:t>
      </w:r>
      <w:r>
        <w:t xml:space="preserve"> </w:t>
      </w:r>
      <w:r>
        <w:t xml:space="preserve">The Bayesian framework was less sensitive to outlier studies, resulting in a lower pooled effect.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: We provide updated pooled estimates for the effect of lead exposure on children’s IQ.</w:t>
      </w:r>
      <w:r>
        <w:t xml:space="preserve"> </w:t>
      </w:r>
      <w:r>
        <w:t xml:space="preserve">The Bayesian framework provides posterior distributions, enabling direct probability statements, for example about exceeding risk thresholds, and comparative assessments across pollutants.</w:t>
      </w:r>
      <w:r>
        <w:t xml:space="preserve"> </w:t>
      </w:r>
      <w:r>
        <w:t xml:space="preserve">These features are of particular value regarding risk assessment and policy-making.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Fig. 1: Forest plots for Bayesian (left) and frequentist (right) meta-analyses. BLL, blood lead level; CI, confidence interval; CrI, credible interval</w:t>
            </w:r>
          </w:p>
        </w:tc>
      </w:tr>
    </w:tbl>
    <w:p>
      <w:pPr>
        <w:pStyle w:val="ImageCaption"/>
      </w:pPr>
      <w:r>
        <w:t xml:space="preserve">Fig. 1: Forest plots for Bayesian (left) and frequentist (right) meta-analyses. BLL, blood lead level; CI, confidence interval; CrI, credible interval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oed.com/information/understanding-entries/abbreviations/?tl=tr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oed.com/information/understanding-entries/abbreviations/?tl=tr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DGEpi 2026</dc:title>
  <dc:creator>Paulina Sell1, Margaux Sanchez2, Philippe Palmont2, Simon Steiger3, and Dietrich Plass1</dc:creator>
  <cp:keywords/>
  <dcterms:created xsi:type="dcterms:W3CDTF">2026-04-13T12:17:13Z</dcterms:created>
  <dcterms:modified xsi:type="dcterms:W3CDTF">2026-04-13T12:17:13Z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/Users/paulinasell/Documents/UBA/PARC/Metaanalysis_lead_IQloss/RProj/manuscript/references.bib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sl">
    <vt:lpwstr>/Users/paulinasell/Documents/UBA/PARC/Metaanalysis_lead_IQloss/RProj/manuscript/vancouver.csl</vt:lpwstr>
  </property>
  <property fmtid="{D5CDD505-2E9C-101B-9397-08002B2CF9AE}" pid="8" name="date-format">
    <vt:lpwstr>D MMMM YYYY</vt:lpwstr>
  </property>
  <property fmtid="{D5CDD505-2E9C-101B-9397-08002B2CF9AE}" pid="9" name="date-modified">
    <vt:lpwstr>13 April 2026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reference-section-title">
    <vt:lpwstr>References</vt:lpwstr>
  </property>
  <property fmtid="{D5CDD505-2E9C-101B-9397-08002B2CF9AE}" pid="16" name="toc-title">
    <vt:lpwstr>Table of contents</vt:lpwstr>
  </property>
</Properties>
</file>