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Abstract ISEE 2026</w:t>
      </w:r>
    </w:p>
    <w:p>
      <w:pPr>
        <w:pStyle w:val="Author"/>
      </w:pPr>
      <w:r>
        <w:t xml:space="preserve">Paulina Sell</w:t>
      </w:r>
      <w:r>
        <w:rPr>
          <w:vertAlign w:val="superscript"/>
        </w:rPr>
        <w:t xml:space="preserve">1</w:t>
      </w:r>
      <w:r>
        <w:t xml:space="preserve">, Margaux Sanchez</w:t>
      </w:r>
      <w:r>
        <w:rPr>
          <w:vertAlign w:val="superscript"/>
        </w:rPr>
        <w:t xml:space="preserve">2</w:t>
      </w:r>
      <w:r>
        <w:t xml:space="preserve">, Philippe Palmont</w:t>
      </w:r>
      <w:r>
        <w:rPr>
          <w:vertAlign w:val="superscript"/>
        </w:rPr>
        <w:t xml:space="preserve">2</w:t>
      </w:r>
      <w:r>
        <w:t xml:space="preserve">, and Dietrich Plass</w:t>
      </w:r>
      <w:r>
        <w:rPr>
          <w:vertAlign w:val="superscript"/>
        </w:rPr>
        <w:t xml:space="preserve">1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German Environment Agency, Environmental Hygiene, Berlin, Germany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t xml:space="preserve">French National Agency for Food, Environmental and Occupational Health &amp; Safety, Maisons-Alfort, France</w:t>
      </w:r>
    </w:p>
    <w:bookmarkStart w:id="20" w:name="information-for-authors"/>
    <w:p>
      <w:pPr>
        <w:pStyle w:val="Heading2"/>
      </w:pPr>
      <w:r>
        <w:t xml:space="preserve">Information for Authors:</w:t>
      </w:r>
    </w:p>
    <w:p>
      <w:pPr>
        <w:numPr>
          <w:ilvl w:val="0"/>
          <w:numId w:val="1001"/>
        </w:numPr>
      </w:pPr>
      <w:r>
        <w:t xml:space="preserve">Deadline: February 27, 2026 (23:59 CET)</w:t>
      </w:r>
    </w:p>
    <w:p>
      <w:pPr>
        <w:numPr>
          <w:ilvl w:val="0"/>
          <w:numId w:val="1001"/>
        </w:numPr>
      </w:pPr>
      <w:r>
        <w:t xml:space="preserve">Use acronyms only when necessary and define all non-standard abbreviations and concepts in your abstract at first use</w:t>
      </w:r>
    </w:p>
    <w:p>
      <w:pPr>
        <w:numPr>
          <w:ilvl w:val="0"/>
          <w:numId w:val="1001"/>
        </w:numPr>
      </w:pPr>
      <w:r>
        <w:t xml:space="preserve">Abstract titles can contain a maximum of</w:t>
      </w:r>
      <w:r>
        <w:t xml:space="preserve"> </w:t>
      </w:r>
      <w:r>
        <w:rPr>
          <w:b/>
          <w:bCs/>
        </w:rPr>
        <w:t xml:space="preserve">20 words</w:t>
      </w:r>
      <w:r>
        <w:t xml:space="preserve"> </w:t>
      </w:r>
      <w:r>
        <w:t xml:space="preserve">(no abbreviations)</w:t>
      </w:r>
    </w:p>
    <w:p>
      <w:pPr>
        <w:numPr>
          <w:ilvl w:val="0"/>
          <w:numId w:val="1001"/>
        </w:numPr>
      </w:pPr>
      <w:r>
        <w:t xml:space="preserve">The abstract body should not exceed</w:t>
      </w:r>
      <w:r>
        <w:t xml:space="preserve"> </w:t>
      </w:r>
      <w:r>
        <w:rPr>
          <w:b/>
          <w:bCs/>
        </w:rPr>
        <w:t xml:space="preserve">300 words</w:t>
      </w:r>
      <w:r>
        <w:t xml:space="preserve"> </w:t>
      </w:r>
      <w:r>
        <w:t xml:space="preserve">and should consist of the four sections: Objective, Material and Methods, Results, Conclusion.</w:t>
      </w:r>
    </w:p>
    <w:p>
      <w:pPr>
        <w:numPr>
          <w:ilvl w:val="0"/>
          <w:numId w:val="1001"/>
        </w:numPr>
      </w:pPr>
      <w:r>
        <w:t xml:space="preserve">Phrases such as</w:t>
      </w:r>
      <w:r>
        <w:t xml:space="preserve"> </w:t>
      </w:r>
      <w:r>
        <w:t xml:space="preserve">“results will be discussed”</w:t>
      </w:r>
      <w:r>
        <w:t xml:space="preserve"> </w:t>
      </w:r>
      <w:r>
        <w:t xml:space="preserve">or</w:t>
      </w:r>
      <w:r>
        <w:t xml:space="preserve"> </w:t>
      </w:r>
      <w:r>
        <w:t xml:space="preserve">“data will be presented”</w:t>
      </w:r>
      <w:r>
        <w:t xml:space="preserve"> </w:t>
      </w:r>
      <w:r>
        <w:t xml:space="preserve">should not be used.</w:t>
      </w:r>
    </w:p>
    <w:p>
      <w:pPr>
        <w:numPr>
          <w:ilvl w:val="0"/>
          <w:numId w:val="1001"/>
        </w:numPr>
      </w:pPr>
      <w:r>
        <w:t xml:space="preserve">Please mention all sources of funding for the work described and other acknowledgements briefly at the end of the abstract text.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main topic</w:t>
      </w:r>
      <w:r>
        <w:t xml:space="preserve"> </w:t>
      </w:r>
      <w:r>
        <w:t xml:space="preserve">that is relevant for your abstract must be selected during the submission process.</w:t>
      </w:r>
      <w:r>
        <w:t xml:space="preserve"> </w:t>
      </w:r>
      <w:r>
        <w:t xml:space="preserve">The Scientific Organizing Committee reserves the right to change the topics during the abstract review process.</w:t>
      </w:r>
    </w:p>
    <w:p>
      <w:pPr>
        <w:numPr>
          <w:ilvl w:val="0"/>
          <w:numId w:val="1001"/>
        </w:numPr>
      </w:pPr>
      <w:r>
        <w:t xml:space="preserve">Please enter</w:t>
      </w:r>
      <w:r>
        <w:t xml:space="preserve"> </w:t>
      </w:r>
      <w:r>
        <w:rPr>
          <w:b/>
          <w:bCs/>
        </w:rPr>
        <w:t xml:space="preserve">2 to 5 keywords</w:t>
      </w:r>
      <w:r>
        <w:t xml:space="preserve"> </w:t>
      </w:r>
      <w:r>
        <w:t xml:space="preserve">from the official keyword list</w:t>
      </w:r>
    </w:p>
    <w:p>
      <w:pPr>
        <w:numPr>
          <w:ilvl w:val="0"/>
          <w:numId w:val="1001"/>
        </w:numPr>
      </w:pPr>
      <w:r>
        <w:t xml:space="preserve">Topic: A-10: Chemical exposures / A-18: Methods (?)</w:t>
      </w:r>
    </w:p>
    <w:p>
      <w:pPr>
        <w:numPr>
          <w:ilvl w:val="0"/>
          <w:numId w:val="1001"/>
        </w:numPr>
      </w:pPr>
      <w:r>
        <w:t xml:space="preserve">Keywords: Chemical exposures, Environmental epidemiology, Heavy metals, Lead, International collaboration, Modeling (?)</w:t>
      </w:r>
    </w:p>
    <w:bookmarkEnd w:id="20"/>
    <w:bookmarkStart w:id="26" w:name="abstract"/>
    <w:p>
      <w:pPr>
        <w:pStyle w:val="Heading2"/>
      </w:pPr>
      <w:r>
        <w:t xml:space="preserve">Abstract</w:t>
      </w:r>
    </w:p>
    <w:bookmarkStart w:id="21" w:name="Xe1419aa8ec0d4918e6d611078ec644dda570126"/>
    <w:p>
      <w:pPr>
        <w:pStyle w:val="Heading3"/>
      </w:pPr>
      <w:r>
        <w:t xml:space="preserve">Quantifying uncertainty: A methodological comparison of Bayesian and frequentist meta-analyses of studies on lead exposure and children’s intelligence quotient</w:t>
      </w:r>
    </w:p>
    <w:bookmarkEnd w:id="21"/>
    <w:bookmarkStart w:id="22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Quantifying uncertainty is crucial for risk assessment and policy-making but current meta-analytic approaches fall short in this regard.</w:t>
      </w:r>
      <w:r>
        <w:t xml:space="preserve"> </w:t>
      </w:r>
      <w:r>
        <w:t xml:space="preserve">Bayesian meta-analysis provides probabilistic uncertainty quantification.</w:t>
      </w:r>
      <w:r>
        <w:t xml:space="preserve"> </w:t>
      </w:r>
      <w:r>
        <w:t xml:space="preserve">To evaluate differences in uncertainty quantification and applicability for risk assessment, we compared frequentist and Bayesian frameworks, using lead exposure and children’s intelligence quotient (IQ) as a case study.</w:t>
      </w:r>
    </w:p>
    <w:bookmarkEnd w:id="22"/>
    <w:bookmarkStart w:id="23" w:name="material-and-methods"/>
    <w:p>
      <w:pPr>
        <w:pStyle w:val="Heading3"/>
      </w:pPr>
      <w:r>
        <w:t xml:space="preserve">Material and Methods</w:t>
      </w:r>
    </w:p>
    <w:p>
      <w:pPr>
        <w:pStyle w:val="FirstParagraph"/>
      </w:pPr>
      <w:r>
        <w:t xml:space="preserve">We systematically searched PubMed and Scopus for epidemiological studies on blood lead level (BLL) and IQ score in children.</w:t>
      </w:r>
      <w:r>
        <w:t xml:space="preserve"> </w:t>
      </w:r>
      <w:r>
        <w:t xml:space="preserve">Risk of bias (RoB) was assessed and regression coefficients were harmonized to the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</m:oMath>
      <w:r>
        <w:t xml:space="preserve">​ scale.</w:t>
      </w:r>
      <w:r>
        <w:t xml:space="preserve"> </w:t>
      </w:r>
      <w:r>
        <w:t xml:space="preserve">In both meta-analyses, we assumed a multilevel structure, used random-effects models and included the same effect estimates.</w:t>
      </w:r>
      <w:r>
        <w:t xml:space="preserve"> </w:t>
      </w:r>
      <w:r>
        <w:t xml:space="preserve">The frequentist approach used restricted maximum-likelihood estimation.</w:t>
      </w:r>
      <w:r>
        <w:t xml:space="preserve"> </w:t>
      </w:r>
      <w:r>
        <w:t xml:space="preserve">The Bayesian meta-analysis employed a hierarchical model with weakly-informative priors.</w:t>
      </w:r>
      <w:r>
        <w:t xml:space="preserve"> </w:t>
      </w:r>
      <w:r>
        <w:t xml:space="preserve">Sensitivity analyses examined robustness to RoB and prior specification.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were estimated as measures of between-study heterogeneity.</w:t>
      </w:r>
    </w:p>
    <w:bookmarkEnd w:id="23"/>
    <w:bookmarkStart w:id="24" w:name="results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Twelve studies were included after screening.</w:t>
      </w:r>
      <w:r>
        <w:t xml:space="preserve"> </w:t>
      </w:r>
      <w:r>
        <w:t xml:space="preserve">The frequentist approach yielded a pooled estimate of -2.45 (95% confidence interval (CI): -3.7; -1.2) IQ points per unit increase in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</m:oMath>
      <w:r>
        <w:t xml:space="preserve">-transformed BLL (µg/dL).</w:t>
      </w:r>
      <w:r>
        <w:t xml:space="preserve"> </w:t>
      </w:r>
      <w:r>
        <w:t xml:space="preserve">The Bayesian model yielded a mean pooled estimate of -2.28 (95% credible interval (CrI): -3.56; -1.06).</w:t>
      </w:r>
      <w:r>
        <w:t xml:space="preserve"> </w:t>
      </w:r>
      <w:r>
        <w:t xml:space="preserve">Between-study heterogeneity was substantial (frequentist: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3.3,</w:t>
      </w:r>
      <w:r>
        <w:t xml:space="preserve"> </w:t>
      </w:r>
      <m:oMath>
        <m:sSup>
          <m:e>
            <m:r>
              <m:rPr>
                <m:nor/>
                <m:sty m:val="p"/>
              </m:rPr>
              <m:t>I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85%; Bayesian: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3.8,</w:t>
      </w:r>
      <w:r>
        <w:t xml:space="preserve"> </w:t>
      </w:r>
      <m:oMath>
        <m:sSup>
          <m:e>
            <m:r>
              <m:rPr>
                <m:nor/>
                <m:sty m:val="p"/>
              </m:rPr>
              <m:t>I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83.3%).</w:t>
      </w:r>
      <w:r>
        <w:t xml:space="preserve"> </w:t>
      </w:r>
      <w:r>
        <w:t xml:space="preserve">The Bayesian approach provided a posterior distribution for heterogeneity, quantifying uncertainty from between-study variation.</w:t>
      </w:r>
      <w:r>
        <w:t xml:space="preserve"> </w:t>
      </w:r>
      <w:r>
        <w:t xml:space="preserve">Sensitivity analyses showed robustness to RoB and prior specification.</w:t>
      </w:r>
      <w:r>
        <w:t xml:space="preserve"> </w:t>
      </w:r>
      <w:r>
        <w:t xml:space="preserve">The Bayesian approach was less sensitive to outlier studies, resulting in a lower pooled effect.</w:t>
      </w:r>
    </w:p>
    <w:bookmarkEnd w:id="24"/>
    <w:bookmarkStart w:id="25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We provide updated pooled estimates for the effect of lead exposure on children’s IQ.</w:t>
      </w:r>
      <w:r>
        <w:t xml:space="preserve"> </w:t>
      </w:r>
      <w:r>
        <w:t xml:space="preserve">The Bayesian approach provides posterior distributions, enabling direct probability statements, for example about exceeding risk thresholds, and comparative assessments across pollutants.</w:t>
      </w:r>
      <w:r>
        <w:t xml:space="preserve"> </w:t>
      </w:r>
      <w:r>
        <w:t xml:space="preserve">These features are of particular value regarding risk assessment and policy-making.</w:t>
      </w:r>
    </w:p>
    <w:p>
      <w:pPr>
        <w:pStyle w:val="BodyText"/>
      </w:pPr>
      <w:r>
        <w:t xml:space="preserve">Funded under EU Horizon (Grant Agreement No 101057014).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ISEE 2026</dc:title>
  <dc:creator>Paulina Sell1, Margaux Sanchez2, Philippe Palmont2, and Dietrich Plass1</dc:creator>
  <cp:keywords/>
  <dcterms:created xsi:type="dcterms:W3CDTF">2026-04-13T12:41:45Z</dcterms:created>
  <dcterms:modified xsi:type="dcterms:W3CDTF">2026-04-13T12:41:45Z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../manuscript/references.bib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sl">
    <vt:lpwstr>../manuscript/vancouver.csl</vt:lpwstr>
  </property>
  <property fmtid="{D5CDD505-2E9C-101B-9397-08002B2CF9AE}" pid="8" name="date-format">
    <vt:lpwstr>D MMMM YYYY</vt:lpwstr>
  </property>
  <property fmtid="{D5CDD505-2E9C-101B-9397-08002B2CF9AE}" pid="9" name="date-modified">
    <vt:lpwstr>13 April 2026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reference-section-title">
    <vt:lpwstr>References</vt:lpwstr>
  </property>
  <property fmtid="{D5CDD505-2E9C-101B-9397-08002B2CF9AE}" pid="16" name="toc-title">
    <vt:lpwstr>Table of contents</vt:lpwstr>
  </property>
</Properties>
</file>