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 exposure and IQ loss in children: a Bayesian and frequentist meta-analysis of recent epidemiological studies</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Environmental Hygiene, German Environment Agency, Berlin, Germany</w:t>
      </w:r>
      <w:r>
        <w:br/>
      </w:r>
      <w:r>
        <w:rPr>
          <w:vertAlign w:val="superscript"/>
        </w:rPr>
        <w:t xml:space="preserve">2</w:t>
      </w:r>
      <w:r>
        <w:t xml:space="preserve"> </w:t>
      </w:r>
      <w:r>
        <w:t xml:space="preserve">Agence nationale de sécurité sanitaire,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4" w:name="notes"/>
    <w:p>
      <w:pPr>
        <w:pStyle w:val="Heading1"/>
      </w:pPr>
      <w:r>
        <w:t xml:space="preserve">Notes</w:t>
      </w:r>
    </w:p>
    <w:p>
      <w:pPr>
        <w:pStyle w:val="Compact"/>
        <w:numPr>
          <w:ilvl w:val="0"/>
          <w:numId w:val="1001"/>
        </w:numPr>
      </w:pPr>
      <w:r>
        <w:t xml:space="preserve">Journal:</w:t>
      </w:r>
      <w:r>
        <w:t xml:space="preserve"> </w:t>
      </w:r>
      <w:hyperlink r:id="rId21">
        <w:r>
          <w:rPr>
            <w:rStyle w:val="Hyperlink"/>
          </w:rPr>
          <w:t xml:space="preserve">Population Health Metrics, BMC</w:t>
        </w:r>
      </w:hyperlink>
    </w:p>
    <w:p>
      <w:pPr>
        <w:pStyle w:val="Compact"/>
        <w:numPr>
          <w:ilvl w:val="0"/>
          <w:numId w:val="1001"/>
        </w:numPr>
      </w:pPr>
      <w:r>
        <w:t xml:space="preserve">Using</w:t>
      </w:r>
      <w:r>
        <w:t xml:space="preserve"> </w:t>
      </w:r>
      <w:hyperlink r:id="rId22">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3">
        <w:r>
          <w:rPr>
            <w:rStyle w:val="Hyperlink"/>
          </w:rPr>
          <w:t xml:space="preserve">raRoB tool</w:t>
        </w:r>
      </w:hyperlink>
      <w:r>
        <w:t xml:space="preserve"> </w:t>
      </w:r>
      <w:r>
        <w:t xml:space="preserve">for Risk of Bias Assessment</w:t>
      </w:r>
    </w:p>
    <w:bookmarkEnd w:id="24"/>
    <w:bookmarkStart w:id="25" w:name="abstract"/>
    <w:p>
      <w:pPr>
        <w:pStyle w:val="Heading1"/>
      </w:pPr>
      <w:r>
        <w:t xml:space="preserve">Abstract</w:t>
      </w:r>
    </w:p>
    <w:p>
      <w:r>
        <w:br w:type="page"/>
      </w:r>
    </w:p>
    <w:bookmarkEnd w:id="25"/>
    <w:bookmarkStart w:id="27"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6">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(18,19)</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(16,20)</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(5,17,21–23)</w:t>
      </w:r>
      <w:r>
        <w:t xml:space="preserve"> </w:t>
      </w:r>
      <w:r>
        <w:t xml:space="preserve">rely predominantly on two foundational studies: a pooled analysis of seven cohort-studies by Lanphear et al. (2005) or the subsequent re-analysis by Crump et al. (2013)</w:t>
      </w:r>
      <w:r>
        <w:t xml:space="preserve"> </w:t>
      </w:r>
      <w:r>
        <w:t xml:space="preserve">(16,24)</w:t>
      </w:r>
      <w:r>
        <w:t xml:space="preserve">.</w:t>
      </w:r>
      <w:r>
        <w:t xml:space="preserve"> </w:t>
      </w:r>
      <w:r>
        <w:t xml:space="preserve">While these landmark studies have substantially shaped research and policy on childhood lead exposure, methodological issues and errors in the Lanphear et al. 2005 article have been raised</w:t>
      </w:r>
      <w:r>
        <w:t xml:space="preserve"> </w:t>
      </w:r>
      <w:r>
        <w:t xml:space="preserve">(24,25)</w:t>
      </w:r>
      <w:r>
        <w:t xml:space="preserve"> </w:t>
      </w:r>
      <w:r>
        <w:t xml:space="preserve">and the stepwise backward-elimination regression approach used by Crump et al. (2013), which is central to their findings, has received substantial criticism</w:t>
      </w:r>
      <w:r>
        <w:t xml:space="preserve"> </w:t>
      </w:r>
      <w:r>
        <w:t xml:space="preserve">(26–28)</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(29)</w:t>
      </w:r>
      <w:r>
        <w:t xml:space="preserve">.</w:t>
      </w:r>
      <w:r>
        <w:t xml:space="preserve"> </w:t>
      </w:r>
      <w:r>
        <w:t xml:space="preserve">Unlike frequentist confidence intervals, which are often misinterpreted as probabilistic</w:t>
      </w:r>
      <w:r>
        <w:t xml:space="preserve"> </w:t>
      </w:r>
      <w:r>
        <w:t xml:space="preserve">(30)</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7"/>
    <w:bookmarkStart w:id="43" w:name="methods"/>
    <w:p>
      <w:pPr>
        <w:pStyle w:val="Heading1"/>
      </w:pPr>
      <w:r>
        <w:t xml:space="preserve">2. Methods</w:t>
      </w:r>
    </w:p>
    <w:p>
      <w:pPr>
        <w:pStyle w:val="Compact"/>
        <w:numPr>
          <w:ilvl w:val="0"/>
          <w:numId w:val="1002"/>
        </w:numPr>
      </w:pPr>
      <w:r>
        <w:t xml:space="preserve">Overview: systematic review and meta-analysis, comparing a frequentist to a Bayesian approach</w:t>
      </w:r>
    </w:p>
    <w:p>
      <w:pPr>
        <w:pStyle w:val="Compact"/>
        <w:numPr>
          <w:ilvl w:val="0"/>
          <w:numId w:val="1003"/>
        </w:numPr>
      </w:pPr>
      <w:r>
        <w:t xml:space="preserve">Inclusion &amp; exclusion criteria, databases, search strategy, screening process</w:t>
      </w:r>
    </w:p>
    <w:p>
      <w:pPr>
        <w:pStyle w:val="Compact"/>
        <w:numPr>
          <w:ilvl w:val="0"/>
          <w:numId w:val="1004"/>
        </w:numPr>
      </w:pPr>
      <w:r>
        <w:t xml:space="preserve">Risk of bias analysis method</w:t>
      </w:r>
    </w:p>
    <w:p>
      <w:pPr>
        <w:pStyle w:val="Compact"/>
        <w:numPr>
          <w:ilvl w:val="0"/>
          <w:numId w:val="1005"/>
        </w:numPr>
      </w:pPr>
      <w:r>
        <w:t xml:space="preserve">Description &amp; rationale of harmonization of reported effect measures</w:t>
      </w:r>
    </w:p>
    <w:p>
      <w:pPr>
        <w:pStyle w:val="Compact"/>
        <w:numPr>
          <w:ilvl w:val="0"/>
          <w:numId w:val="1006"/>
        </w:numPr>
      </w:pPr>
      <w:r>
        <w:t xml:space="preserve">Description of meta-analysis methodology (frequentist &amp; Bayesian), models and software used,</w:t>
      </w:r>
      <w:r>
        <w:t xml:space="preserve"> </w:t>
      </w:r>
      <w:r>
        <w:rPr>
          <w:b/>
          <w:bCs/>
        </w:rPr>
        <w:t xml:space="preserve">heterogeneity</w:t>
      </w:r>
      <w:r>
        <w:t xml:space="preserve"> </w:t>
      </w:r>
      <w:r>
        <w:t xml:space="preserve">identification, prior choice</w:t>
      </w:r>
    </w:p>
    <w:p>
      <w:pPr>
        <w:pStyle w:val="Compact"/>
        <w:numPr>
          <w:ilvl w:val="0"/>
          <w:numId w:val="1007"/>
        </w:numPr>
      </w:pPr>
      <w:r>
        <w:t xml:space="preserve">Sensitivity analysis</w:t>
      </w:r>
      <w:r>
        <w:br/>
      </w:r>
    </w:p>
    <w:bookmarkStart w:id="29"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(31)</w:t>
      </w:r>
      <w:r>
        <w:t xml:space="preserve">.</w:t>
      </w:r>
      <w:r>
        <w:t xml:space="preserve"> </w:t>
      </w:r>
      <w:r>
        <w:t xml:space="preserve">The checklist can be found in the supplementary files.</w:t>
      </w:r>
      <w:r>
        <w:t xml:space="preserve"> </w:t>
      </w:r>
      <w:r>
        <w:t xml:space="preserve">The reporting of the Bayesian methods and their results was guided by the Bayesian Analysis Reporting Guidelines (BARG)</w:t>
      </w:r>
      <w:r>
        <w:t xml:space="preserve"> </w:t>
      </w:r>
      <w:r>
        <w:t xml:space="preserve">(32)</w:t>
      </w:r>
      <w:r>
        <w:t xml:space="preserve">.</w:t>
      </w:r>
      <w:r>
        <w:br/>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28">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(Table 1).</w:t>
      </w:r>
      <w:r>
        <w:t xml:space="preserve"> </w:t>
      </w:r>
      <w:r>
        <w:t xml:space="preserve"> </w:t>
      </w:r>
      <w:r>
        <w:t xml:space="preserve">All titles and abstracts were screened by two reviewers.</w:t>
      </w:r>
      <w:r>
        <w:t xml:space="preserve"> </w:t>
      </w:r>
      <w:r>
        <w:t xml:space="preserve">Any conflicts were resolved by a third person.</w:t>
      </w:r>
      <w:r>
        <w:t xml:space="preserve"> </w:t>
      </w:r>
      <w:r>
        <w:t xml:space="preserve">Full text was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be conducted at the same time.</w:t>
      </w:r>
      <w:r>
        <w:t xml:space="preserve"> </w:t>
      </w:r>
      <w:r>
        <w:t xml:space="preserve">Descriptive study data was extracted using a grid based on the one proposed by NTP OHAT</w:t>
      </w:r>
      <w:r>
        <w:t xml:space="preserve"> </w:t>
      </w:r>
      <w:r>
        <w:t xml:space="preserve">(33)</w:t>
      </w:r>
      <w:r>
        <w:t xml:space="preserve">.</w:t>
      </w:r>
      <w:r>
        <w:t xml:space="preserve"> </w:t>
      </w:r>
      <w:r>
        <w:t xml:space="preserve">For all included studies, effect estimates from the most-adjusted model were extracted and the set of confounders adjused for recorded.</w:t>
      </w:r>
    </w:p>
    <w:bookmarkEnd w:id="29"/>
    <w:bookmarkStart w:id="30"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(34)</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15 items were evaluated for each study.</w:t>
      </w:r>
      <w:r>
        <w:t xml:space="preserve"> </w:t>
      </w:r>
      <w:r>
        <w:t xml:space="preserve">The overall RoB for each individual study was then categorized by one researcher as either low, moderate or high, following two different summary metrics provided by the RoB tool (for more information, see</w:t>
      </w:r>
      <w:r>
        <w:t xml:space="preserve"> </w:t>
      </w:r>
      <w:r>
        <w:t xml:space="preserve">(34)</w:t>
      </w:r>
      <w:r>
        <w:t xml:space="preserve">).</w:t>
      </w:r>
      <w:r>
        <w:t xml:space="preserve"> </w:t>
      </w:r>
      <w:r>
        <w:t xml:space="preserve">Each publication was first assessed by one researcher.</w:t>
      </w:r>
      <w:r>
        <w:t xml:space="preserve"> </w:t>
      </w:r>
      <w:r>
        <w:t xml:space="preserve">Subsequently, consensus with a large language model (LLM) was sought.</w:t>
      </w:r>
      <w:r>
        <w:t xml:space="preserve"> </w:t>
      </w:r>
      <w:r>
        <w:t xml:space="preserve">This was done by uploading the list of all raRoB items along with the respective publication.</w:t>
      </w:r>
      <w:r>
        <w:t xml:space="preserve"> </w:t>
      </w:r>
      <w:r>
        <w:t xml:space="preserve">Then, the LLM was promted to assess the study, using the raRoB items and possible answer categories.</w:t>
      </w:r>
      <w:r>
        <w:t xml:space="preserve"> </w:t>
      </w:r>
      <w:r>
        <w:t xml:space="preserve">If there were any deviations in the judgement of the researcher and the LLM, the respective item was revisited by the researcher and they made the final decision.</w:t>
      </w:r>
    </w:p>
    <w:bookmarkEnd w:id="30"/>
    <w:bookmarkStart w:id="32"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(35,36)</w:t>
      </w:r>
      <w:r>
        <w:t xml:space="preserve">, this assumption may only be valid at very low concentrations</w:t>
      </w:r>
      <w:r>
        <w:t xml:space="preserve"> </w:t>
      </w:r>
      <w:r>
        <w:t xml:space="preserve">(24)</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(24,37)</w:t>
      </w:r>
      <w:r>
        <w:t xml:space="preserve">.</w:t>
      </w:r>
    </w:p>
    <w:p>
      <w:pPr>
        <w:pStyle w:val="BodyText"/>
      </w:pPr>
      <w:r>
        <w:t xml:space="preserve">The general form of regression model used for a log-linear association is:</w:t>
      </w:r>
    </w:p>
    <w:p>
      <w:pPr>
        <w:pStyle w:val="BodyText"/>
      </w:pPr>
      <w:bookmarkStart w:id="31"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1"/>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the natural logarithm (</w:t>
      </w:r>
      <m:oMath>
        <m:sSub>
          <m:e>
            <m:r>
              <m:rPr>
                <m:sty m:val="p"/>
              </m:rPr>
              <m:t>log</m:t>
            </m:r>
          </m:e>
          <m:sub>
            <m:r>
              <m:t>e</m:t>
            </m:r>
          </m:sub>
        </m:sSub>
      </m:oMath>
      <w:r>
        <w:t xml:space="preserve">​ where</w:t>
      </w:r>
      <w:r>
        <w:t xml:space="preserve"> </w:t>
      </w:r>
      <m:oMath>
        <m:r>
          <m:t>e</m:t>
        </m:r>
        <m:r>
          <m:rPr>
            <m:sty m:val="p"/>
          </m:rPr>
          <m:t>≈</m:t>
        </m:r>
        <m:r>
          <m:t>2.71828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1 (Screening documentation excel)</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(supplement: plots?).</w:t>
      </w:r>
    </w:p>
    <w:bookmarkEnd w:id="32"/>
    <w:bookmarkStart w:id="39"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In both approaches, the same effect estimates from the identified publications were included and analogous models were chosen to enable comparison between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blood lead concentration (µg/dL).</w:t>
      </w:r>
      <w:r>
        <w:br/>
      </w:r>
      <w:r>
        <w:t xml:space="preserve">R version 4.4.2 (2024-10-31)</w:t>
      </w:r>
      <w:r>
        <w:t xml:space="preserve"> </w:t>
      </w:r>
      <w:r>
        <w:t xml:space="preserve">(38)</w:t>
      </w:r>
      <w:r>
        <w:t xml:space="preserve"> </w:t>
      </w:r>
      <w:r>
        <w:t xml:space="preserve">was used for all computations.</w:t>
      </w:r>
      <w:r>
        <w:t xml:space="preserve"> </w:t>
      </w:r>
      <w:r>
        <w:t xml:space="preserve">All computational code for this study is publicly available on</w:t>
      </w:r>
      <w:r>
        <w:t xml:space="preserve"> </w:t>
      </w:r>
      <w:hyperlink r:id="rId33">
        <w:r>
          <w:rPr>
            <w:rStyle w:val="Hyperlink"/>
          </w:rPr>
          <w:t xml:space="preserve">GitHub</w:t>
        </w:r>
      </w:hyperlink>
      <w:r>
        <w:t xml:space="preserve">.</w:t>
      </w:r>
    </w:p>
    <w:bookmarkStart w:id="35"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4"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4"/>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(39)</w:t>
      </w:r>
      <w:r>
        <w:t xml:space="preserve"> </w:t>
      </w:r>
      <w:r>
        <w:t xml:space="preserve">version 2.22.0.</w:t>
      </w:r>
      <w:r>
        <w:t xml:space="preserve"> </w:t>
      </w:r>
      <w:r>
        <w:t xml:space="preserve">Posterior draws were sampled using the Hamiltonian Monte Carlo algorithm</w:t>
      </w:r>
      <w:r>
        <w:t xml:space="preserve"> </w:t>
      </w:r>
      <w:r>
        <w:t xml:space="preserve">(40)</w:t>
      </w:r>
      <w:r>
        <w:t xml:space="preserve"> </w:t>
      </w:r>
      <w:r>
        <w:t xml:space="preserve">and the No-U-Turn Sampler (NUTS)</w:t>
      </w:r>
      <w:r>
        <w:t xml:space="preserve"> </w:t>
      </w:r>
      <w:r>
        <w:t xml:space="preserve">(41)</w:t>
      </w:r>
      <w:r>
        <w:t xml:space="preserve">.</w:t>
      </w:r>
      <w:r>
        <w:t xml:space="preserve"> </w:t>
      </w:r>
      <w:r>
        <w:t xml:space="preserve">We ran four chains with 4,000 iterations each, of which 2,000 iterations were discarded as warmup, resulting in 8,000 total post-warmup draws.</w:t>
      </w:r>
      <w:r>
        <w:t xml:space="preserve"> </w:t>
      </w:r>
      <w:r>
        <w:t xml:space="preserve">Convergence was assessed using the Gelman-Rubin statistic (</w:t>
      </w:r>
      <m:oMath>
        <m:acc>
          <m:accPr>
            <m:chr m:val="̂"/>
          </m:accPr>
          <m:e>
            <m:r>
              <m:t>R</m:t>
            </m:r>
          </m:e>
        </m:acc>
      </m:oMath>
      <w:r>
        <w:t xml:space="preserve">) and effective sample size (ESS).</w:t>
      </w:r>
      <w:r>
        <w:t xml:space="preserve"> </w:t>
      </w:r>
      <w:r>
        <w:t xml:space="preserve">As shown in</w:t>
      </w:r>
      <w:r>
        <w:t xml:space="preserve"> </w:t>
      </w:r>
      <w:hyperlink w:anchor="eq-model">
        <w:r>
          <w:rPr>
            <w:rStyle w:val="Hyperlink"/>
          </w:rPr>
          <w:t xml:space="preserve">Equation 2</w:t>
        </w:r>
      </w:hyperlink>
      <w:r>
        <w:t xml:space="preserve">, heterogeneity</w:t>
      </w:r>
      <w:r>
        <w:t xml:space="preserve"> </w:t>
      </w:r>
      <m:oMath>
        <m:r>
          <m:t>τ</m:t>
        </m:r>
      </m:oMath>
      <w:r>
        <w:t xml:space="preserve"> </w:t>
      </w:r>
      <w:r>
        <w:t xml:space="preserve">was modelled as a parameter directly and</w:t>
      </w:r>
      <w:r>
        <w:t xml:space="preserve"> </w:t>
      </w:r>
      <m:oMath>
        <m:sSup>
          <m:e>
            <m:r>
              <m:t>I</m:t>
            </m:r>
          </m:e>
          <m:sup>
            <m:r>
              <m:t>2</m:t>
            </m:r>
          </m:sup>
        </m:sSup>
      </m:oMath>
      <w:r>
        <w:t xml:space="preserve"> </w:t>
      </w:r>
      <w:r>
        <w:t xml:space="preserve">was calculated using the typical within-study variance that is used in the frequentist approach so that it is comparable.</w:t>
      </w:r>
    </w:p>
    <w:bookmarkEnd w:id="35"/>
    <w:bookmarkStart w:id="37"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distrbution.</w:t>
      </w:r>
      <w:r>
        <w:t xml:space="preserve"> </w:t>
      </w:r>
      <w:r>
        <w:t xml:space="preserve">Prior distributions must be chosen for all parameters to be estimated in the analysis, which in this case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 conservative priors were chosen so that the posterior distributions are softly being bounded to a realistic range.</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about 95% probability.</w:t>
      </w:r>
      <w:r>
        <w:t xml:space="preserve"> </w:t>
      </w:r>
      <w:r>
        <w:t xml:space="preserve">The center point of the prior was chosen to be -1 because the negative effects of lead on the developing nervous system and its toxicological mechanisms of action are well established in the scientific literature</w:t>
      </w:r>
      <w:r>
        <w:t xml:space="preserve"> </w:t>
      </w:r>
      <w:r>
        <w:t xml:space="preserve">(18)</w:t>
      </w:r>
      <w:r>
        <w:t xml:space="preserve">.</w:t>
      </w:r>
      <w:r>
        <w:br/>
      </w:r>
      <w:r>
        <w:t xml:space="preserve">Since between-study standard deviation (heterogeneity)</w:t>
      </w:r>
      <w:r>
        <w:t xml:space="preserve"> </w:t>
      </w:r>
      <m:oMath>
        <m:r>
          <m:t>τ</m:t>
        </m:r>
      </m:oMath>
      <w:r>
        <w:t xml:space="preserve"> </w:t>
      </w:r>
      <w:r>
        <w:t xml:space="preserve">must by definition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6"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6"/>
    </w:p>
    <w:p>
      <w:pPr>
        <w:pStyle w:val="FirstParagraph"/>
      </w:pPr>
      <w:r>
        <w:t xml:space="preserve">Prior and posterior predictive simulations were conducted using the</w:t>
      </w:r>
      <w:r>
        <w:t xml:space="preserve"> </w:t>
      </w:r>
      <w:r>
        <w:rPr>
          <w:rStyle w:val="VerbatimChar"/>
        </w:rPr>
        <w:t xml:space="preserve">bayesplot</w:t>
      </w:r>
      <w:r>
        <w:t xml:space="preserve"> </w:t>
      </w:r>
      <w:r>
        <w:t xml:space="preserve">package</w:t>
      </w:r>
      <w:r>
        <w:t xml:space="preserve"> </w:t>
      </w:r>
      <w:r>
        <w:t xml:space="preserve">(42)</w:t>
      </w:r>
      <w:r>
        <w:t xml:space="preserve">.</w:t>
      </w:r>
    </w:p>
    <w:bookmarkEnd w:id="37"/>
    <w:bookmarkStart w:id="38"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w:t>
      </w:r>
      <w:r>
        <w:t xml:space="preserve">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(43)</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8"/>
    <w:bookmarkEnd w:id="39"/>
    <w:bookmarkStart w:id="42"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p>
      <w:pPr>
        <w:pStyle w:val="BodyText"/>
      </w:pPr>
      <w:r>
        <w:t xml:space="preserve">More informative priors (less conservative):</w:t>
      </w:r>
    </w:p>
    <w:p>
      <w:pPr>
        <w:pStyle w:val="BodyText"/>
      </w:pPr>
      <w:bookmarkStart w:id="40" w:name="eq-prior-sensitivity1"/>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1</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1</m:t>
                    </m:r>
                  </m:e>
                </m:d>
              </m:e>
            </m:mr>
          </m:m>
          <m:r>
            <m:t>  </m:t>
          </m:r>
          <m:d>
            <m:dPr>
              <m:begChr m:val="("/>
              <m:sepChr m:val=""/>
              <m:endChr m:val=")"/>
              <m:grow/>
            </m:dPr>
            <m:e>
              <m:r>
                <m:t>4</m:t>
              </m:r>
            </m:e>
          </m:d>
        </m:oMath>
      </m:oMathPara>
      <w:bookmarkEnd w:id="40"/>
    </w:p>
    <w:p>
      <w:pPr>
        <w:pStyle w:val="FirstParagraph"/>
      </w:pPr>
      <w:r>
        <w:t xml:space="preserve">Less informative priors (more conservative):</w:t>
      </w:r>
    </w:p>
    <w:p>
      <w:pPr>
        <w:pStyle w:val="BodyText"/>
      </w:pPr>
      <w:bookmarkStart w:id="41" w:name="eq-prior-sensitivity2"/>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t>0</m:t>
                    </m:r>
                    <m:r>
                      <m:rPr>
                        <m:sty m:val="p"/>
                      </m:rPr>
                      <m:t>,</m:t>
                    </m:r>
                    <m:r>
                      <m:t>6</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6</m:t>
                    </m:r>
                  </m:e>
                </m:d>
              </m:e>
            </m:mr>
          </m:m>
          <m:r>
            <m:t>  </m:t>
          </m:r>
          <m:d>
            <m:dPr>
              <m:begChr m:val="("/>
              <m:sepChr m:val=""/>
              <m:endChr m:val=")"/>
              <m:grow/>
            </m:dPr>
            <m:e>
              <m:r>
                <m:t>5</m:t>
              </m:r>
            </m:e>
          </m:d>
        </m:oMath>
      </m:oMathPara>
      <w:bookmarkEnd w:id="41"/>
    </w:p>
    <w:bookmarkEnd w:id="42"/>
    <w:bookmarkEnd w:id="43"/>
    <w:bookmarkStart w:id="48" w:name="results"/>
    <w:p>
      <w:pPr>
        <w:pStyle w:val="Heading1"/>
      </w:pPr>
      <w:r>
        <w:t xml:space="preserve">3. Results</w:t>
      </w:r>
    </w:p>
    <w:bookmarkStart w:id="44" w:name="literature-review-1"/>
    <w:p>
      <w:pPr>
        <w:pStyle w:val="Heading2"/>
      </w:pPr>
      <w:r>
        <w:t xml:space="preserve">3.1 Literature Review</w:t>
      </w:r>
    </w:p>
    <w:p>
      <w:pPr>
        <w:pStyle w:val="FirstParagraph"/>
      </w:pPr>
      <w:r>
        <w:t xml:space="preserve">As described in the methods section, the systematic review was conducted with a larger scope, because it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were abstract and title-screened (Pb &amp; Hg), which lead to 149 records to be screened in fulltext (Pb &amp; Hg).</w:t>
      </w:r>
      <w:r>
        <w:t xml:space="preserve"> </w:t>
      </w:r>
      <w:r>
        <w:t xml:space="preserve">After full text screening, 36 records remained for Pb.</w:t>
      </w:r>
      <w:r>
        <w:t xml:space="preserve"> </w:t>
      </w:r>
      <w:r>
        <w:t xml:space="preserve">These were then assessed for their eligibility for this study.</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Four studies were excluded because the cohorts included in the study were already included in another study and would have been duplicate.</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In Figure X (PRISMA), the full screenind process is shown.</w:t>
      </w:r>
      <w:r>
        <w:t xml:space="preserve"> </w:t>
      </w:r>
      <w:r>
        <w:t xml:space="preserve">A file containing all extracted study data as well as detailed exclusion reasons can be found in suppl. file X (systeamtic review process excel).</w:t>
      </w:r>
    </w:p>
    <w:bookmarkEnd w:id="44"/>
    <w:bookmarkStart w:id="45" w:name="risk-of-bias"/>
    <w:p>
      <w:pPr>
        <w:pStyle w:val="Heading2"/>
      </w:pPr>
      <w:r>
        <w:t xml:space="preserve">3.2 Risk of Bias</w:t>
      </w:r>
    </w:p>
    <w:bookmarkEnd w:id="45"/>
    <w:bookmarkStart w:id="46" w:name="meta-analysis-results"/>
    <w:p>
      <w:pPr>
        <w:pStyle w:val="Heading2"/>
      </w:pPr>
      <w:r>
        <w:t xml:space="preserve">3.3 Meta Analysis Results</w:t>
      </w:r>
    </w:p>
    <w:bookmarkEnd w:id="46"/>
    <w:bookmarkStart w:id="47" w:name="sensitivity-analysis-results"/>
    <w:p>
      <w:pPr>
        <w:pStyle w:val="Heading2"/>
      </w:pPr>
      <w:r>
        <w:t xml:space="preserve">3.4 Sensitivity Analysis Results</w:t>
      </w:r>
    </w:p>
    <w:p>
      <w:pPr>
        <w:pStyle w:val="Compact"/>
        <w:numPr>
          <w:ilvl w:val="0"/>
          <w:numId w:val="1008"/>
        </w:numPr>
      </w:pPr>
      <w:r>
        <w:t xml:space="preserve">Cite studies that might appear to meet inclusion criteria, but were excluded &amp; explain why (no citation)</w:t>
      </w:r>
    </w:p>
    <w:p>
      <w:pPr>
        <w:pStyle w:val="Compact"/>
        <w:numPr>
          <w:ilvl w:val="0"/>
          <w:numId w:val="1009"/>
        </w:numPr>
      </w:pPr>
      <w:r>
        <w:t xml:space="preserve">Study characteristics (table), including original and harmonized effect measures</w:t>
      </w:r>
    </w:p>
    <w:p>
      <w:pPr>
        <w:pStyle w:val="Compact"/>
        <w:numPr>
          <w:ilvl w:val="0"/>
          <w:numId w:val="1010"/>
        </w:numPr>
      </w:pPr>
      <w:r>
        <w:t xml:space="preserve">Flow diagram, description of (full text) screening results</w:t>
      </w:r>
    </w:p>
    <w:p>
      <w:pPr>
        <w:pStyle w:val="Compact"/>
        <w:numPr>
          <w:ilvl w:val="0"/>
          <w:numId w:val="1011"/>
        </w:numPr>
      </w:pPr>
      <w:r>
        <w:t xml:space="preserve">RoB results for each included study</w:t>
      </w:r>
    </w:p>
    <w:p>
      <w:pPr>
        <w:pStyle w:val="Compact"/>
        <w:numPr>
          <w:ilvl w:val="0"/>
          <w:numId w:val="1012"/>
        </w:numPr>
      </w:pPr>
      <w:r>
        <w:t xml:space="preserve">Forest plots</w:t>
      </w:r>
    </w:p>
    <w:p>
      <w:pPr>
        <w:pStyle w:val="Compact"/>
        <w:numPr>
          <w:ilvl w:val="0"/>
          <w:numId w:val="1013"/>
        </w:numPr>
      </w:pPr>
      <w:r>
        <w:t xml:space="preserve">Sensitivity analysis results</w:t>
      </w:r>
    </w:p>
    <w:bookmarkEnd w:id="47"/>
    <w:bookmarkEnd w:id="48"/>
    <w:bookmarkStart w:id="49" w:name="discussion"/>
    <w:p>
      <w:pPr>
        <w:pStyle w:val="Heading1"/>
      </w:pPr>
      <w:r>
        <w:t xml:space="preserve">4. Discussion</w:t>
      </w:r>
    </w:p>
    <w:p>
      <w:pPr>
        <w:pStyle w:val="Compact"/>
        <w:numPr>
          <w:ilvl w:val="0"/>
          <w:numId w:val="1014"/>
        </w:numPr>
      </w:pPr>
      <w:r>
        <w:t xml:space="preserve">General interpretation of results in light of evidence in literature</w:t>
      </w:r>
    </w:p>
    <w:p>
      <w:pPr>
        <w:pStyle w:val="Compact"/>
        <w:numPr>
          <w:ilvl w:val="0"/>
          <w:numId w:val="1015"/>
        </w:numPr>
      </w:pPr>
      <w:r>
        <w:t xml:space="preserve">Discuss differences, similarities, strengths and weaknesses of freq vs. Bayesian approach</w:t>
      </w:r>
    </w:p>
    <w:p>
      <w:pPr>
        <w:pStyle w:val="Compact"/>
        <w:numPr>
          <w:ilvl w:val="0"/>
          <w:numId w:val="1016"/>
        </w:numPr>
      </w:pPr>
      <w:r>
        <w:t xml:space="preserve">Study limitations &amp; strengths</w:t>
      </w:r>
    </w:p>
    <w:bookmarkEnd w:id="49"/>
    <w:bookmarkStart w:id="50" w:name="conclusions"/>
    <w:p>
      <w:pPr>
        <w:pStyle w:val="Heading1"/>
      </w:pPr>
      <w:r>
        <w:t xml:space="preserve">5. Conclusions</w:t>
      </w:r>
    </w:p>
    <w:p>
      <w:pPr>
        <w:pStyle w:val="Compact"/>
        <w:numPr>
          <w:ilvl w:val="0"/>
          <w:numId w:val="1017"/>
        </w:numPr>
      </w:pPr>
      <w:r>
        <w:t xml:space="preserve">Conclusion, with reference to aim of study</w:t>
      </w:r>
    </w:p>
    <w:p>
      <w:pPr>
        <w:pStyle w:val="Compact"/>
        <w:numPr>
          <w:ilvl w:val="0"/>
          <w:numId w:val="1018"/>
        </w:numPr>
      </w:pPr>
      <w:r>
        <w:t xml:space="preserve">Implications of results: policy, (scientific?) practice, future research needs</w:t>
      </w:r>
    </w:p>
    <w:bookmarkEnd w:id="50"/>
    <w:bookmarkStart w:id="51"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51"/>
    <w:bookmarkStart w:id="52"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52"/>
    <w:bookmarkStart w:id="53"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3"/>
    <w:bookmarkStart w:id="138" w:name="bibliography"/>
    <w:p>
      <w:pPr>
        <w:pStyle w:val="Heading1"/>
      </w:pPr>
      <w:r>
        <w:t xml:space="preserve">References</w:t>
      </w:r>
    </w:p>
    <w:bookmarkStart w:id="137" w:name="refs"/>
    <w:bookmarkStart w:id="55"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54">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55"/>
    <w:bookmarkStart w:id="57"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56">
        <w:r>
          <w:rPr>
            <w:rStyle w:val="Hyperlink"/>
          </w:rPr>
          <w:t xml:space="preserve">Global decrease in blood lead concentrations due to the removal of leaded gasoline</w:t>
        </w:r>
      </w:hyperlink>
      <w:r>
        <w:t xml:space="preserve">. Chemosphere. 2023;324:138207.</w:t>
      </w:r>
      <w:r>
        <w:t xml:space="preserve"> </w:t>
      </w:r>
    </w:p>
    <w:bookmarkEnd w:id="57"/>
    <w:bookmarkStart w:id="59" w:name="X4707f3a4b72a0982487545f9dc3d674642af108"/>
    <w:p>
      <w:pPr>
        <w:pStyle w:val="Bibliography"/>
      </w:pPr>
      <w:r>
        <w:t xml:space="preserve">3.</w:t>
      </w:r>
      <w:r>
        <w:t xml:space="preserve"> </w:t>
      </w:r>
      <w:r>
        <w:t xml:space="preserve">	</w:t>
      </w:r>
      <w:r>
        <w:t xml:space="preserve">European Food Safety Authority.</w:t>
      </w:r>
      <w:r>
        <w:t xml:space="preserve"> </w:t>
      </w:r>
      <w:hyperlink r:id="rId58">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59"/>
    <w:bookmarkStart w:id="61"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60">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61"/>
    <w:bookmarkStart w:id="63"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62">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63"/>
    <w:bookmarkStart w:id="65"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64">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65"/>
    <w:bookmarkStart w:id="67"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66">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67"/>
    <w:bookmarkStart w:id="69"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68">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69"/>
    <w:bookmarkStart w:id="71"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70">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71"/>
    <w:bookmarkStart w:id="73"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72">
        <w:r>
          <w:rPr>
            <w:rStyle w:val="Hyperlink"/>
          </w:rPr>
          <w:t xml:space="preserve">Low blood lead concentration in association with infertility in women</w:t>
        </w:r>
      </w:hyperlink>
      <w:r>
        <w:t xml:space="preserve">. Environmental Research. 2006 Jul;101(3):380–6.</w:t>
      </w:r>
      <w:r>
        <w:t xml:space="preserve"> </w:t>
      </w:r>
    </w:p>
    <w:bookmarkEnd w:id="73"/>
    <w:bookmarkStart w:id="75"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74">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75"/>
    <w:bookmarkStart w:id="77"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76">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77"/>
    <w:bookmarkStart w:id="79"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78">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79"/>
    <w:bookmarkStart w:id="81" w:name="ref-needleman1990LowLevelLeadExposure"/>
    <w:p>
      <w:pPr>
        <w:pStyle w:val="Bibliography"/>
      </w:pPr>
      <w:r>
        <w:t xml:space="preserve">14.</w:t>
      </w:r>
      <w:r>
        <w:t xml:space="preserve"> </w:t>
      </w:r>
      <w:r>
        <w:t xml:space="preserve">	</w:t>
      </w:r>
      <w:r>
        <w:t xml:space="preserve">Needleman HL.</w:t>
      </w:r>
      <w:r>
        <w:t xml:space="preserve"> </w:t>
      </w:r>
      <w:hyperlink r:id="rId80">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81"/>
    <w:bookmarkStart w:id="83" w:name="ref-bellinger1992LowLevelLeadExposure"/>
    <w:p>
      <w:pPr>
        <w:pStyle w:val="Bibliography"/>
      </w:pPr>
      <w:r>
        <w:t xml:space="preserve">15.</w:t>
      </w:r>
      <w:r>
        <w:t xml:space="preserve"> </w:t>
      </w:r>
      <w:r>
        <w:t xml:space="preserve">	</w:t>
      </w:r>
      <w:r>
        <w:t xml:space="preserve">Bellinger DC, Stiles KM, Needleman HL.</w:t>
      </w:r>
      <w:r>
        <w:t xml:space="preserve"> </w:t>
      </w:r>
      <w:hyperlink r:id="rId82">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83"/>
    <w:bookmarkStart w:id="85"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84">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85"/>
    <w:bookmarkStart w:id="87" w:name="ref-larsen2023GlobalHealthBurden"/>
    <w:p>
      <w:pPr>
        <w:pStyle w:val="Bibliography"/>
      </w:pPr>
      <w:r>
        <w:t xml:space="preserve">17.</w:t>
      </w:r>
      <w:r>
        <w:t xml:space="preserve"> </w:t>
      </w:r>
      <w:r>
        <w:t xml:space="preserve">	</w:t>
      </w:r>
      <w:r>
        <w:t xml:space="preserve">Larsen B, Sánchez-Triana E.</w:t>
      </w:r>
      <w:r>
        <w:t xml:space="preserve"> </w:t>
      </w:r>
      <w:hyperlink r:id="rId86">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87"/>
    <w:bookmarkStart w:id="89" w:name="X5615fc1cb9c455a90da75660348bda09fd0f967"/>
    <w:p>
      <w:pPr>
        <w:pStyle w:val="Bibliography"/>
      </w:pPr>
      <w:r>
        <w:t xml:space="preserve">18.</w:t>
      </w:r>
      <w:r>
        <w:t xml:space="preserve"> </w:t>
      </w:r>
      <w:r>
        <w:t xml:space="preserve">	</w:t>
      </w:r>
      <w:r>
        <w:t xml:space="preserve">EFSA Panel on Contaminants in the Food Chain (CONTAM).</w:t>
      </w:r>
      <w:r>
        <w:t xml:space="preserve"> </w:t>
      </w:r>
      <w:hyperlink r:id="rId88">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89"/>
    <w:bookmarkStart w:id="91" w:name="ref-schwartz1994LowLevelLeadExposure"/>
    <w:p>
      <w:pPr>
        <w:pStyle w:val="Bibliography"/>
      </w:pPr>
      <w:r>
        <w:t xml:space="preserve">19.</w:t>
      </w:r>
      <w:r>
        <w:t xml:space="preserve"> </w:t>
      </w:r>
      <w:r>
        <w:t xml:space="preserve">	</w:t>
      </w:r>
      <w:r>
        <w:t xml:space="preserve">Schwartz J.</w:t>
      </w:r>
      <w:r>
        <w:t xml:space="preserve"> </w:t>
      </w:r>
      <w:hyperlink r:id="rId90">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91"/>
    <w:bookmarkStart w:id="93" w:name="Xa2086c2c3f6a9ac4b676f66b1cdbbd5efdb3b23"/>
    <w:p>
      <w:pPr>
        <w:pStyle w:val="Bibliography"/>
      </w:pPr>
      <w:r>
        <w:t xml:space="preserve">20.</w:t>
      </w:r>
      <w:r>
        <w:t xml:space="preserve"> </w:t>
      </w:r>
      <w:r>
        <w:t xml:space="preserve">	</w:t>
      </w:r>
      <w:r>
        <w:t xml:space="preserve">Canfield RL, Henderson CR, Cory-Slechta DA, Cox C, Jusko TA, Lanphear BP.</w:t>
      </w:r>
      <w:r>
        <w:t xml:space="preserve"> </w:t>
      </w:r>
      <w:hyperlink r:id="rId92">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93"/>
    <w:bookmarkStart w:id="95" w:name="X93c1fc7f8e1220d02cbab90c02ac44248f2b23e"/>
    <w:p>
      <w:pPr>
        <w:pStyle w:val="Bibliography"/>
      </w:pPr>
      <w:r>
        <w:t xml:space="preserve">21.</w:t>
      </w:r>
      <w:r>
        <w:t xml:space="preserve"> </w:t>
      </w:r>
      <w:r>
        <w:t xml:space="preserve">	</w:t>
      </w:r>
      <w:r>
        <w:t xml:space="preserve">Carrington C, Devleesschauwer B, Gibb HJ, Bolger PM.</w:t>
      </w:r>
      <w:r>
        <w:t xml:space="preserve"> </w:t>
      </w:r>
      <w:hyperlink r:id="rId94">
        <w:r>
          <w:rPr>
            <w:rStyle w:val="Hyperlink"/>
          </w:rPr>
          <w:t xml:space="preserve">Global burden of intellectual disability resulting from dietary exposure to lead, 2015</w:t>
        </w:r>
      </w:hyperlink>
      <w:r>
        <w:t xml:space="preserve">. Environmental Research. 2019;172:420–9.</w:t>
      </w:r>
      <w:r>
        <w:t xml:space="preserve"> </w:t>
      </w:r>
    </w:p>
    <w:bookmarkEnd w:id="95"/>
    <w:bookmarkStart w:id="97" w:name="ref-figueroa2024LossCognitiveFunction"/>
    <w:p>
      <w:pPr>
        <w:pStyle w:val="Bibliography"/>
      </w:pPr>
      <w:r>
        <w:t xml:space="preserve">22.</w:t>
      </w:r>
      <w:r>
        <w:t xml:space="preserve"> </w:t>
      </w:r>
      <w:r>
        <w:t xml:space="preserve">	</w:t>
      </w:r>
      <w:r>
        <w:t xml:space="preserve">Figueroa JL, Rodríguez-Atristain A, Bautista-Arredondo LF, Treviño CL, Martínez MR, Valdivia BT, et al.</w:t>
      </w:r>
      <w:r>
        <w:t xml:space="preserve"> </w:t>
      </w:r>
      <w:hyperlink r:id="rId96">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97"/>
    <w:bookmarkStart w:id="99" w:name="ref-mcfarland2022HalfUSPopulation"/>
    <w:p>
      <w:pPr>
        <w:pStyle w:val="Bibliography"/>
      </w:pPr>
      <w:r>
        <w:t xml:space="preserve">23.</w:t>
      </w:r>
      <w:r>
        <w:t xml:space="preserve"> </w:t>
      </w:r>
      <w:r>
        <w:t xml:space="preserve">	</w:t>
      </w:r>
      <w:r>
        <w:t xml:space="preserve">McFarland MJ, Hauer ME, Reuben A.</w:t>
      </w:r>
      <w:r>
        <w:t xml:space="preserve"> </w:t>
      </w:r>
      <w:hyperlink r:id="rId98">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99"/>
    <w:bookmarkStart w:id="101" w:name="ref-crump2013StatisticalReevaluationData"/>
    <w:p>
      <w:pPr>
        <w:pStyle w:val="Bibliography"/>
      </w:pPr>
      <w:r>
        <w:t xml:space="preserve">24.</w:t>
      </w:r>
      <w:r>
        <w:t xml:space="preserve"> </w:t>
      </w:r>
      <w:r>
        <w:t xml:space="preserve">	</w:t>
      </w:r>
      <w:r>
        <w:t xml:space="preserve">Crump KS, Van Landingham C, Bowers TS, Cahoy D, Chandalia JK.</w:t>
      </w:r>
      <w:r>
        <w:t xml:space="preserve"> </w:t>
      </w:r>
      <w:hyperlink r:id="rId100">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01"/>
    <w:bookmarkStart w:id="103" w:name="X33f03e29791f20cdbbbbf0729c723b16e55ed16"/>
    <w:p>
      <w:pPr>
        <w:pStyle w:val="Bibliography"/>
      </w:pPr>
      <w:r>
        <w:t xml:space="preserve">25.</w:t>
      </w:r>
      <w:r>
        <w:t xml:space="preserve"> </w:t>
      </w:r>
      <w:r>
        <w:t xml:space="preserve">	</w:t>
      </w:r>
      <w:r>
        <w:t xml:space="preserve">Lanphear BP, Hornung R, Khoury J, Yolton K, Baghurst P, Bellinger DC, et al.</w:t>
      </w:r>
      <w:r>
        <w:t xml:space="preserve"> </w:t>
      </w:r>
      <w:hyperlink r:id="rId102">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03"/>
    <w:bookmarkStart w:id="105" w:name="X99fa6bd9cd2521340285769f289a6c9d4bfe17b"/>
    <w:p>
      <w:pPr>
        <w:pStyle w:val="Bibliography"/>
      </w:pPr>
      <w:r>
        <w:t xml:space="preserve">26.</w:t>
      </w:r>
      <w:r>
        <w:t xml:space="preserve"> </w:t>
      </w:r>
      <w:r>
        <w:t xml:space="preserve">	</w:t>
      </w:r>
      <w:r>
        <w:t xml:space="preserve">Thompson B.</w:t>
      </w:r>
      <w:r>
        <w:t xml:space="preserve"> </w:t>
      </w:r>
      <w:hyperlink r:id="rId104">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05"/>
    <w:bookmarkStart w:id="107" w:name="Xec30ec7c912152a14c0f622040312567154bf15"/>
    <w:p>
      <w:pPr>
        <w:pStyle w:val="Bibliography"/>
      </w:pPr>
      <w:r>
        <w:t xml:space="preserve">27.</w:t>
      </w:r>
      <w:r>
        <w:t xml:space="preserve"> </w:t>
      </w:r>
      <w:r>
        <w:t xml:space="preserve">	</w:t>
      </w:r>
      <w:r>
        <w:t xml:space="preserve">Harrell FE.</w:t>
      </w:r>
      <w:r>
        <w:t xml:space="preserve"> </w:t>
      </w:r>
      <w:hyperlink r:id="rId106">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07"/>
    <w:bookmarkStart w:id="109" w:name="ref-smith2018StepAwayStepwise"/>
    <w:p>
      <w:pPr>
        <w:pStyle w:val="Bibliography"/>
      </w:pPr>
      <w:r>
        <w:t xml:space="preserve">28.</w:t>
      </w:r>
      <w:r>
        <w:t xml:space="preserve"> </w:t>
      </w:r>
      <w:r>
        <w:t xml:space="preserve">	</w:t>
      </w:r>
      <w:r>
        <w:t xml:space="preserve">Smith G.</w:t>
      </w:r>
      <w:r>
        <w:t xml:space="preserve"> </w:t>
      </w:r>
      <w:hyperlink r:id="rId108">
        <w:r>
          <w:rPr>
            <w:rStyle w:val="Hyperlink"/>
          </w:rPr>
          <w:t xml:space="preserve">Step away from stepwise</w:t>
        </w:r>
      </w:hyperlink>
      <w:r>
        <w:t xml:space="preserve">. J Big Data. 2018 Dec;5(1):32.</w:t>
      </w:r>
      <w:r>
        <w:t xml:space="preserve"> </w:t>
      </w:r>
    </w:p>
    <w:bookmarkEnd w:id="109"/>
    <w:bookmarkStart w:id="111" w:name="X035620408d1fb22c7ed381e74f0468c30df4612"/>
    <w:p>
      <w:pPr>
        <w:pStyle w:val="Bibliography"/>
      </w:pPr>
      <w:r>
        <w:t xml:space="preserve">29.</w:t>
      </w:r>
      <w:r>
        <w:t xml:space="preserve"> </w:t>
      </w:r>
      <w:r>
        <w:t xml:space="preserve">	</w:t>
      </w:r>
      <w:r>
        <w:t xml:space="preserve">Grant R, Di Tanna GL.</w:t>
      </w:r>
      <w:r>
        <w:t xml:space="preserve"> </w:t>
      </w:r>
      <w:hyperlink r:id="rId110">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11"/>
    <w:bookmarkStart w:id="113" w:name="X837f91f784566061977da85c17a5755a81dedde"/>
    <w:p>
      <w:pPr>
        <w:pStyle w:val="Bibliography"/>
      </w:pPr>
      <w:r>
        <w:t xml:space="preserve">30.</w:t>
      </w:r>
      <w:r>
        <w:t xml:space="preserve"> </w:t>
      </w:r>
      <w:r>
        <w:t xml:space="preserve">	</w:t>
      </w:r>
      <w:r>
        <w:t xml:space="preserve">Hoekstra R, Morey RD, Rouder JN, Wagenmakers EJ.</w:t>
      </w:r>
      <w:r>
        <w:t xml:space="preserve"> </w:t>
      </w:r>
      <w:hyperlink r:id="rId112">
        <w:r>
          <w:rPr>
            <w:rStyle w:val="Hyperlink"/>
          </w:rPr>
          <w:t xml:space="preserve">Robust misinterpretation of confidence intervals</w:t>
        </w:r>
      </w:hyperlink>
      <w:r>
        <w:t xml:space="preserve">. Psychon Bull Rev. 2014 Oct;21(5):1157–64.</w:t>
      </w:r>
      <w:r>
        <w:t xml:space="preserve"> </w:t>
      </w:r>
    </w:p>
    <w:bookmarkEnd w:id="113"/>
    <w:bookmarkStart w:id="115" w:name="ref-page2021PRISMA2020Statement"/>
    <w:p>
      <w:pPr>
        <w:pStyle w:val="Bibliography"/>
      </w:pPr>
      <w:r>
        <w:t xml:space="preserve">31.</w:t>
      </w:r>
      <w:r>
        <w:t xml:space="preserve"> </w:t>
      </w:r>
      <w:r>
        <w:t xml:space="preserve">	</w:t>
      </w:r>
      <w:r>
        <w:t xml:space="preserve">Page MJ, McKenzie JE, Bossuyt PM, Boutron I, Hoffmann TC, Mulrow CD, et al.</w:t>
      </w:r>
      <w:r>
        <w:t xml:space="preserve"> </w:t>
      </w:r>
      <w:hyperlink r:id="rId114">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15"/>
    <w:bookmarkStart w:id="117" w:name="X5cae6442bbe0e1f5d8df6cd5008aab2dbfb65a6"/>
    <w:p>
      <w:pPr>
        <w:pStyle w:val="Bibliography"/>
      </w:pPr>
      <w:r>
        <w:t xml:space="preserve">32.</w:t>
      </w:r>
      <w:r>
        <w:t xml:space="preserve"> </w:t>
      </w:r>
      <w:r>
        <w:t xml:space="preserve">	</w:t>
      </w:r>
      <w:r>
        <w:t xml:space="preserve">Kruschke JK.</w:t>
      </w:r>
      <w:r>
        <w:t xml:space="preserve"> </w:t>
      </w:r>
      <w:hyperlink r:id="rId116">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17"/>
    <w:bookmarkStart w:id="118" w:name="Xf5486a80753c915bf34b5d8f3ad5e46aac479a7"/>
    <w:p>
      <w:pPr>
        <w:pStyle w:val="Bibliography"/>
      </w:pPr>
      <w:r>
        <w:t xml:space="preserve">33.</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18"/>
    <w:bookmarkStart w:id="120" w:name="ref-plate2024DevelopmentToolRapid"/>
    <w:p>
      <w:pPr>
        <w:pStyle w:val="Bibliography"/>
      </w:pPr>
      <w:r>
        <w:t xml:space="preserve">34.</w:t>
      </w:r>
      <w:r>
        <w:t xml:space="preserve"> </w:t>
      </w:r>
      <w:r>
        <w:t xml:space="preserve">	</w:t>
      </w:r>
      <w:r>
        <w:t xml:space="preserve">Plate K, Knüppel S, Hornbacher A, Greiner M, Müller-Graf C.</w:t>
      </w:r>
      <w:r>
        <w:t xml:space="preserve"> </w:t>
      </w:r>
      <w:hyperlink r:id="rId119">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20"/>
    <w:bookmarkStart w:id="122" w:name="ref-halabicky2023LowLevelLead"/>
    <w:p>
      <w:pPr>
        <w:pStyle w:val="Bibliography"/>
      </w:pPr>
      <w:r>
        <w:t xml:space="preserve">35.</w:t>
      </w:r>
      <w:r>
        <w:t xml:space="preserve"> </w:t>
      </w:r>
      <w:r>
        <w:t xml:space="preserve">	</w:t>
      </w:r>
      <w:r>
        <w:t xml:space="preserve">Halabicky OM, Pinto-Martin JA, Compton P, Liu J.</w:t>
      </w:r>
      <w:r>
        <w:t xml:space="preserve"> </w:t>
      </w:r>
      <w:hyperlink r:id="rId121">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22"/>
    <w:bookmarkStart w:id="124" w:name="ref-chen2005IQBloodLead"/>
    <w:p>
      <w:pPr>
        <w:pStyle w:val="Bibliography"/>
      </w:pPr>
      <w:r>
        <w:t xml:space="preserve">36.</w:t>
      </w:r>
      <w:r>
        <w:t xml:space="preserve"> </w:t>
      </w:r>
      <w:r>
        <w:t xml:space="preserve">	</w:t>
      </w:r>
      <w:r>
        <w:t xml:space="preserve">Chen A, Dietrich KN, Ware JH, Radcliffe J, Rogan WJ.</w:t>
      </w:r>
      <w:r>
        <w:t xml:space="preserve"> </w:t>
      </w:r>
      <w:hyperlink r:id="rId123">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24"/>
    <w:bookmarkStart w:id="126" w:name="Xcf7993c3f58afaabaf73be6238c67f4f63053d9"/>
    <w:p>
      <w:pPr>
        <w:pStyle w:val="Bibliography"/>
      </w:pPr>
      <w:r>
        <w:t xml:space="preserve">37.</w:t>
      </w:r>
      <w:r>
        <w:t xml:space="preserve"> </w:t>
      </w:r>
      <w:r>
        <w:t xml:space="preserve">	</w:t>
      </w:r>
      <w:r>
        <w:t xml:space="preserve">Schnaas L, Rothenberg Stephen J, Flores MF, Martinez S, Hernandez C, Osorio E, et al.</w:t>
      </w:r>
      <w:r>
        <w:t xml:space="preserve"> </w:t>
      </w:r>
      <w:hyperlink r:id="rId125">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26"/>
    <w:bookmarkStart w:id="127" w:name="X4bd034c52731e178b4de125c2c778bdc533803c"/>
    <w:p>
      <w:pPr>
        <w:pStyle w:val="Bibliography"/>
      </w:pPr>
      <w:r>
        <w:t xml:space="preserve">38.</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27"/>
    <w:bookmarkStart w:id="129" w:name="ref-burkner2017BrmsPackageBayesian"/>
    <w:p>
      <w:pPr>
        <w:pStyle w:val="Bibliography"/>
      </w:pPr>
      <w:r>
        <w:t xml:space="preserve">39.</w:t>
      </w:r>
      <w:r>
        <w:t xml:space="preserve"> </w:t>
      </w:r>
      <w:r>
        <w:t xml:space="preserve">	</w:t>
      </w:r>
      <w:r>
        <w:t xml:space="preserve">Bürkner PC.</w:t>
      </w:r>
      <w:r>
        <w:t xml:space="preserve"> </w:t>
      </w:r>
      <w:hyperlink r:id="rId128">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29"/>
    <w:bookmarkStart w:id="131" w:name="X7a078cdffdd6e8b0aafa2bdbd48e4ff223eee2f"/>
    <w:p>
      <w:pPr>
        <w:pStyle w:val="Bibliography"/>
      </w:pPr>
      <w:r>
        <w:t xml:space="preserve">40.</w:t>
      </w:r>
      <w:r>
        <w:t xml:space="preserve"> </w:t>
      </w:r>
      <w:r>
        <w:t xml:space="preserve">	</w:t>
      </w:r>
      <w:r>
        <w:t xml:space="preserve">Betancourt M.</w:t>
      </w:r>
      <w:r>
        <w:t xml:space="preserve"> </w:t>
      </w:r>
      <w:hyperlink r:id="rId130">
        <w:r>
          <w:rPr>
            <w:rStyle w:val="Hyperlink"/>
          </w:rPr>
          <w:t xml:space="preserve">A</w:t>
        </w:r>
        <w:r>
          <w:rPr>
            <w:rStyle w:val="Hyperlink"/>
          </w:rPr>
          <w:t xml:space="preserve"> </w:t>
        </w:r>
        <w:r>
          <w:rPr>
            <w:rStyle w:val="Hyperlink"/>
          </w:rPr>
          <w:t xml:space="preserve">Conceptual Introduction</w:t>
        </w:r>
        <w:r>
          <w:rPr>
            <w:rStyle w:val="Hyperlink"/>
          </w:rPr>
          <w:t xml:space="preserve"> </w:t>
        </w:r>
        <w:r>
          <w:rPr>
            <w:rStyle w:val="Hyperlink"/>
          </w:rPr>
          <w:t xml:space="preserve">to</w:t>
        </w:r>
        <w:r>
          <w:rPr>
            <w:rStyle w:val="Hyperlink"/>
          </w:rPr>
          <w:t xml:space="preserve"> </w:t>
        </w:r>
        <w:r>
          <w:rPr>
            <w:rStyle w:val="Hyperlink"/>
          </w:rPr>
          <w:t xml:space="preserve">Hamiltonian Monte Carlo</w:t>
        </w:r>
      </w:hyperlink>
      <w:r>
        <w:t xml:space="preserve">. arXiv; 2017.</w:t>
      </w:r>
      <w:r>
        <w:t xml:space="preserve"> </w:t>
      </w:r>
    </w:p>
    <w:bookmarkEnd w:id="131"/>
    <w:bookmarkStart w:id="133" w:name="ref-hoffman2011NoUTurnSamplerAdaptively"/>
    <w:p>
      <w:pPr>
        <w:pStyle w:val="Bibliography"/>
      </w:pPr>
      <w:r>
        <w:t xml:space="preserve">41.</w:t>
      </w:r>
      <w:r>
        <w:t xml:space="preserve"> </w:t>
      </w:r>
      <w:r>
        <w:t xml:space="preserve">	</w:t>
      </w:r>
      <w:r>
        <w:t xml:space="preserve">Hoffman MD, Gelman A.</w:t>
      </w:r>
      <w:r>
        <w:t xml:space="preserve"> </w:t>
      </w:r>
      <w:hyperlink r:id="rId132">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33"/>
    <w:bookmarkStart w:id="134" w:name="X21bf392f662dc1b38e9a7fa4b314fc7a471696b"/>
    <w:p>
      <w:pPr>
        <w:pStyle w:val="Bibliography"/>
      </w:pPr>
      <w:r>
        <w:t xml:space="preserve">42.</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34"/>
    <w:bookmarkStart w:id="136" w:name="X111bb06244f8f2a1a6d0d2f1f41c24b71f248e6"/>
    <w:p>
      <w:pPr>
        <w:pStyle w:val="Bibliography"/>
      </w:pPr>
      <w:r>
        <w:t xml:space="preserve">43.</w:t>
      </w:r>
      <w:r>
        <w:t xml:space="preserve"> </w:t>
      </w:r>
      <w:r>
        <w:t xml:space="preserve">	</w:t>
      </w:r>
      <w:r>
        <w:t xml:space="preserve">Wolfgang Viechtbauer.</w:t>
      </w:r>
      <w:r>
        <w:t xml:space="preserve"> </w:t>
      </w:r>
      <w:hyperlink r:id="rId135">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36"/>
    <w:bookmarkEnd w:id="137"/>
    <w:bookmarkEnd w:id="138"/>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2"/>
  </w:num>
  <w:num w:numId="1007">
    <w:abstractNumId w:val="993"/>
  </w:num>
  <w:num w:numId="1008">
    <w:abstractNumId w:val="993"/>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80" Target="https://doi.org/10.1001/jama.1990.03440050067035" TargetMode="External" /><Relationship Type="http://schemas.openxmlformats.org/officeDocument/2006/relationships/hyperlink" Id="rId90" Target="https://doi.org/10.1006/enrs.1994.1020" TargetMode="External" /><Relationship Type="http://schemas.openxmlformats.org/officeDocument/2006/relationships/hyperlink" Id="rId106" Target="https://doi.org/10.1007/978-3-319-19425-7" TargetMode="External" /><Relationship Type="http://schemas.openxmlformats.org/officeDocument/2006/relationships/hyperlink" Id="rId74" Target="https://doi.org/10.1007/s11121-023-01601-6" TargetMode="External" /><Relationship Type="http://schemas.openxmlformats.org/officeDocument/2006/relationships/hyperlink" Id="rId60" Target="https://doi.org/10.1007/s12403-023-00535-2" TargetMode="External" /><Relationship Type="http://schemas.openxmlformats.org/officeDocument/2006/relationships/hyperlink" Id="rId62" Target="https://doi.org/10.1016/S0140-6736(24)00933-4" TargetMode="External" /><Relationship Type="http://schemas.openxmlformats.org/officeDocument/2006/relationships/hyperlink" Id="rId70" Target="https://doi.org/10.1016/S2468-2667(18)30025-2" TargetMode="External" /><Relationship Type="http://schemas.openxmlformats.org/officeDocument/2006/relationships/hyperlink" Id="rId86" Target="https://doi.org/10.1016/S2542-5196(23)00166-3" TargetMode="External" /><Relationship Type="http://schemas.openxmlformats.org/officeDocument/2006/relationships/hyperlink" Id="rId56" Target="https://doi.org/10.1016/j.chemosphere.2023.138207" TargetMode="External" /><Relationship Type="http://schemas.openxmlformats.org/officeDocument/2006/relationships/hyperlink" Id="rId66" Target="https://doi.org/10.1016/j.ecoenv.2022.113257" TargetMode="External" /><Relationship Type="http://schemas.openxmlformats.org/officeDocument/2006/relationships/hyperlink" Id="rId76" Target="https://doi.org/10.1016/j.envint.2025.109786" TargetMode="External" /><Relationship Type="http://schemas.openxmlformats.org/officeDocument/2006/relationships/hyperlink" Id="rId72" Target="https://doi.org/10.1016/j.envres.2005.10.004" TargetMode="External" /><Relationship Type="http://schemas.openxmlformats.org/officeDocument/2006/relationships/hyperlink" Id="rId94" Target="https://doi.org/10.1016/j.envres.2019.02.023" TargetMode="External" /><Relationship Type="http://schemas.openxmlformats.org/officeDocument/2006/relationships/hyperlink" Id="rId96" Target="https://doi.org/10.1016/j.envres.2024.120013" TargetMode="External" /><Relationship Type="http://schemas.openxmlformats.org/officeDocument/2006/relationships/hyperlink" Id="rId121" Target="https://doi.org/10.1038/s41370-022-00450-9" TargetMode="External" /><Relationship Type="http://schemas.openxmlformats.org/officeDocument/2006/relationships/hyperlink" Id="rId116" Target="https://doi.org/10.1038/s41562-021-01177-7" TargetMode="External" /><Relationship Type="http://schemas.openxmlformats.org/officeDocument/2006/relationships/hyperlink" Id="rId54" Target="https://doi.org/10.1038/s41598-025-17943-w" TargetMode="External" /><Relationship Type="http://schemas.openxmlformats.org/officeDocument/2006/relationships/hyperlink" Id="rId64" Target="https://doi.org/10.1053/j.ajkd.2018.02.358" TargetMode="External" /><Relationship Type="http://schemas.openxmlformats.org/officeDocument/2006/relationships/hyperlink" Id="rId78" Target="https://doi.org/10.1056/NEJM199210293271805" TargetMode="External" /><Relationship Type="http://schemas.openxmlformats.org/officeDocument/2006/relationships/hyperlink" Id="rId92" Target="https://doi.org/10.1056/NEJMoa022848" TargetMode="External" /><Relationship Type="http://schemas.openxmlformats.org/officeDocument/2006/relationships/hyperlink" Id="rId98" Target="https://doi.org/10.1073/pnas.2118631119" TargetMode="External" /><Relationship Type="http://schemas.openxmlformats.org/officeDocument/2006/relationships/hyperlink" Id="rId114" Target="https://doi.org/10.1136/bmj.n71" TargetMode="External" /><Relationship Type="http://schemas.openxmlformats.org/officeDocument/2006/relationships/hyperlink" Id="rId68" Target="https://doi.org/10.1161/JAHA.124.037633" TargetMode="External" /><Relationship Type="http://schemas.openxmlformats.org/officeDocument/2006/relationships/hyperlink" Id="rId104" Target="https://doi.org/10.1177/0013164495055004001" TargetMode="External" /><Relationship Type="http://schemas.openxmlformats.org/officeDocument/2006/relationships/hyperlink" Id="rId108" Target="https://doi.org/10.1186/s40537-018-0143-6" TargetMode="External" /><Relationship Type="http://schemas.openxmlformats.org/officeDocument/2006/relationships/hyperlink" Id="rId110" Target="https://doi.org/10.1201/9781003375821" TargetMode="External" /><Relationship Type="http://schemas.openxmlformats.org/officeDocument/2006/relationships/hyperlink" Id="rId102" Target="https://doi.org/10.1289/EHP5685" TargetMode="External" /><Relationship Type="http://schemas.openxmlformats.org/officeDocument/2006/relationships/hyperlink" Id="rId125" Target="https://doi.org/10.1289/ehp.8552" TargetMode="External" /><Relationship Type="http://schemas.openxmlformats.org/officeDocument/2006/relationships/hyperlink" Id="rId82" Target="https://doi.org/10.1542/peds.90.6.855" TargetMode="External" /><Relationship Type="http://schemas.openxmlformats.org/officeDocument/2006/relationships/hyperlink" Id="rId135" Target="https://doi.org/10.18637/jss.v036.i03" TargetMode="External" /><Relationship Type="http://schemas.openxmlformats.org/officeDocument/2006/relationships/hyperlink" Id="rId128" Target="https://doi.org/10.18637/jss.v080.i01" TargetMode="External" /><Relationship Type="http://schemas.openxmlformats.org/officeDocument/2006/relationships/hyperlink" Id="rId88" Target="https://doi.org/10.2903/j.efsa.2010.1570" TargetMode="External" /><Relationship Type="http://schemas.openxmlformats.org/officeDocument/2006/relationships/hyperlink" Id="rId58"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0" Target="https://doi.org/10.3109/10408444.2013.832726" TargetMode="External" /><Relationship Type="http://schemas.openxmlformats.org/officeDocument/2006/relationships/hyperlink" Id="rId112" Target="https://doi.org/10.3758/s13423-013-0572-3" TargetMode="External" /><Relationship Type="http://schemas.openxmlformats.org/officeDocument/2006/relationships/hyperlink" Id="rId132" Target="https://doi.org/10.48550/ARXIV.1111.4246" TargetMode="External" /><Relationship Type="http://schemas.openxmlformats.org/officeDocument/2006/relationships/hyperlink" Id="rId130" Target="https://doi.org/10.48550/ARXIV.1701.02434" TargetMode="External" /><Relationship Type="http://schemas.openxmlformats.org/officeDocument/2006/relationships/hyperlink" Id="rId123" Target="https://doi.org/doi:10.1289/ehp.7625" TargetMode="External" /><Relationship Type="http://schemas.openxmlformats.org/officeDocument/2006/relationships/hyperlink" Id="rId84"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1/jama.1990.03440050067035" TargetMode="External" /><Relationship Type="http://schemas.openxmlformats.org/officeDocument/2006/relationships/hyperlink" Id="rId90" Target="https://doi.org/10.1006/enrs.1994.1020" TargetMode="External" /><Relationship Type="http://schemas.openxmlformats.org/officeDocument/2006/relationships/hyperlink" Id="rId106" Target="https://doi.org/10.1007/978-3-319-19425-7" TargetMode="External" /><Relationship Type="http://schemas.openxmlformats.org/officeDocument/2006/relationships/hyperlink" Id="rId74" Target="https://doi.org/10.1007/s11121-023-01601-6" TargetMode="External" /><Relationship Type="http://schemas.openxmlformats.org/officeDocument/2006/relationships/hyperlink" Id="rId60" Target="https://doi.org/10.1007/s12403-023-00535-2" TargetMode="External" /><Relationship Type="http://schemas.openxmlformats.org/officeDocument/2006/relationships/hyperlink" Id="rId62" Target="https://doi.org/10.1016/S0140-6736(24)00933-4" TargetMode="External" /><Relationship Type="http://schemas.openxmlformats.org/officeDocument/2006/relationships/hyperlink" Id="rId70" Target="https://doi.org/10.1016/S2468-2667(18)30025-2" TargetMode="External" /><Relationship Type="http://schemas.openxmlformats.org/officeDocument/2006/relationships/hyperlink" Id="rId86" Target="https://doi.org/10.1016/S2542-5196(23)00166-3" TargetMode="External" /><Relationship Type="http://schemas.openxmlformats.org/officeDocument/2006/relationships/hyperlink" Id="rId56" Target="https://doi.org/10.1016/j.chemosphere.2023.138207" TargetMode="External" /><Relationship Type="http://schemas.openxmlformats.org/officeDocument/2006/relationships/hyperlink" Id="rId66" Target="https://doi.org/10.1016/j.ecoenv.2022.113257" TargetMode="External" /><Relationship Type="http://schemas.openxmlformats.org/officeDocument/2006/relationships/hyperlink" Id="rId76" Target="https://doi.org/10.1016/j.envint.2025.109786" TargetMode="External" /><Relationship Type="http://schemas.openxmlformats.org/officeDocument/2006/relationships/hyperlink" Id="rId72" Target="https://doi.org/10.1016/j.envres.2005.10.004" TargetMode="External" /><Relationship Type="http://schemas.openxmlformats.org/officeDocument/2006/relationships/hyperlink" Id="rId94" Target="https://doi.org/10.1016/j.envres.2019.02.023" TargetMode="External" /><Relationship Type="http://schemas.openxmlformats.org/officeDocument/2006/relationships/hyperlink" Id="rId96" Target="https://doi.org/10.1016/j.envres.2024.120013" TargetMode="External" /><Relationship Type="http://schemas.openxmlformats.org/officeDocument/2006/relationships/hyperlink" Id="rId121" Target="https://doi.org/10.1038/s41370-022-00450-9" TargetMode="External" /><Relationship Type="http://schemas.openxmlformats.org/officeDocument/2006/relationships/hyperlink" Id="rId116" Target="https://doi.org/10.1038/s41562-021-01177-7" TargetMode="External" /><Relationship Type="http://schemas.openxmlformats.org/officeDocument/2006/relationships/hyperlink" Id="rId54" Target="https://doi.org/10.1038/s41598-025-17943-w" TargetMode="External" /><Relationship Type="http://schemas.openxmlformats.org/officeDocument/2006/relationships/hyperlink" Id="rId64" Target="https://doi.org/10.1053/j.ajkd.2018.02.358" TargetMode="External" /><Relationship Type="http://schemas.openxmlformats.org/officeDocument/2006/relationships/hyperlink" Id="rId78" Target="https://doi.org/10.1056/NEJM199210293271805" TargetMode="External" /><Relationship Type="http://schemas.openxmlformats.org/officeDocument/2006/relationships/hyperlink" Id="rId92" Target="https://doi.org/10.1056/NEJMoa022848" TargetMode="External" /><Relationship Type="http://schemas.openxmlformats.org/officeDocument/2006/relationships/hyperlink" Id="rId98" Target="https://doi.org/10.1073/pnas.2118631119" TargetMode="External" /><Relationship Type="http://schemas.openxmlformats.org/officeDocument/2006/relationships/hyperlink" Id="rId114" Target="https://doi.org/10.1136/bmj.n71" TargetMode="External" /><Relationship Type="http://schemas.openxmlformats.org/officeDocument/2006/relationships/hyperlink" Id="rId68" Target="https://doi.org/10.1161/JAHA.124.037633" TargetMode="External" /><Relationship Type="http://schemas.openxmlformats.org/officeDocument/2006/relationships/hyperlink" Id="rId104" Target="https://doi.org/10.1177/0013164495055004001" TargetMode="External" /><Relationship Type="http://schemas.openxmlformats.org/officeDocument/2006/relationships/hyperlink" Id="rId108" Target="https://doi.org/10.1186/s40537-018-0143-6" TargetMode="External" /><Relationship Type="http://schemas.openxmlformats.org/officeDocument/2006/relationships/hyperlink" Id="rId110" Target="https://doi.org/10.1201/9781003375821" TargetMode="External" /><Relationship Type="http://schemas.openxmlformats.org/officeDocument/2006/relationships/hyperlink" Id="rId102" Target="https://doi.org/10.1289/EHP5685" TargetMode="External" /><Relationship Type="http://schemas.openxmlformats.org/officeDocument/2006/relationships/hyperlink" Id="rId125" Target="https://doi.org/10.1289/ehp.8552" TargetMode="External" /><Relationship Type="http://schemas.openxmlformats.org/officeDocument/2006/relationships/hyperlink" Id="rId82" Target="https://doi.org/10.1542/peds.90.6.855" TargetMode="External" /><Relationship Type="http://schemas.openxmlformats.org/officeDocument/2006/relationships/hyperlink" Id="rId135" Target="https://doi.org/10.18637/jss.v036.i03" TargetMode="External" /><Relationship Type="http://schemas.openxmlformats.org/officeDocument/2006/relationships/hyperlink" Id="rId128" Target="https://doi.org/10.18637/jss.v080.i01" TargetMode="External" /><Relationship Type="http://schemas.openxmlformats.org/officeDocument/2006/relationships/hyperlink" Id="rId88" Target="https://doi.org/10.2903/j.efsa.2010.1570" TargetMode="External" /><Relationship Type="http://schemas.openxmlformats.org/officeDocument/2006/relationships/hyperlink" Id="rId58"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0" Target="https://doi.org/10.3109/10408444.2013.832726" TargetMode="External" /><Relationship Type="http://schemas.openxmlformats.org/officeDocument/2006/relationships/hyperlink" Id="rId112" Target="https://doi.org/10.3758/s13423-013-0572-3" TargetMode="External" /><Relationship Type="http://schemas.openxmlformats.org/officeDocument/2006/relationships/hyperlink" Id="rId132" Target="https://doi.org/10.48550/ARXIV.1111.4246" TargetMode="External" /><Relationship Type="http://schemas.openxmlformats.org/officeDocument/2006/relationships/hyperlink" Id="rId130" Target="https://doi.org/10.48550/ARXIV.1701.02434" TargetMode="External" /><Relationship Type="http://schemas.openxmlformats.org/officeDocument/2006/relationships/hyperlink" Id="rId123" Target="https://doi.org/doi:10.1289/ehp.7625" TargetMode="External" /><Relationship Type="http://schemas.openxmlformats.org/officeDocument/2006/relationships/hyperlink" Id="rId84"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meta-analysis of recent epidemiological studies</dc:title>
  <dc:creator>Paulina Sell1,✉, Margaux Sanchez2, Philippe Palmont2, and Dietrich Plass1</dc:creator>
  <cp:keywords/>
  <dcterms:created xsi:type="dcterms:W3CDTF">2026-02-18T14:30:09Z</dcterms:created>
  <dcterms:modified xsi:type="dcterms:W3CDTF">2026-02-18T14:30:09Z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18 February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