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p>
    <w:p>
      <w:pPr>
        <w:pStyle w:val="Author"/>
      </w:pPr>
      <w:r>
        <w:t xml:space="preserve">Margaux Sanchez</w:t>
      </w:r>
    </w:p>
    <w:p>
      <w:pPr>
        <w:pStyle w:val="Author"/>
      </w:pPr>
      <w:r>
        <w:t xml:space="preserve">Philippe Palmont</w:t>
      </w:r>
    </w:p>
    <w:p>
      <w:pPr>
        <w:pStyle w:val="Author"/>
      </w:pPr>
      <w:r>
        <w:t xml:space="preserve">Dietrich Plass</w:t>
      </w:r>
    </w:p>
    <w:bookmarkStart w:id="23" w:name="notes"/>
    <w:p>
      <w:pPr>
        <w:pStyle w:val="Heading1"/>
      </w:pPr>
      <w:r>
        <w:t xml:space="preserve">Notes</w:t>
      </w:r>
    </w:p>
    <w:p>
      <w:pPr>
        <w:pStyle w:val="Compact"/>
        <w:numPr>
          <w:ilvl w:val="0"/>
          <w:numId w:val="1001"/>
        </w:numPr>
      </w:pPr>
      <w:r>
        <w:t xml:space="preserve">Journal:</w:t>
      </w:r>
      <w:r>
        <w:t xml:space="preserve"> </w:t>
      </w:r>
      <w:hyperlink r:id="rId20">
        <w:r>
          <w:rPr>
            <w:rStyle w:val="Hyperlink"/>
          </w:rPr>
          <w:t xml:space="preserve">Population Health Metrics, BMC</w:t>
        </w:r>
      </w:hyperlink>
    </w:p>
    <w:p>
      <w:pPr>
        <w:pStyle w:val="Compact"/>
        <w:numPr>
          <w:ilvl w:val="0"/>
          <w:numId w:val="1001"/>
        </w:numPr>
      </w:pPr>
      <w:r>
        <w:t xml:space="preserve">Using</w:t>
      </w:r>
      <w:r>
        <w:t xml:space="preserve"> </w:t>
      </w:r>
      <w:hyperlink r:id="rId21">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2">
        <w:r>
          <w:rPr>
            <w:rStyle w:val="Hyperlink"/>
          </w:rPr>
          <w:t xml:space="preserve">raRoB tool</w:t>
        </w:r>
      </w:hyperlink>
      <w:r>
        <w:t xml:space="preserve"> </w:t>
      </w:r>
      <w:r>
        <w:t xml:space="preserve">for Risk of Bias Assessment</w:t>
      </w:r>
    </w:p>
    <w:bookmarkEnd w:id="23"/>
    <w:bookmarkStart w:id="24" w:name="abstract"/>
    <w:p>
      <w:pPr>
        <w:pStyle w:val="Heading1"/>
      </w:pPr>
      <w:r>
        <w:t xml:space="preserve">Abstract</w:t>
      </w:r>
    </w:p>
    <w:p>
      <w:r>
        <w:br w:type="page"/>
      </w:r>
    </w:p>
    <w:bookmarkEnd w:id="24"/>
    <w:bookmarkStart w:id="26" w:name="background"/>
    <w:p>
      <w:pPr>
        <w:pStyle w:val="Heading1"/>
      </w:pPr>
      <w:r>
        <w:t xml:space="preserve">1. Background</w:t>
      </w:r>
    </w:p>
    <w:p>
      <w:pPr>
        <w:pStyle w:val="Compact"/>
        <w:numPr>
          <w:ilvl w:val="0"/>
          <w:numId w:val="1002"/>
        </w:numPr>
      </w:pPr>
      <w:r>
        <w:t xml:space="preserve">Intro: Lead, health effects, burden of disease</w:t>
      </w:r>
    </w:p>
    <w:p>
      <w:pPr>
        <w:pStyle w:val="Compact"/>
        <w:numPr>
          <w:ilvl w:val="0"/>
          <w:numId w:val="1003"/>
        </w:numPr>
      </w:pPr>
      <w:r>
        <w:t xml:space="preserve">Currently used ERFs</w:t>
      </w:r>
    </w:p>
    <w:p>
      <w:pPr>
        <w:pStyle w:val="Compact"/>
        <w:numPr>
          <w:ilvl w:val="0"/>
          <w:numId w:val="1004"/>
        </w:numPr>
      </w:pPr>
      <w:r>
        <w:t xml:space="preserve">Rationale for methodological comparison (BMA - FMA)</w:t>
      </w:r>
    </w:p>
    <w:p>
      <w:pPr>
        <w:pStyle w:val="Compact"/>
        <w:numPr>
          <w:ilvl w:val="0"/>
          <w:numId w:val="1005"/>
        </w:numPr>
      </w:pPr>
      <w:r>
        <w:t xml:space="preserve">Aim of this study</w:t>
      </w:r>
      <w:r>
        <w:br/>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Lead exposure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5">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rely predominantly on two foundational studies: a pooled analysis of seven cohort-studies by Lanphear et al. (2005) or the subsequent re-analysis by Crump et al. (2013)</w:t>
      </w:r>
      <w:r>
        <w:t xml:space="preserve"> </w:t>
      </w:r>
      <w:r>
        <w:t xml:space="preserve">(16,24)</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(24,25)</w:t>
      </w:r>
      <w:r>
        <w:t xml:space="preserve"> </w:t>
      </w:r>
      <w:r>
        <w:t xml:space="preserve">and the stepwise backward-elimination regression approach used by Crump et al. (2013), which is central to their findings, has received substantial criticism</w:t>
      </w:r>
      <w:r>
        <w:t xml:space="preserve"> </w:t>
      </w:r>
      <w:r>
        <w:t xml:space="preserve">(26–28)</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(29)</w:t>
      </w:r>
      <w:r>
        <w:t xml:space="preserve">.</w:t>
      </w:r>
      <w:r>
        <w:t xml:space="preserve"> </w:t>
      </w:r>
      <w:r>
        <w:t xml:space="preserve">Unlike frequentist confidence intervals, which are often misinterpreted as probabilistic</w:t>
      </w:r>
      <w:r>
        <w:t xml:space="preserve"> </w:t>
      </w:r>
      <w:r>
        <w:t xml:space="preserve">(30)</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6"/>
    <w:bookmarkStart w:id="42" w:name="methods"/>
    <w:p>
      <w:pPr>
        <w:pStyle w:val="Heading1"/>
      </w:pPr>
      <w:r>
        <w:t xml:space="preserve">2. Methods</w:t>
      </w:r>
    </w:p>
    <w:p>
      <w:pPr>
        <w:pStyle w:val="Compact"/>
        <w:numPr>
          <w:ilvl w:val="0"/>
          <w:numId w:val="1006"/>
        </w:numPr>
      </w:pPr>
      <w:r>
        <w:t xml:space="preserve">Overview: systematic review and meta-analysis, comparing a frequentist to a Bayesian approach</w:t>
      </w:r>
    </w:p>
    <w:p>
      <w:pPr>
        <w:pStyle w:val="Compact"/>
        <w:numPr>
          <w:ilvl w:val="0"/>
          <w:numId w:val="1007"/>
        </w:numPr>
      </w:pPr>
      <w:r>
        <w:t xml:space="preserve">Inclusion &amp; exclusion criteria, databases, search strategy, screening process</w:t>
      </w:r>
    </w:p>
    <w:p>
      <w:pPr>
        <w:pStyle w:val="Compact"/>
        <w:numPr>
          <w:ilvl w:val="0"/>
          <w:numId w:val="1008"/>
        </w:numPr>
      </w:pPr>
      <w:r>
        <w:t xml:space="preserve">Risk of bias analysis method</w:t>
      </w:r>
    </w:p>
    <w:p>
      <w:pPr>
        <w:pStyle w:val="Compact"/>
        <w:numPr>
          <w:ilvl w:val="0"/>
          <w:numId w:val="1009"/>
        </w:numPr>
      </w:pPr>
      <w:r>
        <w:t xml:space="preserve">Description &amp; rationale of harmonization of reported effect measures</w:t>
      </w:r>
    </w:p>
    <w:p>
      <w:pPr>
        <w:pStyle w:val="Compact"/>
        <w:numPr>
          <w:ilvl w:val="0"/>
          <w:numId w:val="1010"/>
        </w:numPr>
      </w:pPr>
      <w:r>
        <w:t xml:space="preserve">Description of meta-analysis methodology (frequentist &amp; Bayesian), models and software used, heterogeneity identification</w:t>
      </w:r>
    </w:p>
    <w:p>
      <w:pPr>
        <w:pStyle w:val="Compact"/>
        <w:numPr>
          <w:ilvl w:val="0"/>
          <w:numId w:val="1011"/>
        </w:numPr>
      </w:pPr>
      <w:r>
        <w:t xml:space="preserve">Sensitivity analysis</w:t>
      </w:r>
      <w:r>
        <w:br/>
      </w:r>
    </w:p>
    <w:bookmarkStart w:id="28"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(31)</w:t>
      </w:r>
      <w:r>
        <w:t xml:space="preserve">.</w:t>
      </w:r>
      <w:r>
        <w:t xml:space="preserve"> </w:t>
      </w:r>
      <w:r>
        <w:t xml:space="preserve">The checklist can be found in the supplementary files.</w:t>
      </w:r>
      <w:r>
        <w:t xml:space="preserve"> </w:t>
      </w:r>
      <w:r>
        <w:t xml:space="preserve">The reporting of the Bayesian methods and their results was guided by the Bayesian Analysis Reporting Guidelines (BARG)</w:t>
      </w:r>
      <w:r>
        <w:t xml:space="preserve"> </w:t>
      </w:r>
      <w:r>
        <w:t xml:space="preserve">(32)</w:t>
      </w:r>
      <w:r>
        <w:t xml:space="preserve">.</w:t>
      </w:r>
      <w:r>
        <w:br/>
      </w:r>
    </w:p>
    <w:p>
      <w:pPr>
        <w:pStyle w:val="BodyText"/>
      </w:pPr>
      <w:r>
        <w:t xml:space="preserve">We conducted a literature review to identify recent studies investigating associations between prenatal or postnatal exposure to Pb and IQ loss in children.</w:t>
      </w:r>
      <w:r>
        <w:t xml:space="preserve"> </w:t>
      </w:r>
      <w:r>
        <w:t xml:space="preserve">This study was conducted wothin the EU-funded project Partnership for the Assessment of Risks from Chemicals (</w:t>
      </w:r>
      <w:hyperlink r:id="rId27">
        <w:r>
          <w:rPr>
            <w:rStyle w:val="Hyperlink"/>
          </w:rPr>
          <w:t xml:space="preserve">PARC</w:t>
        </w:r>
      </w:hyperlink>
      <w:r>
        <w:t xml:space="preserve">), and the literature review was conducted as the basis for multiple studies, including one on the association of (methyl)mercury and lead on IQ loss for different exposure timeframes.</w:t>
      </w:r>
      <w:r>
        <w:t xml:space="preserve"> </w:t>
      </w:r>
      <w:r>
        <w:t xml:space="preserve">Here, we will only report results for the literature we identified on concurrent lead exposure and IQ loss, but the flowcharts and supplementary material documenting the literature review does contain parts of the search for other associations and exposure timeframes.</w:t>
      </w:r>
      <w:r>
        <w:br/>
      </w:r>
      <w:r>
        <w:t xml:space="preserve">We searched for articles published between January 2005 and July 2023.</w:t>
      </w:r>
      <w:r>
        <w:t xml:space="preserve"> </w:t>
      </w:r>
      <w:r>
        <w:t xml:space="preserve">We only considered studies published after 2005, as the previously-used ERFs in the literature were published before 2005</w:t>
      </w:r>
      <w:r>
        <w:t xml:space="preserve"> </w:t>
      </w:r>
      <w:r>
        <w:t xml:space="preserve">(16)</w:t>
      </w:r>
      <w:r>
        <w:t xml:space="preserve"> </w:t>
      </w:r>
      <w:r>
        <w:t xml:space="preserve">and we aimed at finding updated studies on the association.</w:t>
      </w:r>
      <w:r>
        <w:t xml:space="preserve"> </w:t>
      </w:r>
      <w:r>
        <w:t xml:space="preserve">Also, as described in the backround section,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(Table 1).</w:t>
      </w:r>
      <w:r>
        <w:t xml:space="preserve"> </w:t>
      </w:r>
      <w:r>
        <w:t xml:space="preserve">We prioritized references naming the substance in the title in order to decrease the volume of results.</w:t>
      </w:r>
      <w:r>
        <w:br/>
      </w: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Publications were considered relevant according to predefined PECOTS – Population (children aged 0 to 11 and , pregnant women and women of childbearing age), Exposure (biological measures of Pb, MeHg or Hg from all matrices), Comparator (no exposure or lower levels of exposure), Outcome (IQ or similar indicator),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From the publications considered relevant after the two-round screening, we collected several descriptive key data from these papers using a grid based on the one proposed by NTP OHAT (2015).</w:t>
      </w:r>
    </w:p>
    <w:bookmarkEnd w:id="28"/>
    <w:bookmarkStart w:id="29" w:name="data-extraction"/>
    <w:p>
      <w:pPr>
        <w:pStyle w:val="Heading2"/>
      </w:pPr>
      <w:r>
        <w:t xml:space="preserve">2.2 Data Extraction</w:t>
      </w:r>
    </w:p>
    <w:p>
      <w:pPr>
        <w:pStyle w:val="FirstParagraph"/>
      </w:pPr>
      <w:r>
        <w:t xml:space="preserve">For all studies, adjusted effect estimates were extracted and the set of confounders adjused for recorded.</w:t>
      </w:r>
    </w:p>
    <w:bookmarkEnd w:id="29"/>
    <w:bookmarkStart w:id="30" w:name="risk-of-bias-assessment"/>
    <w:p>
      <w:pPr>
        <w:pStyle w:val="Heading2"/>
      </w:pPr>
      <w:r>
        <w:t xml:space="preserve">2.3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of the RoB tool (for more information, see</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30"/>
    <w:bookmarkStart w:id="32" w:name="harmonization-of-effect-estimates"/>
    <w:p>
      <w:pPr>
        <w:pStyle w:val="Heading2"/>
      </w:pPr>
      <w:r>
        <w:t xml:space="preserve">2.4 Harmonization of Effect Estimates</w:t>
      </w:r>
    </w:p>
    <w:p>
      <w:pPr>
        <w:pStyle w:val="FirstParagraph"/>
      </w:pPr>
      <w:r>
        <w:t xml:space="preserve">Studies investigating the association between lead exposure and childhood IQ have made different assumptions regarding the shape of the exposure-response relationship.</w:t>
      </w:r>
      <w:r>
        <w:t xml:space="preserve"> </w:t>
      </w:r>
      <w:r>
        <w:t xml:space="preserve">While some studies assume a linear relationship</w:t>
      </w:r>
      <w:r>
        <w:t xml:space="preserve"> </w:t>
      </w:r>
      <w:r>
        <w:t xml:space="preserve">(34,35)</w:t>
      </w:r>
      <w:r>
        <w:t xml:space="preserve">, this assumption may only be valid at very low concentration ranges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(24,36)</w:t>
      </w:r>
      <w:r>
        <w:t xml:space="preserve">.</w:t>
      </w:r>
    </w:p>
    <w:p>
      <w:pPr>
        <w:pStyle w:val="BodyText"/>
      </w:pPr>
      <w:r>
        <w:t xml:space="preserve">The general form of regression model used for a log-linear association is:</w:t>
      </w:r>
    </w:p>
    <w:p>
      <w:pPr>
        <w:pStyle w:val="BodyText"/>
      </w:pPr>
      <w:bookmarkStart w:id="31"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1"/>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Studies have used different logarithmic bases: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 using the standardization framework proposed by Rodríguez-Barranco et al. (2017)</w:t>
      </w:r>
      <w:r>
        <w:t xml:space="preserve"> </w:t>
      </w:r>
      <w:r>
        <w:t xml:space="preserve">(37)</w:t>
      </w:r>
      <w:r>
        <w:t xml:space="preserve">.</w:t>
      </w:r>
      <w:r>
        <w:t xml:space="preserve"> </w:t>
      </w:r>
      <w:r>
        <w:t xml:space="preserve">The transformations are fully documented in suppl. file x</w:t>
      </w:r>
      <w:r>
        <w:br/>
      </w:r>
      <w:r>
        <w:t xml:space="preserve">Studies that left BLL on the original (untransformed) linear scale were excluded from the meta-analysis, as transformation from linear to log-linear effect estimates could not be justified based on visual inspection (supplement: plots?).</w:t>
      </w:r>
    </w:p>
    <w:bookmarkEnd w:id="32"/>
    <w:bookmarkStart w:id="38" w:name="meta-analysis-methodology"/>
    <w:p>
      <w:pPr>
        <w:pStyle w:val="Heading2"/>
      </w:pPr>
      <w:r>
        <w:t xml:space="preserve">2.5 Meta-Analysis Methodology</w:t>
      </w:r>
    </w:p>
    <w:p>
      <w:pPr>
        <w:pStyle w:val="FirstParagraph"/>
      </w:pPr>
      <w:r>
        <w:t xml:space="preserve">In order to quantitatively synthesize the available epidemiological literature on the association of children’s blood lead levels and their IQ, we conducted a meta-analysis of the results, comparing a Bayesian to a frequentist approach.</w:t>
      </w:r>
      <w:r>
        <w:br/>
      </w:r>
      <w:r>
        <w:t xml:space="preserve">In both approaches, the same studies and effect estimates were included and analogous models were chosen to enable comparison betwen the results.</w:t>
      </w:r>
      <w:r>
        <w:t xml:space="preserve"> </w:t>
      </w:r>
      <w:r>
        <w:t xml:space="preserve">We estimated pooled beta estimates for the absolute loss of IQ points per unit increase in</w:t>
      </w:r>
      <w:r>
        <w:t xml:space="preserve"> </w:t>
      </w:r>
      <m:oMath>
        <m:sSub>
          <m:e>
            <m:r>
              <m:rPr>
                <m:sty m:val="p"/>
              </m:rPr>
              <m:t>log</m:t>
            </m:r>
          </m:e>
          <m:sub>
            <m:r>
              <m:t>e</m:t>
            </m:r>
          </m:sub>
        </m:sSub>
      </m:oMath>
      <w:r>
        <w:t xml:space="preserve">-transformed blood lead concentration (µg/dL).</w:t>
      </w:r>
      <w:r>
        <w:br/>
      </w:r>
      <w:r>
        <w:t xml:space="preserve">Within studies, results from the most-adjusted models were chosen to enter the meta-analysis; unadjusted results were not considered.</w:t>
      </w:r>
      <w:r>
        <w:br/>
      </w:r>
      <w:r>
        <w:t xml:space="preserve">R version 4.4.2 (2024-10-31)</w:t>
      </w:r>
      <w:r>
        <w:t xml:space="preserve"> </w:t>
      </w:r>
      <w:r>
        <w:t xml:space="preserve">(38)</w:t>
      </w:r>
      <w:r>
        <w:t xml:space="preserve"> </w:t>
      </w:r>
      <w:r>
        <w:t xml:space="preserve">and Positron version 2026.01.0-147 were used for all computations.</w:t>
      </w:r>
      <w:r>
        <w:t xml:space="preserve"> </w:t>
      </w:r>
      <w:r>
        <w:t xml:space="preserve">All of the computational code for this study is publicly available on</w:t>
      </w:r>
      <w:r>
        <w:t xml:space="preserve"> </w:t>
      </w:r>
      <w:hyperlink r:id="rId33">
        <w:r>
          <w:rPr>
            <w:rStyle w:val="Hyperlink"/>
          </w:rPr>
          <w:t xml:space="preserve">GitHub</w:t>
        </w:r>
      </w:hyperlink>
      <w:r>
        <w:t xml:space="preserve">.</w:t>
      </w:r>
    </w:p>
    <w:bookmarkStart w:id="34" w:name="frequentist-meta-analysis"/>
    <w:p>
      <w:pPr>
        <w:pStyle w:val="Heading3"/>
      </w:pPr>
      <w:r>
        <w:t xml:space="preserve">2.5.1 Frequentist Meta-Analysis</w:t>
      </w:r>
    </w:p>
    <w:p>
      <w:pPr>
        <w:pStyle w:val="FirstParagraph"/>
      </w:pPr>
      <w:r>
        <w:t xml:space="preserve">For the frequentist meta-analysis, we employed a random-effects model using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(39)</w:t>
      </w:r>
      <w:r>
        <w:t xml:space="preserve">.</w:t>
      </w:r>
      <w:r>
        <w:t xml:space="preserve"> </w:t>
      </w:r>
      <w:r>
        <w:t xml:space="preserve">The I² statistic was used as a quantitative indication of heterogeneity.</w:t>
      </w:r>
    </w:p>
    <w:bookmarkEnd w:id="34"/>
    <w:bookmarkStart w:id="36" w:name="bayesian-meta-analysis"/>
    <w:p>
      <w:pPr>
        <w:pStyle w:val="Heading3"/>
      </w:pPr>
      <w:r>
        <w:t xml:space="preserve">2.5.2 Bayesian Meta-Analysis</w:t>
      </w:r>
    </w:p>
    <w:p>
      <w:pPr>
        <w:pStyle w:val="FirstParagraph"/>
      </w:pPr>
      <w:r>
        <w:t xml:space="preserve">To synthesize results across studies, we employed a Bayesian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heterogeneity</w:t>
      </w:r>
      <w:r>
        <w:t xml:space="preserve"> </w:t>
      </w:r>
      <m:oMath>
        <m:r>
          <m:t>τ</m:t>
        </m:r>
      </m:oMath>
      <w:r>
        <w:t xml:space="preserve">.</w:t>
      </w:r>
    </w:p>
    <w:p>
      <w:pPr>
        <w:pStyle w:val="BodyText"/>
      </w:pPr>
      <w:bookmarkStart w:id="35"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5"/>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bookmarkEnd w:id="36"/>
    <w:bookmarkStart w:id="37" w:name="priors"/>
    <w:p>
      <w:pPr>
        <w:pStyle w:val="Heading3"/>
      </w:pPr>
      <w:r>
        <w:t xml:space="preserve">2.5.3 Priors</w:t>
      </w:r>
    </w:p>
    <w:p>
      <w:pPr>
        <w:pStyle w:val="Compact"/>
        <w:numPr>
          <w:ilvl w:val="0"/>
          <w:numId w:val="1012"/>
        </w:numPr>
      </w:pPr>
      <w:r>
        <w:t xml:space="preserve">Parameters to be estimated: mu and tau (mu later called beta?)</w:t>
      </w:r>
    </w:p>
    <w:p>
      <w:pPr>
        <w:pStyle w:val="Compact"/>
        <w:numPr>
          <w:ilvl w:val="0"/>
          <w:numId w:val="1012"/>
        </w:numPr>
      </w:pPr>
      <w:r>
        <w:t xml:space="preserve">choice based on previous evidence, e.g.</w:t>
      </w:r>
      <w:r>
        <w:t xml:space="preserve"> </w:t>
      </w:r>
      <w:r>
        <w:t xml:space="preserve">(14)</w:t>
      </w:r>
    </w:p>
    <w:p>
      <w:pPr>
        <w:pStyle w:val="Compact"/>
        <w:numPr>
          <w:ilvl w:val="0"/>
          <w:numId w:val="1012"/>
        </w:numPr>
      </w:pPr>
      <w:r>
        <w:t xml:space="preserve">explain scale (log, µg/dL)</w:t>
      </w:r>
    </w:p>
    <w:p>
      <w:pPr>
        <w:pStyle w:val="FirstParagraph"/>
      </w:pPr>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2</m:t>
                    </m:r>
                  </m:e>
                </m:d>
              </m:e>
            </m:mr>
          </m:m>
        </m:oMath>
      </m:oMathPara>
    </w:p>
    <w:bookmarkEnd w:id="37"/>
    <w:bookmarkEnd w:id="38"/>
    <w:bookmarkStart w:id="41" w:name="sensitivity-analysis"/>
    <w:p>
      <w:pPr>
        <w:pStyle w:val="Heading2"/>
      </w:pPr>
      <w:r>
        <w:t xml:space="preserve">2.6 Sensitivity Analysis</w:t>
      </w:r>
    </w:p>
    <w:p>
      <w:pPr>
        <w:pStyle w:val="FirstParagraph"/>
      </w:pPr>
      <w:r>
        <w:t xml:space="preserve">We conducted two sets of sensitivity analyses.</w:t>
      </w:r>
      <w:r>
        <w:t xml:space="preserve"> </w:t>
      </w:r>
      <w:r>
        <w:t xml:space="preserve">To examine the sensitivity of the results to possibly biased study results, we ran both the frequentist and Bayesian models again,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(more narrow):</w:t>
      </w:r>
    </w:p>
    <w:p>
      <w:pPr>
        <w:pStyle w:val="BodyText"/>
      </w:pPr>
      <w:bookmarkStart w:id="39"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3</m:t>
              </m:r>
            </m:e>
          </m:d>
        </m:oMath>
      </m:oMathPara>
      <w:bookmarkEnd w:id="39"/>
    </w:p>
    <w:p>
      <w:pPr>
        <w:pStyle w:val="FirstParagraph"/>
      </w:pPr>
      <w:r>
        <w:t xml:space="preserve">Less informative priors (more broad):</w:t>
      </w:r>
    </w:p>
    <w:p>
      <w:pPr>
        <w:pStyle w:val="BodyText"/>
      </w:pPr>
      <w:bookmarkStart w:id="40"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4</m:t>
              </m:r>
            </m:e>
          </m:d>
        </m:oMath>
      </m:oMathPara>
      <w:bookmarkEnd w:id="40"/>
    </w:p>
    <w:bookmarkEnd w:id="41"/>
    <w:bookmarkEnd w:id="42"/>
    <w:bookmarkStart w:id="43" w:name="results"/>
    <w:p>
      <w:pPr>
        <w:pStyle w:val="Heading1"/>
      </w:pPr>
      <w:r>
        <w:t xml:space="preserve">3. Results</w:t>
      </w:r>
    </w:p>
    <w:p>
      <w:pPr>
        <w:pStyle w:val="Compact"/>
        <w:numPr>
          <w:ilvl w:val="0"/>
          <w:numId w:val="1013"/>
        </w:numPr>
      </w:pPr>
      <w:r>
        <w:t xml:space="preserve">Cite studies that might appear to meet inclusion criteria, but were excluded &amp; explain why</w:t>
      </w:r>
    </w:p>
    <w:p>
      <w:pPr>
        <w:pStyle w:val="Compact"/>
        <w:numPr>
          <w:ilvl w:val="0"/>
          <w:numId w:val="1014"/>
        </w:numPr>
      </w:pPr>
      <w:r>
        <w:t xml:space="preserve">Study characteristics (table), including original and harmonized effect measures</w:t>
      </w:r>
    </w:p>
    <w:p>
      <w:pPr>
        <w:pStyle w:val="Compact"/>
        <w:numPr>
          <w:ilvl w:val="0"/>
          <w:numId w:val="1015"/>
        </w:numPr>
      </w:pPr>
      <w:r>
        <w:t xml:space="preserve">Flow diagram, description of (full text) screening results</w:t>
      </w:r>
    </w:p>
    <w:p>
      <w:pPr>
        <w:pStyle w:val="Compact"/>
        <w:numPr>
          <w:ilvl w:val="0"/>
          <w:numId w:val="1016"/>
        </w:numPr>
      </w:pPr>
      <w:r>
        <w:t xml:space="preserve">RoB results for each included study</w:t>
      </w:r>
    </w:p>
    <w:p>
      <w:pPr>
        <w:pStyle w:val="Compact"/>
        <w:numPr>
          <w:ilvl w:val="0"/>
          <w:numId w:val="1017"/>
        </w:numPr>
      </w:pPr>
      <w:r>
        <w:t xml:space="preserve">Forest plots</w:t>
      </w:r>
    </w:p>
    <w:p>
      <w:pPr>
        <w:pStyle w:val="Compact"/>
        <w:numPr>
          <w:ilvl w:val="0"/>
          <w:numId w:val="1018"/>
        </w:numPr>
      </w:pPr>
      <w:r>
        <w:t xml:space="preserve">Sensitivity analysis results</w:t>
      </w:r>
    </w:p>
    <w:bookmarkEnd w:id="43"/>
    <w:bookmarkStart w:id="44" w:name="discussion"/>
    <w:p>
      <w:pPr>
        <w:pStyle w:val="Heading1"/>
      </w:pPr>
      <w:r>
        <w:t xml:space="preserve">4. Discussion</w:t>
      </w:r>
    </w:p>
    <w:p>
      <w:pPr>
        <w:pStyle w:val="Compact"/>
        <w:numPr>
          <w:ilvl w:val="0"/>
          <w:numId w:val="1019"/>
        </w:numPr>
      </w:pPr>
      <w:r>
        <w:t xml:space="preserve">General interpretation of results in light of evidence in literature</w:t>
      </w:r>
    </w:p>
    <w:p>
      <w:pPr>
        <w:pStyle w:val="Compact"/>
        <w:numPr>
          <w:ilvl w:val="0"/>
          <w:numId w:val="1020"/>
        </w:numPr>
      </w:pPr>
      <w:r>
        <w:t xml:space="preserve">Discuss differences, similarities, strengths and weaknesses of freq vs. Bayesian approach</w:t>
      </w:r>
    </w:p>
    <w:p>
      <w:pPr>
        <w:pStyle w:val="Compact"/>
        <w:numPr>
          <w:ilvl w:val="0"/>
          <w:numId w:val="1021"/>
        </w:numPr>
      </w:pPr>
      <w:r>
        <w:t xml:space="preserve">Study limitations &amp; strengths</w:t>
      </w:r>
    </w:p>
    <w:bookmarkEnd w:id="44"/>
    <w:bookmarkStart w:id="45" w:name="conclusions"/>
    <w:p>
      <w:pPr>
        <w:pStyle w:val="Heading1"/>
      </w:pPr>
      <w:r>
        <w:t xml:space="preserve">5. Conclusions</w:t>
      </w:r>
    </w:p>
    <w:p>
      <w:pPr>
        <w:pStyle w:val="Compact"/>
        <w:numPr>
          <w:ilvl w:val="0"/>
          <w:numId w:val="1022"/>
        </w:numPr>
      </w:pPr>
      <w:r>
        <w:t xml:space="preserve">Conclusion, with reference to aim of study</w:t>
      </w:r>
    </w:p>
    <w:p>
      <w:pPr>
        <w:pStyle w:val="Compact"/>
        <w:numPr>
          <w:ilvl w:val="0"/>
          <w:numId w:val="1023"/>
        </w:numPr>
      </w:pPr>
      <w:r>
        <w:t xml:space="preserve">Implications of results: policy, (scientific?) practice, future research needs</w:t>
      </w:r>
    </w:p>
    <w:bookmarkEnd w:id="45"/>
    <w:bookmarkStart w:id="46"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46"/>
    <w:bookmarkStart w:id="47"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47"/>
    <w:bookmarkStart w:id="126" w:name="bibliography"/>
    <w:p>
      <w:pPr>
        <w:pStyle w:val="Heading1"/>
      </w:pPr>
      <w:r>
        <w:t xml:space="preserve">References</w:t>
      </w:r>
    </w:p>
    <w:bookmarkStart w:id="125" w:name="refs"/>
    <w:bookmarkStart w:id="49"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48">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49"/>
    <w:bookmarkStart w:id="51"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50">
        <w:r>
          <w:rPr>
            <w:rStyle w:val="Hyperlink"/>
          </w:rPr>
          <w:t xml:space="preserve">Global decrease in blood lead concentrations due to the removal of leaded gasoline</w:t>
        </w:r>
      </w:hyperlink>
      <w:r>
        <w:t xml:space="preserve">. Chemosphere. 2023;324:138207.</w:t>
      </w:r>
      <w:r>
        <w:t xml:space="preserve"> </w:t>
      </w:r>
    </w:p>
    <w:bookmarkEnd w:id="51"/>
    <w:bookmarkStart w:id="53" w:name="X4707f3a4b72a0982487545f9dc3d674642af108"/>
    <w:p>
      <w:pPr>
        <w:pStyle w:val="Bibliography"/>
      </w:pPr>
      <w:r>
        <w:t xml:space="preserve">3.</w:t>
      </w:r>
      <w:r>
        <w:t xml:space="preserve"> </w:t>
      </w:r>
      <w:r>
        <w:t xml:space="preserve">	</w:t>
      </w:r>
      <w:r>
        <w:t xml:space="preserve">European Food Safety Authority.</w:t>
      </w:r>
      <w:r>
        <w:t xml:space="preserve"> </w:t>
      </w:r>
      <w:hyperlink r:id="rId52">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53"/>
    <w:bookmarkStart w:id="55"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54">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55"/>
    <w:bookmarkStart w:id="57"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56">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57"/>
    <w:bookmarkStart w:id="59"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58">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59"/>
    <w:bookmarkStart w:id="61"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60">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61"/>
    <w:bookmarkStart w:id="63"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62">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63"/>
    <w:bookmarkStart w:id="65"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64">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65"/>
    <w:bookmarkStart w:id="67"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66">
        <w:r>
          <w:rPr>
            <w:rStyle w:val="Hyperlink"/>
          </w:rPr>
          <w:t xml:space="preserve">Low blood lead concentration in association with infertility in women</w:t>
        </w:r>
      </w:hyperlink>
      <w:r>
        <w:t xml:space="preserve">. Environmental Research. 2006 Jul;101(3):380–6.</w:t>
      </w:r>
      <w:r>
        <w:t xml:space="preserve"> </w:t>
      </w:r>
    </w:p>
    <w:bookmarkEnd w:id="67"/>
    <w:bookmarkStart w:id="69"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68">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69"/>
    <w:bookmarkStart w:id="71"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70">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71"/>
    <w:bookmarkStart w:id="73"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72">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73"/>
    <w:bookmarkStart w:id="75" w:name="ref-needleman1990LowLevelLeadExposure"/>
    <w:p>
      <w:pPr>
        <w:pStyle w:val="Bibliography"/>
      </w:pPr>
      <w:r>
        <w:t xml:space="preserve">14.</w:t>
      </w:r>
      <w:r>
        <w:t xml:space="preserve"> </w:t>
      </w:r>
      <w:r>
        <w:t xml:space="preserve">	</w:t>
      </w:r>
      <w:r>
        <w:t xml:space="preserve">Needleman HL.</w:t>
      </w:r>
      <w:r>
        <w:t xml:space="preserve"> </w:t>
      </w:r>
      <w:hyperlink r:id="rId74">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75"/>
    <w:bookmarkStart w:id="77" w:name="ref-bellinger1992LowLevelLeadExposure"/>
    <w:p>
      <w:pPr>
        <w:pStyle w:val="Bibliography"/>
      </w:pPr>
      <w:r>
        <w:t xml:space="preserve">15.</w:t>
      </w:r>
      <w:r>
        <w:t xml:space="preserve"> </w:t>
      </w:r>
      <w:r>
        <w:t xml:space="preserve">	</w:t>
      </w:r>
      <w:r>
        <w:t xml:space="preserve">Bellinger DC, Stiles KM, Needleman HL.</w:t>
      </w:r>
      <w:r>
        <w:t xml:space="preserve"> </w:t>
      </w:r>
      <w:hyperlink r:id="rId76">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77"/>
    <w:bookmarkStart w:id="79"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78">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79"/>
    <w:bookmarkStart w:id="81" w:name="ref-larsen2023GlobalHealthBurden"/>
    <w:p>
      <w:pPr>
        <w:pStyle w:val="Bibliography"/>
      </w:pPr>
      <w:r>
        <w:t xml:space="preserve">17.</w:t>
      </w:r>
      <w:r>
        <w:t xml:space="preserve"> </w:t>
      </w:r>
      <w:r>
        <w:t xml:space="preserve">	</w:t>
      </w:r>
      <w:r>
        <w:t xml:space="preserve">Larsen B, Sánchez-Triana E.</w:t>
      </w:r>
      <w:r>
        <w:t xml:space="preserve"> </w:t>
      </w:r>
      <w:hyperlink r:id="rId80">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81"/>
    <w:bookmarkStart w:id="83"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82">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83"/>
    <w:bookmarkStart w:id="85" w:name="ref-schwartz1994LowLevelLeadExposurea"/>
    <w:p>
      <w:pPr>
        <w:pStyle w:val="Bibliography"/>
      </w:pPr>
      <w:r>
        <w:t xml:space="preserve">19.</w:t>
      </w:r>
      <w:r>
        <w:t xml:space="preserve"> </w:t>
      </w:r>
      <w:r>
        <w:t xml:space="preserve">	</w:t>
      </w:r>
      <w:r>
        <w:t xml:space="preserve">Schwartz J.</w:t>
      </w:r>
      <w:r>
        <w:t xml:space="preserve"> </w:t>
      </w:r>
      <w:hyperlink r:id="rId84">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85"/>
    <w:bookmarkStart w:id="87"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86">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87"/>
    <w:bookmarkStart w:id="89"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88">
        <w:r>
          <w:rPr>
            <w:rStyle w:val="Hyperlink"/>
          </w:rPr>
          <w:t xml:space="preserve">Global burden of intellectual disability resulting from dietary exposure to lead, 2015</w:t>
        </w:r>
      </w:hyperlink>
      <w:r>
        <w:t xml:space="preserve">. Environmental Research. 2019;172:420–9.</w:t>
      </w:r>
      <w:r>
        <w:t xml:space="preserve"> </w:t>
      </w:r>
    </w:p>
    <w:bookmarkEnd w:id="89"/>
    <w:bookmarkStart w:id="91"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90">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91"/>
    <w:bookmarkStart w:id="93" w:name="ref-mcfarland2022HalfUSPopulation"/>
    <w:p>
      <w:pPr>
        <w:pStyle w:val="Bibliography"/>
      </w:pPr>
      <w:r>
        <w:t xml:space="preserve">23.</w:t>
      </w:r>
      <w:r>
        <w:t xml:space="preserve"> </w:t>
      </w:r>
      <w:r>
        <w:t xml:space="preserve">	</w:t>
      </w:r>
      <w:r>
        <w:t xml:space="preserve">McFarland MJ, Hauer ME, Reuben A.</w:t>
      </w:r>
      <w:r>
        <w:t xml:space="preserve"> </w:t>
      </w:r>
      <w:hyperlink r:id="rId92">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93"/>
    <w:bookmarkStart w:id="95"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94">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95"/>
    <w:bookmarkStart w:id="97"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96">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97"/>
    <w:bookmarkStart w:id="99" w:name="X99fa6bd9cd2521340285769f289a6c9d4bfe17b"/>
    <w:p>
      <w:pPr>
        <w:pStyle w:val="Bibliography"/>
      </w:pPr>
      <w:r>
        <w:t xml:space="preserve">26.</w:t>
      </w:r>
      <w:r>
        <w:t xml:space="preserve"> </w:t>
      </w:r>
      <w:r>
        <w:t xml:space="preserve">	</w:t>
      </w:r>
      <w:r>
        <w:t xml:space="preserve">Thompson B.</w:t>
      </w:r>
      <w:r>
        <w:t xml:space="preserve"> </w:t>
      </w:r>
      <w:hyperlink r:id="rId98">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99"/>
    <w:bookmarkStart w:id="101" w:name="Xec30ec7c912152a14c0f622040312567154bf15"/>
    <w:p>
      <w:pPr>
        <w:pStyle w:val="Bibliography"/>
      </w:pPr>
      <w:r>
        <w:t xml:space="preserve">27.</w:t>
      </w:r>
      <w:r>
        <w:t xml:space="preserve"> </w:t>
      </w:r>
      <w:r>
        <w:t xml:space="preserve">	</w:t>
      </w:r>
      <w:r>
        <w:t xml:space="preserve">Harrell FE.</w:t>
      </w:r>
      <w:r>
        <w:t xml:space="preserve"> </w:t>
      </w:r>
      <w:hyperlink r:id="rId100">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01"/>
    <w:bookmarkStart w:id="103" w:name="ref-smith2018StepAwayStepwise"/>
    <w:p>
      <w:pPr>
        <w:pStyle w:val="Bibliography"/>
      </w:pPr>
      <w:r>
        <w:t xml:space="preserve">28.</w:t>
      </w:r>
      <w:r>
        <w:t xml:space="preserve"> </w:t>
      </w:r>
      <w:r>
        <w:t xml:space="preserve">	</w:t>
      </w:r>
      <w:r>
        <w:t xml:space="preserve">Smith G.</w:t>
      </w:r>
      <w:r>
        <w:t xml:space="preserve"> </w:t>
      </w:r>
      <w:hyperlink r:id="rId102">
        <w:r>
          <w:rPr>
            <w:rStyle w:val="Hyperlink"/>
          </w:rPr>
          <w:t xml:space="preserve">Step away from stepwise</w:t>
        </w:r>
      </w:hyperlink>
      <w:r>
        <w:t xml:space="preserve">. J Big Data. 2018 Dec;5(1):32.</w:t>
      </w:r>
      <w:r>
        <w:t xml:space="preserve"> </w:t>
      </w:r>
    </w:p>
    <w:bookmarkEnd w:id="103"/>
    <w:bookmarkStart w:id="105" w:name="X035620408d1fb22c7ed381e74f0468c30df4612"/>
    <w:p>
      <w:pPr>
        <w:pStyle w:val="Bibliography"/>
      </w:pPr>
      <w:r>
        <w:t xml:space="preserve">29.</w:t>
      </w:r>
      <w:r>
        <w:t xml:space="preserve"> </w:t>
      </w:r>
      <w:r>
        <w:t xml:space="preserve">	</w:t>
      </w:r>
      <w:r>
        <w:t xml:space="preserve">Grant R, Di Tanna GL.</w:t>
      </w:r>
      <w:r>
        <w:t xml:space="preserve"> </w:t>
      </w:r>
      <w:hyperlink r:id="rId104">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05"/>
    <w:bookmarkStart w:id="107" w:name="X837f91f784566061977da85c17a5755a81dedde"/>
    <w:p>
      <w:pPr>
        <w:pStyle w:val="Bibliography"/>
      </w:pPr>
      <w:r>
        <w:t xml:space="preserve">30.</w:t>
      </w:r>
      <w:r>
        <w:t xml:space="preserve"> </w:t>
      </w:r>
      <w:r>
        <w:t xml:space="preserve">	</w:t>
      </w:r>
      <w:r>
        <w:t xml:space="preserve">Hoekstra R, Morey RD, Rouder JN, Wagenmakers EJ.</w:t>
      </w:r>
      <w:r>
        <w:t xml:space="preserve"> </w:t>
      </w:r>
      <w:hyperlink r:id="rId106">
        <w:r>
          <w:rPr>
            <w:rStyle w:val="Hyperlink"/>
          </w:rPr>
          <w:t xml:space="preserve">Robust misinterpretation of confidence intervals</w:t>
        </w:r>
      </w:hyperlink>
      <w:r>
        <w:t xml:space="preserve">. Psychon Bull Rev. 2014 Oct;21(5):1157–64.</w:t>
      </w:r>
      <w:r>
        <w:t xml:space="preserve"> </w:t>
      </w:r>
    </w:p>
    <w:bookmarkEnd w:id="107"/>
    <w:bookmarkStart w:id="109" w:name="ref-page2021PRISMA2020Statement"/>
    <w:p>
      <w:pPr>
        <w:pStyle w:val="Bibliography"/>
      </w:pPr>
      <w:r>
        <w:t xml:space="preserve">31.</w:t>
      </w:r>
      <w:r>
        <w:t xml:space="preserve"> </w:t>
      </w:r>
      <w:r>
        <w:t xml:space="preserve">	</w:t>
      </w:r>
      <w:r>
        <w:t xml:space="preserve">Page MJ, McKenzie JE, Bossuyt PM, Boutron I, Hoffmann TC, Mulrow CD, et al.</w:t>
      </w:r>
      <w:r>
        <w:t xml:space="preserve"> </w:t>
      </w:r>
      <w:hyperlink r:id="rId108">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09"/>
    <w:bookmarkStart w:id="111" w:name="X5cae6442bbe0e1f5d8df6cd5008aab2dbfb65a6"/>
    <w:p>
      <w:pPr>
        <w:pStyle w:val="Bibliography"/>
      </w:pPr>
      <w:r>
        <w:t xml:space="preserve">32.</w:t>
      </w:r>
      <w:r>
        <w:t xml:space="preserve"> </w:t>
      </w:r>
      <w:r>
        <w:t xml:space="preserve">	</w:t>
      </w:r>
      <w:r>
        <w:t xml:space="preserve">Kruschke JK.</w:t>
      </w:r>
      <w:r>
        <w:t xml:space="preserve"> </w:t>
      </w:r>
      <w:hyperlink r:id="rId110">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11"/>
    <w:bookmarkStart w:id="113" w:name="ref-plate2024DevelopmentToolRapid"/>
    <w:p>
      <w:pPr>
        <w:pStyle w:val="Bibliography"/>
      </w:pPr>
      <w:r>
        <w:t xml:space="preserve">33.</w:t>
      </w:r>
      <w:r>
        <w:t xml:space="preserve"> </w:t>
      </w:r>
      <w:r>
        <w:t xml:space="preserve">	</w:t>
      </w:r>
      <w:r>
        <w:t xml:space="preserve">Plate K, Knüppel S, Hornbacher A, Greiner M, Müller-Graf C.</w:t>
      </w:r>
      <w:r>
        <w:t xml:space="preserve"> </w:t>
      </w:r>
      <w:hyperlink r:id="rId112">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13"/>
    <w:bookmarkStart w:id="115" w:name="ref-halabicky2023LowLevelLead"/>
    <w:p>
      <w:pPr>
        <w:pStyle w:val="Bibliography"/>
      </w:pPr>
      <w:r>
        <w:t xml:space="preserve">34.</w:t>
      </w:r>
      <w:r>
        <w:t xml:space="preserve"> </w:t>
      </w:r>
      <w:r>
        <w:t xml:space="preserve">	</w:t>
      </w:r>
      <w:r>
        <w:t xml:space="preserve">Halabicky OM, Pinto-Martin JA, Compton P, Liu J.</w:t>
      </w:r>
      <w:r>
        <w:t xml:space="preserve"> </w:t>
      </w:r>
      <w:hyperlink r:id="rId114">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15"/>
    <w:bookmarkStart w:id="117" w:name="ref-chen2005IQBloodLead"/>
    <w:p>
      <w:pPr>
        <w:pStyle w:val="Bibliography"/>
      </w:pPr>
      <w:r>
        <w:t xml:space="preserve">35.</w:t>
      </w:r>
      <w:r>
        <w:t xml:space="preserve"> </w:t>
      </w:r>
      <w:r>
        <w:t xml:space="preserve">	</w:t>
      </w:r>
      <w:r>
        <w:t xml:space="preserve">Chen A, Dietrich KN, Ware JH, Radcliffe J, Rogan WJ.</w:t>
      </w:r>
      <w:r>
        <w:t xml:space="preserve"> </w:t>
      </w:r>
      <w:hyperlink r:id="rId116">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17"/>
    <w:bookmarkStart w:id="119" w:name="Xcf7993c3f58afaabaf73be6238c67f4f63053d9"/>
    <w:p>
      <w:pPr>
        <w:pStyle w:val="Bibliography"/>
      </w:pPr>
      <w:r>
        <w:t xml:space="preserve">36.</w:t>
      </w:r>
      <w:r>
        <w:t xml:space="preserve"> </w:t>
      </w:r>
      <w:r>
        <w:t xml:space="preserve">	</w:t>
      </w:r>
      <w:r>
        <w:t xml:space="preserve">Schnaas L, Rothenberg Stephen J, Flores MF, Martinez S, Hernandez C, Osorio E, et al.</w:t>
      </w:r>
      <w:r>
        <w:t xml:space="preserve"> </w:t>
      </w:r>
      <w:hyperlink r:id="rId118">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19"/>
    <w:bookmarkStart w:id="121" w:name="X8e5230fc5b64bf627de98b910f1e221b6fea14c"/>
    <w:p>
      <w:pPr>
        <w:pStyle w:val="Bibliography"/>
      </w:pPr>
      <w:r>
        <w:t xml:space="preserve">37.</w:t>
      </w:r>
      <w:r>
        <w:t xml:space="preserve"> </w:t>
      </w:r>
      <w:r>
        <w:t xml:space="preserve">	</w:t>
      </w:r>
      <w:r>
        <w:t xml:space="preserve">Rodríguez-Barranco M, Tobías A, Redondo D, Molina-Portillo E, Sánchez MJ.</w:t>
      </w:r>
      <w:r>
        <w:t xml:space="preserve"> </w:t>
      </w:r>
      <w:hyperlink r:id="rId120">
        <w:r>
          <w:rPr>
            <w:rStyle w:val="Hyperlink"/>
          </w:rPr>
          <w:t xml:space="preserve">Standardizing effect size from linear regression models with log-transformed variables for meta-analysis</w:t>
        </w:r>
      </w:hyperlink>
      <w:r>
        <w:t xml:space="preserve">. BMC Med Res Methodol. 2017 Dec;17(1):44.</w:t>
      </w:r>
      <w:r>
        <w:t xml:space="preserve"> </w:t>
      </w:r>
    </w:p>
    <w:bookmarkEnd w:id="121"/>
    <w:bookmarkStart w:id="122" w:name="X4bd034c52731e178b4de125c2c778bdc533803c"/>
    <w:p>
      <w:pPr>
        <w:pStyle w:val="Bibliography"/>
      </w:pPr>
      <w:r>
        <w:t xml:space="preserve">38.</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22"/>
    <w:bookmarkStart w:id="124" w:name="X111bb06244f8f2a1a6d0d2f1f41c24b71f248e6"/>
    <w:p>
      <w:pPr>
        <w:pStyle w:val="Bibliography"/>
      </w:pPr>
      <w:r>
        <w:t xml:space="preserve">39.</w:t>
      </w:r>
      <w:r>
        <w:t xml:space="preserve"> </w:t>
      </w:r>
      <w:r>
        <w:t xml:space="preserve">	</w:t>
      </w:r>
      <w:r>
        <w:t xml:space="preserve">Wolfgang Viechtbauer.</w:t>
      </w:r>
      <w:r>
        <w:t xml:space="preserve"> </w:t>
      </w:r>
      <w:hyperlink r:id="rId123">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24"/>
    <w:bookmarkEnd w:id="125"/>
    <w:bookmarkEnd w:id="126"/>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2"/>
  </w:num>
  <w:num w:numId="1008">
    <w:abstractNumId w:val="993"/>
  </w:num>
  <w:num w:numId="1009">
    <w:abstractNumId w:val="993"/>
  </w:num>
  <w:num w:numId="1010">
    <w:abstractNumId w:val="992"/>
  </w:num>
  <w:num w:numId="1011">
    <w:abstractNumId w:val="992"/>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74" Target="https://doi.org/10.1001/jama.1990.03440050067035" TargetMode="External" /><Relationship Type="http://schemas.openxmlformats.org/officeDocument/2006/relationships/hyperlink" Id="rId84" Target="https://doi.org/10.1006/enrs.1994.1020" TargetMode="External" /><Relationship Type="http://schemas.openxmlformats.org/officeDocument/2006/relationships/hyperlink" Id="rId100" Target="https://doi.org/10.1007/978-3-319-19425-7" TargetMode="External" /><Relationship Type="http://schemas.openxmlformats.org/officeDocument/2006/relationships/hyperlink" Id="rId68" Target="https://doi.org/10.1007/s11121-023-01601-6" TargetMode="External" /><Relationship Type="http://schemas.openxmlformats.org/officeDocument/2006/relationships/hyperlink" Id="rId54" Target="https://doi.org/10.1007/s12403-023-00535-2" TargetMode="External" /><Relationship Type="http://schemas.openxmlformats.org/officeDocument/2006/relationships/hyperlink" Id="rId56" Target="https://doi.org/10.1016/S0140-6736(24)00933-4" TargetMode="External" /><Relationship Type="http://schemas.openxmlformats.org/officeDocument/2006/relationships/hyperlink" Id="rId64" Target="https://doi.org/10.1016/S2468-2667(18)30025-2" TargetMode="External" /><Relationship Type="http://schemas.openxmlformats.org/officeDocument/2006/relationships/hyperlink" Id="rId80" Target="https://doi.org/10.1016/S2542-5196(23)00166-3" TargetMode="External" /><Relationship Type="http://schemas.openxmlformats.org/officeDocument/2006/relationships/hyperlink" Id="rId50" Target="https://doi.org/10.1016/j.chemosphere.2023.138207" TargetMode="External" /><Relationship Type="http://schemas.openxmlformats.org/officeDocument/2006/relationships/hyperlink" Id="rId60" Target="https://doi.org/10.1016/j.ecoenv.2022.113257" TargetMode="External" /><Relationship Type="http://schemas.openxmlformats.org/officeDocument/2006/relationships/hyperlink" Id="rId70"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88" Target="https://doi.org/10.1016/j.envres.2019.02.023" TargetMode="External" /><Relationship Type="http://schemas.openxmlformats.org/officeDocument/2006/relationships/hyperlink" Id="rId90" Target="https://doi.org/10.1016/j.envres.2024.120013" TargetMode="External" /><Relationship Type="http://schemas.openxmlformats.org/officeDocument/2006/relationships/hyperlink" Id="rId114" Target="https://doi.org/10.1038/s41370-022-00450-9" TargetMode="External" /><Relationship Type="http://schemas.openxmlformats.org/officeDocument/2006/relationships/hyperlink" Id="rId110" Target="https://doi.org/10.1038/s41562-021-01177-7" TargetMode="External" /><Relationship Type="http://schemas.openxmlformats.org/officeDocument/2006/relationships/hyperlink" Id="rId48" Target="https://doi.org/10.1038/s41598-025-17943-w" TargetMode="External" /><Relationship Type="http://schemas.openxmlformats.org/officeDocument/2006/relationships/hyperlink" Id="rId58" Target="https://doi.org/10.1053/j.ajkd.2018.02.358" TargetMode="External" /><Relationship Type="http://schemas.openxmlformats.org/officeDocument/2006/relationships/hyperlink" Id="rId72" Target="https://doi.org/10.1056/NEJM199210293271805" TargetMode="External" /><Relationship Type="http://schemas.openxmlformats.org/officeDocument/2006/relationships/hyperlink" Id="rId86" Target="https://doi.org/10.1056/NEJMoa022848" TargetMode="External" /><Relationship Type="http://schemas.openxmlformats.org/officeDocument/2006/relationships/hyperlink" Id="rId92" Target="https://doi.org/10.1073/pnas.2118631119" TargetMode="External" /><Relationship Type="http://schemas.openxmlformats.org/officeDocument/2006/relationships/hyperlink" Id="rId108" Target="https://doi.org/10.1136/bmj.n71" TargetMode="External" /><Relationship Type="http://schemas.openxmlformats.org/officeDocument/2006/relationships/hyperlink" Id="rId62" Target="https://doi.org/10.1161/JAHA.124.037633" TargetMode="External" /><Relationship Type="http://schemas.openxmlformats.org/officeDocument/2006/relationships/hyperlink" Id="rId98" Target="https://doi.org/10.1177/0013164495055004001" TargetMode="External" /><Relationship Type="http://schemas.openxmlformats.org/officeDocument/2006/relationships/hyperlink" Id="rId120" Target="https://doi.org/10.1186/s12874-017-0322-8" TargetMode="External" /><Relationship Type="http://schemas.openxmlformats.org/officeDocument/2006/relationships/hyperlink" Id="rId102" Target="https://doi.org/10.1186/s40537-018-0143-6" TargetMode="External" /><Relationship Type="http://schemas.openxmlformats.org/officeDocument/2006/relationships/hyperlink" Id="rId104" Target="https://doi.org/10.1201/9781003375821" TargetMode="External" /><Relationship Type="http://schemas.openxmlformats.org/officeDocument/2006/relationships/hyperlink" Id="rId96" Target="https://doi.org/10.1289/EHP5685" TargetMode="External" /><Relationship Type="http://schemas.openxmlformats.org/officeDocument/2006/relationships/hyperlink" Id="rId118" Target="https://doi.org/10.1289/ehp.8552" TargetMode="External" /><Relationship Type="http://schemas.openxmlformats.org/officeDocument/2006/relationships/hyperlink" Id="rId76" Target="https://doi.org/10.1542/peds.90.6.855" TargetMode="External" /><Relationship Type="http://schemas.openxmlformats.org/officeDocument/2006/relationships/hyperlink" Id="rId123" Target="https://doi.org/10.18637/jss.v036.i03" TargetMode="External" /><Relationship Type="http://schemas.openxmlformats.org/officeDocument/2006/relationships/hyperlink" Id="rId82" Target="https://doi.org/10.2903/j.efsa.2010.1570" TargetMode="External" /><Relationship Type="http://schemas.openxmlformats.org/officeDocument/2006/relationships/hyperlink" Id="rId52" Target="https://doi.org/10.2903/j.efsa.2012.2831" TargetMode="External" /><Relationship Type="http://schemas.openxmlformats.org/officeDocument/2006/relationships/hyperlink" Id="rId112" Target="https://doi.org/10.2903/sp.efsa.2024.EN-8925" TargetMode="External" /><Relationship Type="http://schemas.openxmlformats.org/officeDocument/2006/relationships/hyperlink" Id="rId94" Target="https://doi.org/10.3109/10408444.2013.832726" TargetMode="External" /><Relationship Type="http://schemas.openxmlformats.org/officeDocument/2006/relationships/hyperlink" Id="rId106" Target="https://doi.org/10.3758/s13423-013-0572-3" TargetMode="External" /><Relationship Type="http://schemas.openxmlformats.org/officeDocument/2006/relationships/hyperlink" Id="rId116" Target="https://doi.org/doi:10.1289/ehp.7625" TargetMode="External" /><Relationship Type="http://schemas.openxmlformats.org/officeDocument/2006/relationships/hyperlink" Id="rId78"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7" Target="https://www.eu-parc.eu" TargetMode="External" /><Relationship Type="http://schemas.openxmlformats.org/officeDocument/2006/relationships/hyperlink" Id="rId21" Target="https://www.prisma-statement.org/prisma-2020"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01/jama.1990.03440050067035" TargetMode="External" /><Relationship Type="http://schemas.openxmlformats.org/officeDocument/2006/relationships/hyperlink" Id="rId84" Target="https://doi.org/10.1006/enrs.1994.1020" TargetMode="External" /><Relationship Type="http://schemas.openxmlformats.org/officeDocument/2006/relationships/hyperlink" Id="rId100" Target="https://doi.org/10.1007/978-3-319-19425-7" TargetMode="External" /><Relationship Type="http://schemas.openxmlformats.org/officeDocument/2006/relationships/hyperlink" Id="rId68" Target="https://doi.org/10.1007/s11121-023-01601-6" TargetMode="External" /><Relationship Type="http://schemas.openxmlformats.org/officeDocument/2006/relationships/hyperlink" Id="rId54" Target="https://doi.org/10.1007/s12403-023-00535-2" TargetMode="External" /><Relationship Type="http://schemas.openxmlformats.org/officeDocument/2006/relationships/hyperlink" Id="rId56" Target="https://doi.org/10.1016/S0140-6736(24)00933-4" TargetMode="External" /><Relationship Type="http://schemas.openxmlformats.org/officeDocument/2006/relationships/hyperlink" Id="rId64" Target="https://doi.org/10.1016/S2468-2667(18)30025-2" TargetMode="External" /><Relationship Type="http://schemas.openxmlformats.org/officeDocument/2006/relationships/hyperlink" Id="rId80" Target="https://doi.org/10.1016/S2542-5196(23)00166-3" TargetMode="External" /><Relationship Type="http://schemas.openxmlformats.org/officeDocument/2006/relationships/hyperlink" Id="rId50" Target="https://doi.org/10.1016/j.chemosphere.2023.138207" TargetMode="External" /><Relationship Type="http://schemas.openxmlformats.org/officeDocument/2006/relationships/hyperlink" Id="rId60" Target="https://doi.org/10.1016/j.ecoenv.2022.113257" TargetMode="External" /><Relationship Type="http://schemas.openxmlformats.org/officeDocument/2006/relationships/hyperlink" Id="rId70" Target="https://doi.org/10.1016/j.envint.2025.109786" TargetMode="External" /><Relationship Type="http://schemas.openxmlformats.org/officeDocument/2006/relationships/hyperlink" Id="rId66" Target="https://doi.org/10.1016/j.envres.2005.10.004" TargetMode="External" /><Relationship Type="http://schemas.openxmlformats.org/officeDocument/2006/relationships/hyperlink" Id="rId88" Target="https://doi.org/10.1016/j.envres.2019.02.023" TargetMode="External" /><Relationship Type="http://schemas.openxmlformats.org/officeDocument/2006/relationships/hyperlink" Id="rId90" Target="https://doi.org/10.1016/j.envres.2024.120013" TargetMode="External" /><Relationship Type="http://schemas.openxmlformats.org/officeDocument/2006/relationships/hyperlink" Id="rId114" Target="https://doi.org/10.1038/s41370-022-00450-9" TargetMode="External" /><Relationship Type="http://schemas.openxmlformats.org/officeDocument/2006/relationships/hyperlink" Id="rId110" Target="https://doi.org/10.1038/s41562-021-01177-7" TargetMode="External" /><Relationship Type="http://schemas.openxmlformats.org/officeDocument/2006/relationships/hyperlink" Id="rId48" Target="https://doi.org/10.1038/s41598-025-17943-w" TargetMode="External" /><Relationship Type="http://schemas.openxmlformats.org/officeDocument/2006/relationships/hyperlink" Id="rId58" Target="https://doi.org/10.1053/j.ajkd.2018.02.358" TargetMode="External" /><Relationship Type="http://schemas.openxmlformats.org/officeDocument/2006/relationships/hyperlink" Id="rId72" Target="https://doi.org/10.1056/NEJM199210293271805" TargetMode="External" /><Relationship Type="http://schemas.openxmlformats.org/officeDocument/2006/relationships/hyperlink" Id="rId86" Target="https://doi.org/10.1056/NEJMoa022848" TargetMode="External" /><Relationship Type="http://schemas.openxmlformats.org/officeDocument/2006/relationships/hyperlink" Id="rId92" Target="https://doi.org/10.1073/pnas.2118631119" TargetMode="External" /><Relationship Type="http://schemas.openxmlformats.org/officeDocument/2006/relationships/hyperlink" Id="rId108" Target="https://doi.org/10.1136/bmj.n71" TargetMode="External" /><Relationship Type="http://schemas.openxmlformats.org/officeDocument/2006/relationships/hyperlink" Id="rId62" Target="https://doi.org/10.1161/JAHA.124.037633" TargetMode="External" /><Relationship Type="http://schemas.openxmlformats.org/officeDocument/2006/relationships/hyperlink" Id="rId98" Target="https://doi.org/10.1177/0013164495055004001" TargetMode="External" /><Relationship Type="http://schemas.openxmlformats.org/officeDocument/2006/relationships/hyperlink" Id="rId120" Target="https://doi.org/10.1186/s12874-017-0322-8" TargetMode="External" /><Relationship Type="http://schemas.openxmlformats.org/officeDocument/2006/relationships/hyperlink" Id="rId102" Target="https://doi.org/10.1186/s40537-018-0143-6" TargetMode="External" /><Relationship Type="http://schemas.openxmlformats.org/officeDocument/2006/relationships/hyperlink" Id="rId104" Target="https://doi.org/10.1201/9781003375821" TargetMode="External" /><Relationship Type="http://schemas.openxmlformats.org/officeDocument/2006/relationships/hyperlink" Id="rId96" Target="https://doi.org/10.1289/EHP5685" TargetMode="External" /><Relationship Type="http://schemas.openxmlformats.org/officeDocument/2006/relationships/hyperlink" Id="rId118" Target="https://doi.org/10.1289/ehp.8552" TargetMode="External" /><Relationship Type="http://schemas.openxmlformats.org/officeDocument/2006/relationships/hyperlink" Id="rId76" Target="https://doi.org/10.1542/peds.90.6.855" TargetMode="External" /><Relationship Type="http://schemas.openxmlformats.org/officeDocument/2006/relationships/hyperlink" Id="rId123" Target="https://doi.org/10.18637/jss.v036.i03" TargetMode="External" /><Relationship Type="http://schemas.openxmlformats.org/officeDocument/2006/relationships/hyperlink" Id="rId82" Target="https://doi.org/10.2903/j.efsa.2010.1570" TargetMode="External" /><Relationship Type="http://schemas.openxmlformats.org/officeDocument/2006/relationships/hyperlink" Id="rId52" Target="https://doi.org/10.2903/j.efsa.2012.2831" TargetMode="External" /><Relationship Type="http://schemas.openxmlformats.org/officeDocument/2006/relationships/hyperlink" Id="rId112" Target="https://doi.org/10.2903/sp.efsa.2024.EN-8925" TargetMode="External" /><Relationship Type="http://schemas.openxmlformats.org/officeDocument/2006/relationships/hyperlink" Id="rId94" Target="https://doi.org/10.3109/10408444.2013.832726" TargetMode="External" /><Relationship Type="http://schemas.openxmlformats.org/officeDocument/2006/relationships/hyperlink" Id="rId106" Target="https://doi.org/10.3758/s13423-013-0572-3" TargetMode="External" /><Relationship Type="http://schemas.openxmlformats.org/officeDocument/2006/relationships/hyperlink" Id="rId116" Target="https://doi.org/doi:10.1289/ehp.7625" TargetMode="External" /><Relationship Type="http://schemas.openxmlformats.org/officeDocument/2006/relationships/hyperlink" Id="rId78"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33" Target="https://github.com/PaulinaSell/lead-IQ_meta-analysis"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7" Target="https://www.eu-parc.eu" TargetMode="External" /><Relationship Type="http://schemas.openxmlformats.org/officeDocument/2006/relationships/hyperlink" Id="rId21" Target="https://www.prisma-statement.org/prisma-20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 Margaux Sanchez; Philippe Palmont; Dietrich Plass</dc:creator>
  <cp:keywords/>
  <dcterms:created xsi:type="dcterms:W3CDTF">2026-02-06T13:33:42Z</dcterms:created>
  <dcterms:modified xsi:type="dcterms:W3CDTF">2026-02-06T13:33:42Z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format">
    <vt:lpwstr>D MMMM YYYY</vt:lpwstr>
  </property>
  <property fmtid="{D5CDD505-2E9C-101B-9397-08002B2CF9AE}" pid="10" name="date-modified">
    <vt:lpwstr>6 February 2026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