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263"/>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263"/>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-3.82 to -1.08)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-3.54 to -1.04).</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frameworks were robust to RoB, and Bayesian estimates were insensitive to tested priors.</w:t>
      </w:r>
      <w:r>
        <w:t xml:space="preserve"> </w:t>
      </w:r>
      <w:r>
        <w:t xml:space="preserve">Depending on the chosen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synthesise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r>
        <w:t xml:space="preserve"> </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PECOTS criteria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PECOTS domain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Inclusion criteria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Population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Human population &lt; 18 years of age (infants, children, teenagers)  OR pregnant women and women in childbearing 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to lead and methylmercury through HBM/internal exposure data (urine, blood, hair, bones).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Comparators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Investigating associations between exposure and outcome for single substance or a mixture  AND reporting regression coefficient and statistical uncertainty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IQ shift in children &lt;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exposure of the children (post-natal) OR current exposure of pregnant women (pre-natal).   Both are considered medium- to long-term timing of exposure.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settings (location)</w:t>
            </w:r>
          </w:p>
        </w:tc>
      </w:tr>
      <w:tr>
        <w:trPr>
          <w:cantSplit/>
        </w:trPr>
        <w:tc>
          <w:tcPr>
            <w:gridSpan w:val="2"/>
          </w:tcPr>
          <w:p>
            <w:pPr>
              <w:spacing w:before="0" w:after="60"/>
              <w:keepNext/>
            </w:pPr>
            <w:r>
              <w:rPr>
                <w:rFonts w:ascii="Calibri" w:hAnsi="Calibri"/>
                <w:sz w:val="20"/>
              </w:rPr>
              <w:t xml:space="default">HBM, human biomonitoring</w:t>
            </w:r>
          </w:p>
        </w:tc>
      </w:tr>
    </w:tbl>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-4.92 and 2.92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centred around 0, giving equal weight to the probability of a protective and detrimental effect of lead.</w:t>
      </w:r>
      <w:r>
        <w:t xml:space="preserve"> </w:t>
      </w:r>
      <w:r>
        <w:t xml:space="preserve">To be able to discern the individual impact of the prior settings for</w:t>
      </w:r>
      <w:r>
        <w:t xml:space="preserve"> </w:t>
      </w:r>
      <m:oMath>
        <m:r>
          <m:t>μ</m:t>
        </m:r>
      </m:oMath>
      <w:r>
        <w:t xml:space="preserve"> </w:t>
      </w:r>
      <w:r>
        <w:t xml:space="preserve">and</w:t>
      </w:r>
      <w:r>
        <w:t xml:space="preserve"> </w:t>
      </w:r>
      <m:oMath>
        <m:sSup>
          <m:e>
            <m:r>
              <m:t>τ</m:t>
            </m:r>
          </m:e>
          <m:sup>
            <m:r>
              <m:t>2</m:t>
            </m:r>
          </m:sup>
        </m:sSup>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sSup>
          <m:e>
            <m:r>
              <m:t>τ</m:t>
            </m:r>
          </m:e>
          <m:sup>
            <m:r>
              <m:t>2</m:t>
            </m:r>
          </m:sup>
        </m:sSup>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the setting in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9"/>
    <w:bookmarkEnd w:id="30"/>
    <w:bookmarkStart w:id="43"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 (confounder)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FSIQ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and Bisphenol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gridSpan w:val="14"/>
          </w:tcPr>
          <w:p>
            <w:pPr>
              <w:spacing w:before="0" w:after="60"/>
              <w:keepNext/>
            </w:pPr>
            <w:r>
              <w:rPr>
                <w:rFonts w:ascii="Calibri" w:hAnsi="Calibri"/>
                <w:sz w:val="20"/>
              </w:rPr>
              <w:t xml:space="default">ADHD-RS, Attention Deficit Hyperactivity Disorder Rating Scale; BMI, Body Mass Index; CPT, Continuous Performance Test; ERF, exposure-response function; FSIQ, full scale IQ; HOME, Home Observation for Measurement of the Environment; SE, standard error; SES, socioeconomic status; WASI, Wechsler Abbreviated Scale of Intelligence, WISC, Wechsler Intelligence Scale for Children; WPPSI, Wechsler Preschool and Primary Scale of Intelligence</w:t>
            </w:r>
          </w:p>
        </w:tc>
      </w:tr>
    </w:tbl>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Study, year</w:t>
            </w:r>
          </w:p>
        </w:tc>
        <w:tc>
          <w:tcPr>
            <w:tcBorders>
              <w:bottom w:val="single" w:sz="16" w:space="0" w:color="D3D3D3"/>
            </w:tcBorders>
          </w:tcPr>
          <w:p>
            <w:pPr>
              <w:spacing w:before="0" w:after="60"/>
              <w:keepNext/>
              <w:jc w:val="center"/>
            </w:pPr>
            <w:r>
              <w:rPr>
                <w:rFonts w:ascii="Calibri" w:hAnsi="Calibri"/>
                <w:sz w:val="20"/>
              </w:rPr>
              <w:t xml:space="default">Eligibility criteria</w:t>
            </w:r>
          </w:p>
        </w:tc>
        <w:tc>
          <w:tcPr>
            <w:tcBorders>
              <w:bottom w:val="single" w:sz="16" w:space="0" w:color="D3D3D3"/>
            </w:tcBorders>
          </w:tcPr>
          <w:p>
            <w:pPr>
              <w:spacing w:before="0" w:after="60"/>
              <w:keepNext/>
              <w:jc w:val="center"/>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center"/>
            </w:pPr>
            <w:r>
              <w:rPr>
                <w:rFonts w:ascii="Calibri" w:hAnsi="Calibri"/>
                <w:sz w:val="20"/>
              </w:rPr>
              <w:t xml:space="default">Non-response rate </w:t>
            </w:r>
          </w:p>
        </w:tc>
        <w:tc>
          <w:tcPr>
            <w:tcBorders>
              <w:bottom w:val="single" w:sz="16" w:space="0" w:color="D3D3D3"/>
            </w:tcBorders>
          </w:tcPr>
          <w:p>
            <w:pPr>
              <w:spacing w:before="0" w:after="60"/>
              <w:keepNext/>
              <w:jc w:val="center"/>
            </w:pPr>
            <w:r>
              <w:rPr>
                <w:rFonts w:ascii="Calibri" w:hAnsi="Calibri"/>
                <w:sz w:val="20"/>
              </w:rPr>
              <w:t xml:space="default">Recruitment time frame </w:t>
            </w:r>
          </w:p>
        </w:tc>
        <w:tc>
          <w:tcPr>
            <w:tcBorders>
              <w:bottom w:val="single" w:sz="16" w:space="0" w:color="D3D3D3"/>
            </w:tcBorders>
          </w:tcPr>
          <w:p>
            <w:pPr>
              <w:spacing w:before="0" w:after="60"/>
              <w:keepNext/>
              <w:jc w:val="center"/>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center"/>
            </w:pPr>
            <w:r>
              <w:rPr>
                <w:rFonts w:ascii="Calibri" w:hAnsi="Calibri"/>
                <w:sz w:val="20"/>
              </w:rPr>
              <w:t xml:space="default">Misclassification of exposure </w:t>
            </w:r>
          </w:p>
        </w:tc>
        <w:tc>
          <w:tcPr>
            <w:tcBorders>
              <w:bottom w:val="single" w:sz="16" w:space="0" w:color="D3D3D3"/>
            </w:tcBorders>
          </w:tcPr>
          <w:p>
            <w:pPr>
              <w:spacing w:before="0" w:after="60"/>
              <w:keepNext/>
              <w:jc w:val="center"/>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center"/>
            </w:pPr>
            <w:r>
              <w:rPr>
                <w:rFonts w:ascii="Calibri" w:hAnsi="Calibri"/>
                <w:sz w:val="20"/>
              </w:rPr>
              <w:t xml:space="default">Misclassification of outcome </w:t>
            </w:r>
          </w:p>
        </w:tc>
        <w:tc>
          <w:tcPr>
            <w:tcBorders>
              <w:bottom w:val="single" w:sz="16" w:space="0" w:color="D3D3D3"/>
            </w:tcBorders>
          </w:tcPr>
          <w:p>
            <w:pPr>
              <w:spacing w:before="0" w:after="60"/>
              <w:keepNext/>
              <w:jc w:val="center"/>
            </w:pPr>
            <w:r>
              <w:rPr>
                <w:rFonts w:ascii="Calibri" w:hAnsi="Calibri"/>
                <w:sz w:val="20"/>
              </w:rPr>
              <w:t xml:space="default">Accounting for confounding </w:t>
            </w:r>
          </w:p>
        </w:tc>
        <w:tc>
          <w:tcPr>
            <w:tcBorders>
              <w:bottom w:val="single" w:sz="16" w:space="0" w:color="D3D3D3"/>
            </w:tcBorders>
          </w:tcPr>
          <w:p>
            <w:pPr>
              <w:spacing w:before="0" w:after="60"/>
              <w:keepNext/>
              <w:jc w:val="center"/>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center"/>
            </w:pPr>
            <w:r>
              <w:rPr>
                <w:rFonts w:ascii="Calibri" w:hAnsi="Calibri"/>
                <w:sz w:val="20"/>
              </w:rPr>
              <w:t xml:space="default">Adequacy of length of follow-up </w:t>
            </w:r>
          </w:p>
        </w:tc>
        <w:tc>
          <w:tcPr>
            <w:tcBorders>
              <w:bottom w:val="single" w:sz="16" w:space="0" w:color="D3D3D3"/>
            </w:tcBorders>
          </w:tcPr>
          <w:p>
            <w:pPr>
              <w:spacing w:before="0" w:after="60"/>
              <w:keepNext/>
              <w:jc w:val="center"/>
            </w:pPr>
            <w:r>
              <w:rPr>
                <w:rFonts w:ascii="Calibri" w:hAnsi="Calibri"/>
                <w:sz w:val="20"/>
              </w:rPr>
              <w:t xml:space="default">Amount and handling of loss to follow-up </w:t>
            </w:r>
          </w:p>
        </w:tc>
        <w:tc>
          <w:tcPr>
            <w:tcBorders>
              <w:bottom w:val="single" w:sz="16" w:space="0" w:color="D3D3D3"/>
            </w:tcBorders>
          </w:tcPr>
          <w:p>
            <w:pPr>
              <w:spacing w:before="0" w:after="60"/>
              <w:keepNext/>
              <w:jc w:val="center"/>
            </w:pPr>
            <w:r>
              <w:rPr>
                <w:rFonts w:ascii="Calibri" w:hAnsi="Calibri"/>
                <w:sz w:val="20"/>
              </w:rPr>
              <w:t xml:space="default">Appropriate data analysis methods </w:t>
            </w:r>
          </w:p>
        </w:tc>
        <w:tc>
          <w:tcPr>
            <w:tcBorders>
              <w:bottom w:val="single" w:sz="16" w:space="0" w:color="D3D3D3"/>
            </w:tcBorders>
          </w:tcPr>
          <w:p>
            <w:pPr>
              <w:spacing w:before="0" w:after="60"/>
              <w:keepNext/>
              <w:jc w:val="center"/>
            </w:pPr>
            <w:r>
              <w:rPr>
                <w:rFonts w:ascii="Calibri" w:hAnsi="Calibri"/>
                <w:sz w:val="20"/>
              </w:rPr>
              <w:t xml:space="default">Handling of missing values </w:t>
            </w:r>
          </w:p>
        </w:tc>
        <w:tc>
          <w:tcPr>
            <w:tcBorders>
              <w:bottom w:val="single" w:sz="16" w:space="0" w:color="D3D3D3"/>
            </w:tcBorders>
          </w:tcPr>
          <w:p>
            <w:pPr>
              <w:spacing w:before="0" w:after="60"/>
              <w:keepNext/>
              <w:jc w:val="center"/>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center"/>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gridSpan w:val="17"/>
          </w:tcPr>
          <w:p>
            <w:pPr>
              <w:spacing w:before="0" w:after="60"/>
              <w:keepNext/>
            </w:pPr>
            <w:r>
              <w:rPr>
                <w:rFonts w:ascii="Calibri" w:hAnsi="Calibri"/>
                <w:sz w:val="20"/>
              </w:rPr>
              <w:t xml:space="default">RoB, risk of bias; (-), high RoB; (+/-), some concerns / moderate; (+), low RoB; (?), no information; (n.a.), not applicable</w:t>
            </w:r>
          </w:p>
        </w:tc>
      </w:tr>
    </w:tbl>
    <w:bookmarkEnd w:id="35"/>
    <w:bookmarkStart w:id="39"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w:t>
      </w:r>
      <w:r>
        <w:t xml:space="preserve"> </w:t>
      </w:r>
      <w:r>
        <w:t xml:space="preserve">The frequentist approach produced a comparable pooled estimate of -2.45 (95% confidence interval (CI): -3.82 to -1.08).</w:t>
      </w:r>
      <w:r>
        <w:t xml:space="preserve"> </w:t>
      </w:r>
      <w:r>
        <w:t xml:space="preserve">Substantial between-study heterogeneity was observed under both frameworks.</w:t>
      </w:r>
      <w:r>
        <w:t xml:space="preserve"> </w:t>
      </w:r>
      <w:r>
        <w:t xml:space="preserve">In the Bayesian framework,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9"/>
    <w:bookmarkStart w:id="42" w:name="sensitivity-analysis-1"/>
    <w:p>
      <w:pPr>
        <w:pStyle w:val="Heading2"/>
      </w:pPr>
      <w:r>
        <w:t xml:space="preserve">3.4 Sensitivity Analysis</w:t>
      </w:r>
    </w:p>
    <w:bookmarkStart w:id="40" w:name="risk-of-bias-1"/>
    <w:p>
      <w:pPr>
        <w:pStyle w:val="Heading3"/>
      </w:pPr>
      <w:r>
        <w:t xml:space="preserve">3.4.1 Risk of Bias</w:t>
      </w:r>
    </w:p>
    <w:p>
      <w:pPr>
        <w:pStyle w:val="FirstParagraph"/>
      </w:pP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40"/>
    <w:bookmarkStart w:id="41"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sSup>
          <m:e>
            <m:r>
              <m:t>τ</m:t>
            </m:r>
          </m:e>
          <m:sup>
            <m:r>
              <m:t>2</m:t>
            </m:r>
          </m:sup>
        </m:sSup>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our conclusions.</w:t>
      </w:r>
      <w:r>
        <w:t xml:space="preserve"> </w:t>
      </w:r>
      <w:r>
        <w:t xml:space="preserve">Varying the strength of shrinkage by decreasing or increasing the scale of</w:t>
      </w:r>
      <w:r>
        <w:t xml:space="preserve"> </w:t>
      </w:r>
      <m:oMath>
        <m:sSup>
          <m:e>
            <m:r>
              <m:t>τ</m:t>
            </m:r>
          </m:e>
          <m:sup>
            <m:r>
              <m:t>2</m:t>
            </m:r>
          </m:sup>
        </m:sSup>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uncertain studies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Rows varying only the effect prior hold the heterogeneity prior at N+(0, 2); rows varying only the heterogeneity prior hold the effect prior at Normal(0, 100), which is effectively flat but not improper. distribution truncated at zero.</w:t>
            </w:r>
          </w:p>
        </w:tc>
      </w:tr>
    </w:tbl>
    <w:bookmarkEnd w:id="41"/>
    <w:bookmarkEnd w:id="42"/>
    <w:bookmarkEnd w:id="43"/>
    <w:bookmarkStart w:id="44"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narrower prior distribution for the heterogeneity leads to stronger shrinkage, giving less weight to uncertain studies (Table 4).</w:t>
      </w:r>
      <w:r>
        <w:t xml:space="preserve"> </w:t>
      </w:r>
      <w:r>
        <w:t xml:space="preserve">In contrast, frequentist models rely on inverse-variance weighting that is fully determined by the data – uncertain studies are weighted less, but the degree to which this happens cannot be configured by the researcher.</w:t>
      </w:r>
      <w:r>
        <w:t xml:space="preserve"> </w:t>
      </w:r>
      <w:r>
        <w:t xml:space="preserve">Setting the model up for stronger shrinkage via priors can therefore be particularly relevant in meta-analyses analysing only a small set of studies.</w:t>
      </w:r>
      <w:r>
        <w:t xml:space="preserve"> </w:t>
      </w:r>
      <w:r>
        <w:t xml:space="preserve">Here, the observed heterogeneity may be high simply due to the small sample size, leaving our pooled estimate prone to being disproportionately impacted by a handful of uncertain studies.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generalisability of the pooled estimate and complicates its interpretation for specific populations.</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r>
        <w:t xml:space="preserve">Publication bias was assessed through visual inspection only; formal statistical testing, such as Egger’s test, would provide a more rigourous evaluation.</w:t>
      </w:r>
      <w:r>
        <w:t xml:space="preserve"> </w:t>
      </w:r>
      <w:r>
        <w:t xml:space="preserve">The visual assessment suggested the presence of publication bias, which may have led to overestimation of the pooled effect.</w:t>
      </w:r>
      <w:r>
        <w:t xml:space="preserve"> </w:t>
      </w:r>
      <w:r>
        <w:t xml:space="preserve">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4"/>
    <w:bookmarkStart w:id="45"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an applied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5"/>
    <w:bookmarkStart w:id="46"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6"/>
    <w:bookmarkStart w:id="47"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50">
        <w:r>
          <w:rPr>
            <w:rStyle w:val="Hyperlink"/>
          </w:rPr>
          <w:t xml:space="preserve">https://github.com/PaulinaSell/lead-IQ_meta-analysis</w:t>
        </w:r>
      </w:hyperlink>
      <w:r>
        <w:t xml:space="preserve"> </w:t>
      </w:r>
      <w:r>
        <w:t xml:space="preserve">[38]</w:t>
      </w:r>
      <w:r>
        <w:t xml:space="preserve">.</w:t>
      </w:r>
    </w:p>
    <w:bookmarkEnd w:id="51"/>
    <w:bookmarkStart w:id="52" w:name="competing-interests"/>
    <w:p>
      <w:pPr>
        <w:pStyle w:val="Heading2"/>
      </w:pPr>
      <w:r>
        <w:t xml:space="preserve">Competing interests</w:t>
      </w:r>
    </w:p>
    <w:p>
      <w:pPr>
        <w:pStyle w:val="FirstParagraph"/>
      </w:pPr>
      <w:r>
        <w:t xml:space="preserve">The authors declare no competing interests.</w:t>
      </w:r>
    </w:p>
    <w:bookmarkEnd w:id="52"/>
    <w:bookmarkStart w:id="53"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54"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5"/>
    <w:bookmarkEnd w:id="56"/>
    <w:bookmarkStart w:id="183" w:name="bibliography"/>
    <w:p>
      <w:pPr>
        <w:pStyle w:val="Heading1"/>
      </w:pPr>
      <w:r>
        <w:t xml:space="preserve">References</w:t>
      </w:r>
    </w:p>
    <w:bookmarkStart w:id="182" w:name="refs"/>
    <w:bookmarkStart w:id="58"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7">
        <w:r>
          <w:rPr>
            <w:rStyle w:val="Hyperlink"/>
          </w:rPr>
          <w:t xml:space="preserve">https://doi.org/10.1038/s41598-025-17943-w</w:t>
        </w:r>
      </w:hyperlink>
    </w:p>
    <w:bookmarkEnd w:id="58"/>
    <w:bookmarkStart w:id="60"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9">
        <w:r>
          <w:rPr>
            <w:rStyle w:val="Hyperlink"/>
          </w:rPr>
          <w:t xml:space="preserve">https://doi.org/10.1016/j.chemosphere.2023.138207</w:t>
        </w:r>
      </w:hyperlink>
    </w:p>
    <w:bookmarkEnd w:id="60"/>
    <w:bookmarkStart w:id="62"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61">
        <w:r>
          <w:rPr>
            <w:rStyle w:val="Hyperlink"/>
          </w:rPr>
          <w:t xml:space="preserve">https://doi.org/10.2903/j.efsa.2012.2831</w:t>
        </w:r>
      </w:hyperlink>
    </w:p>
    <w:bookmarkEnd w:id="62"/>
    <w:bookmarkStart w:id="64"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3">
        <w:r>
          <w:rPr>
            <w:rStyle w:val="Hyperlink"/>
          </w:rPr>
          <w:t xml:space="preserve">https://doi.org/10.1007/s12403-023-00535-2</w:t>
        </w:r>
      </w:hyperlink>
    </w:p>
    <w:bookmarkEnd w:id="64"/>
    <w:bookmarkStart w:id="66"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5">
        <w:r>
          <w:rPr>
            <w:rStyle w:val="Hyperlink"/>
          </w:rPr>
          <w:t xml:space="preserve">https://doi.org/10.1016/S0140-6736(25)01637-X</w:t>
        </w:r>
      </w:hyperlink>
    </w:p>
    <w:bookmarkEnd w:id="66"/>
    <w:bookmarkStart w:id="68"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7">
        <w:r>
          <w:rPr>
            <w:rStyle w:val="Hyperlink"/>
          </w:rPr>
          <w:t xml:space="preserve">https://doi.org/10.1053/j.ajkd.2018.02.358</w:t>
        </w:r>
      </w:hyperlink>
    </w:p>
    <w:bookmarkEnd w:id="68"/>
    <w:bookmarkStart w:id="70"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9">
        <w:r>
          <w:rPr>
            <w:rStyle w:val="Hyperlink"/>
          </w:rPr>
          <w:t xml:space="preserve">https://doi.org/10.1016/j.ecoenv.2022.113257</w:t>
        </w:r>
      </w:hyperlink>
    </w:p>
    <w:bookmarkEnd w:id="70"/>
    <w:bookmarkStart w:id="72"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71">
        <w:r>
          <w:rPr>
            <w:rStyle w:val="Hyperlink"/>
          </w:rPr>
          <w:t xml:space="preserve">https://doi.org/10.1161/JAHA.124.037633</w:t>
        </w:r>
      </w:hyperlink>
    </w:p>
    <w:bookmarkEnd w:id="72"/>
    <w:bookmarkStart w:id="74"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3">
        <w:r>
          <w:rPr>
            <w:rStyle w:val="Hyperlink"/>
          </w:rPr>
          <w:t xml:space="preserve">https://doi.org/10.1016/S2468-2667(18)30025-2</w:t>
        </w:r>
      </w:hyperlink>
    </w:p>
    <w:bookmarkEnd w:id="74"/>
    <w:bookmarkStart w:id="76"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5">
        <w:r>
          <w:rPr>
            <w:rStyle w:val="Hyperlink"/>
          </w:rPr>
          <w:t xml:space="preserve">https://doi.org/10.1016/j.envres.2005.10.004</w:t>
        </w:r>
      </w:hyperlink>
    </w:p>
    <w:bookmarkEnd w:id="76"/>
    <w:bookmarkStart w:id="78"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7">
        <w:r>
          <w:rPr>
            <w:rStyle w:val="Hyperlink"/>
          </w:rPr>
          <w:t xml:space="preserve">https://doi.org/10.1007/s11121-023-01601-6</w:t>
        </w:r>
      </w:hyperlink>
    </w:p>
    <w:bookmarkEnd w:id="78"/>
    <w:bookmarkStart w:id="80"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9">
        <w:r>
          <w:rPr>
            <w:rStyle w:val="Hyperlink"/>
          </w:rPr>
          <w:t xml:space="preserve">https://doi.org/10.1016/j.envint.2025.109786</w:t>
        </w:r>
      </w:hyperlink>
    </w:p>
    <w:bookmarkEnd w:id="80"/>
    <w:bookmarkStart w:id="82"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81">
        <w:r>
          <w:rPr>
            <w:rStyle w:val="Hyperlink"/>
          </w:rPr>
          <w:t xml:space="preserve">https://doi.org/10.1056/NEJM199210293271805</w:t>
        </w:r>
      </w:hyperlink>
    </w:p>
    <w:bookmarkEnd w:id="82"/>
    <w:bookmarkStart w:id="84"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3">
        <w:r>
          <w:rPr>
            <w:rStyle w:val="Hyperlink"/>
          </w:rPr>
          <w:t xml:space="preserve">https://doi.org/10.1001/jama.1990.03440050067035</w:t>
        </w:r>
      </w:hyperlink>
    </w:p>
    <w:bookmarkEnd w:id="84"/>
    <w:bookmarkStart w:id="86"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5">
        <w:r>
          <w:rPr>
            <w:rStyle w:val="Hyperlink"/>
          </w:rPr>
          <w:t xml:space="preserve">https://doi.org/10.1542/peds.90.6.855</w:t>
        </w:r>
      </w:hyperlink>
    </w:p>
    <w:bookmarkEnd w:id="86"/>
    <w:bookmarkStart w:id="88"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7">
        <w:r>
          <w:rPr>
            <w:rStyle w:val="Hyperlink"/>
          </w:rPr>
          <w:t xml:space="preserve">https://doi.org/10.1289/ehp.7688</w:t>
        </w:r>
      </w:hyperlink>
    </w:p>
    <w:bookmarkEnd w:id="88"/>
    <w:bookmarkStart w:id="90"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9">
        <w:r>
          <w:rPr>
            <w:rStyle w:val="Hyperlink"/>
          </w:rPr>
          <w:t xml:space="preserve">https://doi.org/10.1016/S2542-5196(23)00166-3</w:t>
        </w:r>
      </w:hyperlink>
    </w:p>
    <w:bookmarkEnd w:id="90"/>
    <w:bookmarkStart w:id="91"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91"/>
    <w:bookmarkStart w:id="93"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2">
        <w:r>
          <w:rPr>
            <w:rStyle w:val="Hyperlink"/>
          </w:rPr>
          <w:t xml:space="preserve">https://doi.org/10.2903/j.efsa.2010.1570</w:t>
        </w:r>
      </w:hyperlink>
    </w:p>
    <w:bookmarkEnd w:id="93"/>
    <w:bookmarkStart w:id="95"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4">
        <w:r>
          <w:rPr>
            <w:rStyle w:val="Hyperlink"/>
          </w:rPr>
          <w:t xml:space="preserve">https://doi.org/10.1006/enrs.1994.1020</w:t>
        </w:r>
      </w:hyperlink>
    </w:p>
    <w:bookmarkEnd w:id="95"/>
    <w:bookmarkStart w:id="97"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6">
        <w:r>
          <w:rPr>
            <w:rStyle w:val="Hyperlink"/>
          </w:rPr>
          <w:t xml:space="preserve">https://doi.org/10.1056/NEJMoa022848</w:t>
        </w:r>
      </w:hyperlink>
    </w:p>
    <w:bookmarkEnd w:id="97"/>
    <w:bookmarkStart w:id="99"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8">
        <w:r>
          <w:rPr>
            <w:rStyle w:val="Hyperlink"/>
          </w:rPr>
          <w:t xml:space="preserve">https://doi.org/10.1016/j.envres.2019.02.023</w:t>
        </w:r>
      </w:hyperlink>
    </w:p>
    <w:bookmarkEnd w:id="99"/>
    <w:bookmarkStart w:id="101"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100">
        <w:r>
          <w:rPr>
            <w:rStyle w:val="Hyperlink"/>
          </w:rPr>
          <w:t xml:space="preserve">https://doi.org/10.1016/j.envres.2024.120013</w:t>
        </w:r>
      </w:hyperlink>
    </w:p>
    <w:bookmarkEnd w:id="101"/>
    <w:bookmarkStart w:id="103"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2">
        <w:r>
          <w:rPr>
            <w:rStyle w:val="Hyperlink"/>
          </w:rPr>
          <w:t xml:space="preserve">https://doi.org/10.1073/pnas.2118631119</w:t>
        </w:r>
      </w:hyperlink>
    </w:p>
    <w:bookmarkEnd w:id="103"/>
    <w:bookmarkStart w:id="105"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4">
        <w:r>
          <w:rPr>
            <w:rStyle w:val="Hyperlink"/>
          </w:rPr>
          <w:t xml:space="preserve">https://doi.org/10.3109/10408444.2013.832726</w:t>
        </w:r>
      </w:hyperlink>
    </w:p>
    <w:bookmarkEnd w:id="105"/>
    <w:bookmarkStart w:id="107"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6">
        <w:r>
          <w:rPr>
            <w:rStyle w:val="Hyperlink"/>
          </w:rPr>
          <w:t xml:space="preserve">https://doi.org/10.1289/EHP5685</w:t>
        </w:r>
      </w:hyperlink>
    </w:p>
    <w:bookmarkEnd w:id="107"/>
    <w:bookmarkStart w:id="109"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8">
        <w:r>
          <w:rPr>
            <w:rStyle w:val="Hyperlink"/>
          </w:rPr>
          <w:t xml:space="preserve">https://doi.org/10.1201/9781003375821</w:t>
        </w:r>
      </w:hyperlink>
    </w:p>
    <w:bookmarkEnd w:id="109"/>
    <w:bookmarkStart w:id="111"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10">
        <w:r>
          <w:rPr>
            <w:rStyle w:val="Hyperlink"/>
          </w:rPr>
          <w:t xml:space="preserve">https://doi.org/10.3758/s13423-013-0572-3</w:t>
        </w:r>
      </w:hyperlink>
    </w:p>
    <w:bookmarkEnd w:id="111"/>
    <w:bookmarkStart w:id="113"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2">
        <w:r>
          <w:rPr>
            <w:rStyle w:val="Hyperlink"/>
          </w:rPr>
          <w:t xml:space="preserve">https://doi.org/10.1136/bmj.n71</w:t>
        </w:r>
      </w:hyperlink>
    </w:p>
    <w:bookmarkEnd w:id="113"/>
    <w:bookmarkStart w:id="115"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4">
        <w:r>
          <w:rPr>
            <w:rStyle w:val="Hyperlink"/>
          </w:rPr>
          <w:t xml:space="preserve">https://doi.org/10.1038/s41562-021-01177-7</w:t>
        </w:r>
      </w:hyperlink>
    </w:p>
    <w:bookmarkEnd w:id="115"/>
    <w:bookmarkStart w:id="117"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6">
        <w:r>
          <w:rPr>
            <w:rStyle w:val="Hyperlink"/>
          </w:rPr>
          <w:t xml:space="preserve">https://www.eu-parc.eu</w:t>
        </w:r>
      </w:hyperlink>
      <w:r>
        <w:t xml:space="preserve">. Accessed 5 June 2026</w:t>
      </w:r>
    </w:p>
    <w:bookmarkEnd w:id="117"/>
    <w:bookmarkStart w:id="118"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8"/>
    <w:bookmarkStart w:id="120"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9">
        <w:r>
          <w:rPr>
            <w:rStyle w:val="Hyperlink"/>
          </w:rPr>
          <w:t xml:space="preserve">https://doi.org/10.2903/sp.efsa.2024.EN-8925</w:t>
        </w:r>
      </w:hyperlink>
    </w:p>
    <w:bookmarkEnd w:id="120"/>
    <w:bookmarkStart w:id="122"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21">
        <w:r>
          <w:rPr>
            <w:rStyle w:val="Hyperlink"/>
          </w:rPr>
          <w:t xml:space="preserve">https://doi.org/10.1038/s41370-022-00450-9</w:t>
        </w:r>
      </w:hyperlink>
    </w:p>
    <w:bookmarkEnd w:id="122"/>
    <w:bookmarkStart w:id="124"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3">
        <w:r>
          <w:rPr>
            <w:rStyle w:val="Hyperlink"/>
          </w:rPr>
          <w:t xml:space="preserve">https://doi.org/10.1289/ehp.7625</w:t>
        </w:r>
      </w:hyperlink>
    </w:p>
    <w:bookmarkEnd w:id="124"/>
    <w:bookmarkStart w:id="126"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5">
        <w:r>
          <w:rPr>
            <w:rStyle w:val="Hyperlink"/>
          </w:rPr>
          <w:t xml:space="preserve">https://doi.org/10.1289/ehp.8552</w:t>
        </w:r>
      </w:hyperlink>
    </w:p>
    <w:bookmarkEnd w:id="126"/>
    <w:bookmarkStart w:id="127"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7"/>
    <w:bookmarkStart w:id="128" w:name="ref-2026GitHub"/>
    <w:p>
      <w:pPr>
        <w:pStyle w:val="Bibliography"/>
      </w:pPr>
      <w:r>
        <w:t xml:space="preserve">38. GitHub repository.</w:t>
      </w:r>
      <w:r>
        <w:t xml:space="preserve"> </w:t>
      </w:r>
      <w:hyperlink r:id="rId50">
        <w:r>
          <w:rPr>
            <w:rStyle w:val="Hyperlink"/>
          </w:rPr>
          <w:t xml:space="preserve">https://github.com/PaulinaSell/lead-IQ_meta-analysis</w:t>
        </w:r>
      </w:hyperlink>
      <w:r>
        <w:t xml:space="preserve">. Accessed 5 June 2026</w:t>
      </w:r>
    </w:p>
    <w:bookmarkEnd w:id="128"/>
    <w:bookmarkStart w:id="130"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9">
        <w:r>
          <w:rPr>
            <w:rStyle w:val="Hyperlink"/>
          </w:rPr>
          <w:t xml:space="preserve">https://doi.org/10.18637/jss.v080.i01</w:t>
        </w:r>
      </w:hyperlink>
    </w:p>
    <w:bookmarkEnd w:id="130"/>
    <w:bookmarkStart w:id="131"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31"/>
    <w:bookmarkStart w:id="133"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32">
        <w:r>
          <w:rPr>
            <w:rStyle w:val="Hyperlink"/>
          </w:rPr>
          <w:t xml:space="preserve">https://doi.org/10.1002/sim.791</w:t>
        </w:r>
      </w:hyperlink>
    </w:p>
    <w:bookmarkEnd w:id="133"/>
    <w:bookmarkStart w:id="135"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4">
        <w:r>
          <w:rPr>
            <w:rStyle w:val="Hyperlink"/>
          </w:rPr>
          <w:t xml:space="preserve">https://doi.org/10.18637/jss.v036.i03</w:t>
        </w:r>
      </w:hyperlink>
    </w:p>
    <w:bookmarkEnd w:id="135"/>
    <w:bookmarkStart w:id="137"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6">
        <w:r>
          <w:rPr>
            <w:rStyle w:val="Hyperlink"/>
          </w:rPr>
          <w:t xml:space="preserve">https://doi.org/10.1111/ajpy.12096</w:t>
        </w:r>
      </w:hyperlink>
    </w:p>
    <w:bookmarkEnd w:id="137"/>
    <w:bookmarkStart w:id="139"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8">
        <w:r>
          <w:rPr>
            <w:rStyle w:val="Hyperlink"/>
          </w:rPr>
          <w:t xml:space="preserve">https://doi.org/10.1289/EHP6803</w:t>
        </w:r>
      </w:hyperlink>
    </w:p>
    <w:bookmarkEnd w:id="139"/>
    <w:bookmarkStart w:id="141"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40">
        <w:r>
          <w:rPr>
            <w:rStyle w:val="Hyperlink"/>
          </w:rPr>
          <w:t xml:space="preserve">https://doi.org/10.1289/ehp.1307420</w:t>
        </w:r>
      </w:hyperlink>
    </w:p>
    <w:bookmarkEnd w:id="141"/>
    <w:bookmarkStart w:id="143"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42">
        <w:r>
          <w:rPr>
            <w:rStyle w:val="Hyperlink"/>
          </w:rPr>
          <w:t xml:space="preserve">https://doi.org/10.1016/j.envres.2012.08.003</w:t>
        </w:r>
      </w:hyperlink>
    </w:p>
    <w:bookmarkEnd w:id="143"/>
    <w:bookmarkStart w:id="145"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4">
        <w:r>
          <w:rPr>
            <w:rStyle w:val="Hyperlink"/>
          </w:rPr>
          <w:t xml:space="preserve">https://doi.org/10.1186/s12940-019-0505-3</w:t>
        </w:r>
      </w:hyperlink>
    </w:p>
    <w:bookmarkEnd w:id="145"/>
    <w:bookmarkStart w:id="147"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6">
        <w:r>
          <w:rPr>
            <w:rStyle w:val="Hyperlink"/>
          </w:rPr>
          <w:t xml:space="preserve">https://doi.org/10.1016/j.neuro.2013.05.005</w:t>
        </w:r>
      </w:hyperlink>
    </w:p>
    <w:bookmarkEnd w:id="147"/>
    <w:bookmarkStart w:id="149"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8">
        <w:r>
          <w:rPr>
            <w:rStyle w:val="Hyperlink"/>
          </w:rPr>
          <w:t xml:space="preserve">https://doi.org/10.1016/j.scitotenv.2019.134519</w:t>
        </w:r>
      </w:hyperlink>
    </w:p>
    <w:bookmarkEnd w:id="149"/>
    <w:bookmarkStart w:id="151"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50">
        <w:r>
          <w:rPr>
            <w:rStyle w:val="Hyperlink"/>
          </w:rPr>
          <w:t xml:space="preserve">https://doi.org/10.1016/j.envint.2018.10.043</w:t>
        </w:r>
      </w:hyperlink>
    </w:p>
    <w:bookmarkEnd w:id="151"/>
    <w:bookmarkStart w:id="153"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52">
        <w:r>
          <w:rPr>
            <w:rStyle w:val="Hyperlink"/>
          </w:rPr>
          <w:t xml:space="preserve">https://doi.org/10.1016/j.envint.2021.106798</w:t>
        </w:r>
      </w:hyperlink>
    </w:p>
    <w:bookmarkEnd w:id="153"/>
    <w:bookmarkStart w:id="154"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4"/>
    <w:bookmarkStart w:id="156" w:name="ref-smith2018StepAwayStepwise"/>
    <w:p>
      <w:pPr>
        <w:pStyle w:val="Bibliography"/>
      </w:pPr>
      <w:r>
        <w:t xml:space="preserve">53. Smith G. Step away from stepwise. J Big Data. 2018;5:32.</w:t>
      </w:r>
      <w:r>
        <w:t xml:space="preserve"> </w:t>
      </w:r>
      <w:hyperlink r:id="rId155">
        <w:r>
          <w:rPr>
            <w:rStyle w:val="Hyperlink"/>
          </w:rPr>
          <w:t xml:space="preserve">https://doi.org/10.1186/s40537-018-0143-6</w:t>
        </w:r>
      </w:hyperlink>
    </w:p>
    <w:bookmarkEnd w:id="156"/>
    <w:bookmarkStart w:id="158"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7">
        <w:r>
          <w:rPr>
            <w:rStyle w:val="Hyperlink"/>
          </w:rPr>
          <w:t xml:space="preserve">https://doi.org/10.1007/s13193-025-02314-8</w:t>
        </w:r>
      </w:hyperlink>
    </w:p>
    <w:bookmarkEnd w:id="158"/>
    <w:bookmarkStart w:id="160"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59">
        <w:r>
          <w:rPr>
            <w:rStyle w:val="Hyperlink"/>
          </w:rPr>
          <w:t xml:space="preserve">https://doi.org/10.1186/s12874-025-02664-5</w:t>
        </w:r>
      </w:hyperlink>
    </w:p>
    <w:bookmarkEnd w:id="160"/>
    <w:bookmarkStart w:id="162"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61">
        <w:r>
          <w:rPr>
            <w:rStyle w:val="Hyperlink"/>
          </w:rPr>
          <w:t xml:space="preserve">https://doi.org/10.47102/annals-acadmedsg.2025104</w:t>
        </w:r>
      </w:hyperlink>
    </w:p>
    <w:bookmarkEnd w:id="162"/>
    <w:bookmarkStart w:id="164"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3">
        <w:r>
          <w:rPr>
            <w:rStyle w:val="Hyperlink"/>
          </w:rPr>
          <w:t xml:space="preserve">https://doi.org/10.1177/0272989X13481110</w:t>
        </w:r>
      </w:hyperlink>
    </w:p>
    <w:bookmarkEnd w:id="164"/>
    <w:bookmarkStart w:id="166"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5">
        <w:r>
          <w:rPr>
            <w:rStyle w:val="Hyperlink"/>
          </w:rPr>
          <w:t xml:space="preserve">https://doi.org/10.1136/bmjebm-2022-111928</w:t>
        </w:r>
      </w:hyperlink>
    </w:p>
    <w:bookmarkEnd w:id="166"/>
    <w:bookmarkStart w:id="168"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7">
        <w:r>
          <w:rPr>
            <w:rStyle w:val="Hyperlink"/>
          </w:rPr>
          <w:t xml:space="preserve">https://doi.org/10.1002/jrsm.1397</w:t>
        </w:r>
      </w:hyperlink>
    </w:p>
    <w:bookmarkEnd w:id="168"/>
    <w:bookmarkStart w:id="170"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9">
        <w:r>
          <w:rPr>
            <w:rStyle w:val="Hyperlink"/>
          </w:rPr>
          <w:t xml:space="preserve">https://doi.org/10.48550/ARXIV.2011.01808</w:t>
        </w:r>
      </w:hyperlink>
    </w:p>
    <w:bookmarkEnd w:id="170"/>
    <w:bookmarkStart w:id="171"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71"/>
    <w:bookmarkStart w:id="173"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2">
        <w:r>
          <w:rPr>
            <w:rStyle w:val="Hyperlink"/>
          </w:rPr>
          <w:t xml:space="preserve">https://doi.org/10.1186/s12940-023-01029-z</w:t>
        </w:r>
      </w:hyperlink>
    </w:p>
    <w:bookmarkEnd w:id="173"/>
    <w:bookmarkStart w:id="175"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4">
        <w:r>
          <w:rPr>
            <w:rStyle w:val="Hyperlink"/>
          </w:rPr>
          <w:t xml:space="preserve">https://doi.org/10.1136/bmj.309.6963.1189</w:t>
        </w:r>
      </w:hyperlink>
    </w:p>
    <w:bookmarkEnd w:id="175"/>
    <w:bookmarkStart w:id="177"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6">
        <w:r>
          <w:rPr>
            <w:rStyle w:val="Hyperlink"/>
          </w:rPr>
          <w:t xml:space="preserve">https://doi.org/10.1186/s13643-022-01963-y</w:t>
        </w:r>
      </w:hyperlink>
    </w:p>
    <w:bookmarkEnd w:id="177"/>
    <w:bookmarkStart w:id="179"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8">
        <w:r>
          <w:rPr>
            <w:rStyle w:val="Hyperlink"/>
          </w:rPr>
          <w:t xml:space="preserve">https://doi.org/10.1177/0013164495055004001</w:t>
        </w:r>
      </w:hyperlink>
    </w:p>
    <w:bookmarkEnd w:id="179"/>
    <w:bookmarkStart w:id="181"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80">
        <w:r>
          <w:rPr>
            <w:rStyle w:val="Hyperlink"/>
          </w:rPr>
          <w:t xml:space="preserve">https://doi.org/10.1007/978-3-319-19425-7</w:t>
        </w:r>
      </w:hyperlink>
    </w:p>
    <w:bookmarkEnd w:id="181"/>
    <w:bookmarkEnd w:id="182"/>
    <w:bookmarkEnd w:id="183"/>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2026-08-04T11:12:52Z</dcterms:created>
  <dcterms:modified xsi:type="dcterms:W3CDTF">2026-08-04T11:12:52Z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4 August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