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uncertainty: A comparison of Bayesian and frequentist meta-analytic frameworks applied to lead exposure and children’s IQ</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Simon Steiger</w:t>
      </w:r>
      <w:r>
        <w:rPr>
          <w:vertAlign w:val="superscript"/>
        </w:rPr>
        <w:t xml:space="preserve">3</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r>
        <w:br/>
      </w:r>
      <w:r>
        <w:rPr>
          <w:vertAlign w:val="superscript"/>
        </w:rPr>
        <w:t xml:space="preserve">3</w:t>
      </w:r>
      <w:r>
        <w:t xml:space="preserve"> </w:t>
      </w:r>
      <w:r>
        <w:t xml:space="preserve">Karolinska Institutet, Department of Medicine Solna, Division of Clinical Epidemiology, Stockholm, Sweden</w:t>
      </w:r>
    </w:p>
    <w:p>
      <w:pPr>
        <w:pStyle w:val="BodyText"/>
      </w:pPr>
      <w:r>
        <w:rPr>
          <w:vertAlign w:val="superscript"/>
        </w:rPr>
        <w:t xml:space="preserve">✉</w:t>
      </w:r>
      <w:r>
        <w:t xml:space="preserve"> </w:t>
      </w:r>
      <w:r>
        <w:t xml:space="preserve">Correspondence:</w:t>
      </w:r>
      <w:r>
        <w:t xml:space="preserve"> </w:t>
      </w:r>
      <w:hyperlink r:id="rId12">
        <w:r>
          <w:rPr>
            <w:rStyle w:val="Hyperlink"/>
          </w:rPr>
          <w:t xml:space="preserve">Paulina Sell &lt;paulina.sell@uba.de&gt;</w:t>
        </w:r>
      </w:hyperlink>
    </w:p>
    <w:p>
      <w:r>
        <w:br w:type="page"/>
      </w:r>
    </w:p>
    <w:bookmarkStart w:id="13" w:name="keywords"/>
    <w:p>
      <w:pPr>
        <w:pStyle w:val="Heading1"/>
      </w:pPr>
      <w:r>
        <w:t xml:space="preserve">Keywords</w:t>
      </w:r>
    </w:p>
    <w:p>
      <w:pPr>
        <w:pStyle w:val="FirstParagraph"/>
      </w:pPr>
      <w:r>
        <w:t xml:space="preserve">Meta-analysis</w:t>
      </w:r>
      <w:r>
        <w:br/>
      </w:r>
      <w:r>
        <w:t xml:space="preserve">Evidence synthesis</w:t>
      </w:r>
      <w:r>
        <w:br/>
      </w:r>
      <w:r>
        <w:t xml:space="preserve">Bayesian modeling</w:t>
      </w:r>
      <w:r>
        <w:br/>
      </w:r>
      <w:r>
        <w:t xml:space="preserve">Uncertainty quantification</w:t>
      </w:r>
      <w:r>
        <w:br/>
      </w:r>
      <w:r>
        <w:t xml:space="preserve">Lead exposure</w:t>
      </w:r>
      <w:r>
        <w:br/>
      </w:r>
      <w:r>
        <w:t xml:space="preserve">Children’s IQ</w:t>
      </w:r>
      <w:r>
        <w:br/>
      </w:r>
      <w:r>
        <w:t xml:space="preserve">Environmental epidemiology</w:t>
      </w:r>
      <w:r>
        <w:br/>
      </w:r>
    </w:p>
    <w:bookmarkEnd w:id="13"/>
    <w:bookmarkStart w:id="14" w:name="highlights"/>
    <w:p>
      <w:pPr>
        <w:pStyle w:val="Heading1"/>
      </w:pPr>
      <w:r>
        <w:t xml:space="preserve">Highlights</w:t>
      </w:r>
    </w:p>
    <w:p>
      <w:pPr>
        <w:pStyle w:val="Compact"/>
        <w:numPr>
          <w:ilvl w:val="0"/>
          <w:numId w:val="1001"/>
        </w:numPr>
      </w:pPr>
      <w:r>
        <w:t xml:space="preserve">Bayesian model yields full probability distributions, not just point estimates</w:t>
      </w:r>
    </w:p>
    <w:p>
      <w:pPr>
        <w:pStyle w:val="Compact"/>
        <w:numPr>
          <w:ilvl w:val="0"/>
          <w:numId w:val="1001"/>
        </w:numPr>
      </w:pPr>
      <w:r>
        <w:t xml:space="preserve">Bayesian and frequentist meta-analyses yield similar estimates for lead’s effect on IQ</w:t>
      </w:r>
      <w:r>
        <w:t xml:space="preserve"> </w:t>
      </w:r>
      <w:r>
        <w:t xml:space="preserve"> </w:t>
      </w:r>
    </w:p>
    <w:p>
      <w:pPr>
        <w:pStyle w:val="Compact"/>
        <w:numPr>
          <w:ilvl w:val="0"/>
          <w:numId w:val="1001"/>
        </w:numPr>
      </w:pPr>
      <w:r>
        <w:t xml:space="preserve">Results underscore the health risk of lead exposure, even at low concentrations</w:t>
      </w:r>
    </w:p>
    <w:bookmarkEnd w:id="14"/>
    <w:bookmarkStart w:id="15" w:name="abstract"/>
    <w:p>
      <w:pPr>
        <w:pStyle w:val="Heading1"/>
      </w:pPr>
      <w:r>
        <w:t xml:space="preserve">Abstract</w:t>
      </w:r>
    </w:p>
    <w:p>
      <w:pPr>
        <w:pStyle w:val="FirstParagraph"/>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 </w:t>
      </w:r>
      <w:r>
        <w:t xml:space="preserve">We compared frequentist and Bayesian frameworks, using lead exposure and IQ loss as a case study.</w:t>
      </w:r>
    </w:p>
    <w:p>
      <w:pPr>
        <w:pStyle w:val="BodyText"/>
      </w:pPr>
      <w:r>
        <w:rPr>
          <w:b/>
          <w:bCs/>
        </w:rPr>
        <w:t xml:space="preserve">Methods</w:t>
      </w:r>
      <w:r>
        <w:t xml:space="preserve">: We systematically searched PubMed and Scopus for epidemiological studies on blood lead level (BLL) and children’s IQ score.</w:t>
      </w:r>
      <w:r>
        <w:t xml:space="preserve"> </w:t>
      </w:r>
      <w:r>
        <w:t xml:space="preserve">Risk of bias (RoB) was assessed and regression coefficients were harmonized.</w:t>
      </w:r>
      <w:r>
        <w:t xml:space="preserve"> </w:t>
      </w:r>
      <w:r>
        <w:t xml:space="preserve">In both meta-analyses, we used random-effects models and included the same effect estimates.</w:t>
      </w:r>
      <w:r>
        <w:t xml:space="preserve"> </w:t>
      </w:r>
      <w:r>
        <w:t xml:space="preserve">The Bayesian meta-analysis employed a hierarchical model with weakly-informative priors.</w:t>
      </w:r>
      <w:r>
        <w:t xml:space="preserve"> </w:t>
      </w:r>
      <w:r>
        <w:t xml:space="preserve">Sensitivity analyses examined robustness to RoB and priors.</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w:t>
      </w:r>
      <w:r>
        <w:t xml:space="preserve"> </w:t>
      </w:r>
      <w:r>
        <w:t xml:space="preserve">The frequentist framework yielded a pooled estimate of -2.45 (95% confidence interval: -3.7 to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-3.56 to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w:t>
      </w:r>
      <w:r>
        <w:t xml:space="preserve"> </w:t>
      </w:r>
      <w:r>
        <w:t xml:space="preserve">The Bayesian framework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framework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framework provides posterior distributions, enabling direct probability statements, e.g. about exceeding risk thresholds, and comparative assessments between pollutants.</w:t>
      </w:r>
      <w:r>
        <w:t xml:space="preserve"> </w:t>
      </w:r>
      <w:r>
        <w:t xml:space="preserve">These features are particularly valuable for risk assessment and policy-making.</w:t>
      </w:r>
    </w:p>
    <w:p>
      <w:r>
        <w:br w:type="page"/>
      </w:r>
    </w:p>
    <w:bookmarkEnd w:id="15"/>
    <w:bookmarkStart w:id="16"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is detected in human blood samples</w:t>
      </w:r>
      <w:r>
        <w:t xml:space="preserve"> </w:t>
      </w:r>
      <w:r>
        <w:t xml:space="preserve">(</w:t>
      </w:r>
      <w:r>
        <w:t xml:space="preserve">Lacerda et al.</w:t>
      </w:r>
      <w:r>
        <w:t xml:space="preserve">, 2023; Salamanca-Fernández et al., 2025)</w:t>
      </w:r>
      <w:r>
        <w:t xml:space="preserve">.</w:t>
      </w:r>
      <w:r>
        <w:t xml:space="preserve"> </w:t>
      </w:r>
      <w:r>
        <w:t xml:space="preserve">In Europe, primary exposure sources include dietary products, drinking water, and indoor dust</w:t>
      </w:r>
      <w:r>
        <w:t xml:space="preserve"> </w:t>
      </w:r>
      <w:r>
        <w:t xml:space="preserve">(EFSA, 2012; Sy et al., 2024)</w:t>
      </w:r>
      <w:r>
        <w:t xml:space="preserve">.</w:t>
      </w:r>
      <w:r>
        <w:t xml:space="preserve"> </w:t>
      </w:r>
      <w:r>
        <w:t xml:space="preserve">The most recent Global Burden of Disease study estimated that in 2023, 3.4 million Disability-Adjusted Life Years (DALYs, 95% uncertainty interval (UI): 2.7 to 4.0 million) were attributable to lead exposure in the European Union (EU)</w:t>
      </w:r>
      <w:r>
        <w:t xml:space="preserve"> </w:t>
      </w:r>
      <w:r>
        <w:t xml:space="preserve">(Hay et al., 2025)</w:t>
      </w:r>
      <w:r>
        <w:t xml:space="preserve">.</w:t>
      </w:r>
      <w:r>
        <w:t xml:space="preserve"> </w:t>
      </w:r>
      <w:r>
        <w:t xml:space="preserve">This underscores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(Harari et al., 2018)</w:t>
      </w:r>
      <w:r>
        <w:t xml:space="preserve">,</w:t>
      </w:r>
      <w:r>
        <w:t xml:space="preserve"> </w:t>
      </w:r>
      <w:r>
        <w:t xml:space="preserve">liver disease</w:t>
      </w:r>
      <w:r>
        <w:t xml:space="preserve"> </w:t>
      </w:r>
      <w:r>
        <w:t xml:space="preserve">(Wan et al., 2022)</w:t>
      </w:r>
      <w:r>
        <w:t xml:space="preserve">,</w:t>
      </w:r>
      <w:r>
        <w:t xml:space="preserve"> </w:t>
      </w:r>
      <w:r>
        <w:t xml:space="preserve">coronary artery atherosclerosis</w:t>
      </w:r>
      <w:r>
        <w:t xml:space="preserve"> </w:t>
      </w:r>
      <w:r>
        <w:t xml:space="preserve">(Rosengren et al., 2025)</w:t>
      </w:r>
      <w:r>
        <w:t xml:space="preserve">,</w:t>
      </w:r>
      <w:r>
        <w:t xml:space="preserve"> </w:t>
      </w:r>
      <w:r>
        <w:t xml:space="preserve">cardiovascular mortality</w:t>
      </w:r>
      <w:r>
        <w:t xml:space="preserve"> </w:t>
      </w:r>
      <w:r>
        <w:t xml:space="preserve">(Lanphear et al., 2018)</w:t>
      </w:r>
      <w:r>
        <w:t xml:space="preserve">,</w:t>
      </w:r>
      <w:r>
        <w:t xml:space="preserve"> </w:t>
      </w:r>
      <w:r>
        <w:t xml:space="preserve">infertility in women</w:t>
      </w:r>
      <w:r>
        <w:t xml:space="preserve"> </w:t>
      </w:r>
      <w:r>
        <w:t xml:space="preserve">(Chang et al., 2006)</w:t>
      </w:r>
      <w:r>
        <w:t xml:space="preserve">,</w:t>
      </w:r>
      <w:r>
        <w:t xml:space="preserve"> </w:t>
      </w:r>
      <w:r>
        <w:t xml:space="preserve">attention-deficit/hyperactivity disorder in children</w:t>
      </w:r>
      <w:r>
        <w:t xml:space="preserve"> </w:t>
      </w:r>
      <w:r>
        <w:t xml:space="preserve">(Dimitrov et al., 2024)</w:t>
      </w:r>
      <w:r>
        <w:t xml:space="preserve">, and</w:t>
      </w:r>
      <w:r>
        <w:t xml:space="preserve"> </w:t>
      </w:r>
      <w:r>
        <w:t xml:space="preserve">antisocial behavior</w:t>
      </w:r>
      <w:r>
        <w:t xml:space="preserve"> </w:t>
      </w:r>
      <w:r>
        <w:t xml:space="preserve">(Shaffer et al., 2025)</w:t>
      </w:r>
      <w:r>
        <w:t xml:space="preserve">.</w:t>
      </w:r>
      <w:r>
        <w:t xml:space="preserve"> </w:t>
      </w:r>
      <w:r>
        <w:t xml:space="preserve">Among these endpoints, impaired cognitive development in children — observable as reduced intelligence quotient (IQ) scores — represents a particularly critical endpoint with high public health relevance</w:t>
      </w:r>
      <w:r>
        <w:t xml:space="preserve"> </w:t>
      </w:r>
      <w:r>
        <w:t xml:space="preserve">(Baghurst et al., 1992; Bellinger et al., 1992; Lanphear et al., 2005; Needleman, 1990)</w:t>
      </w:r>
      <w:r>
        <w:t xml:space="preserve">.</w:t>
      </w:r>
      <w:r>
        <w:t xml:space="preserve"> </w:t>
      </w:r>
      <w:r>
        <w:t xml:space="preserve">Children are especially vulnerable to the neurotoxic effects of lead due to their developing nervous systems and relatively high exposure per body mass.</w:t>
      </w:r>
      <w:r>
        <w:t xml:space="preserve"> </w:t>
      </w:r>
      <w:r>
        <w:t xml:space="preserve">Because lead-associated IQ decrements are irreversible and persist throughout life, they lead to substantial and enduring societal costs, making continued efforts to accurately characterize the exposure-response relationship important for evidence-based policy</w:t>
      </w:r>
      <w:r>
        <w:t xml:space="preserve"> </w:t>
      </w:r>
      <w:r>
        <w:t xml:space="preserve">(Larsen and Sánchez-Triana, 2023)</w:t>
      </w:r>
      <w:r>
        <w:t xml:space="preserve">.</w:t>
      </w:r>
    </w:p>
    <w:p>
      <w:pPr>
        <w:pStyle w:val="BodyText"/>
      </w:pPr>
      <w:r>
        <w:t xml:space="preserve">Blood lead levels (BLL) in the EU have declined markedly and now predominantly fall below 5 µg/dL, well below the concentrations examined in many earlier studies (&lt;10 µg/dL)</w:t>
      </w:r>
      <w:r>
        <w:t xml:space="preserve"> </w:t>
      </w:r>
      <w:r>
        <w:t xml:space="preserve">(Szigeti et al., 2022)</w:t>
      </w:r>
      <w:r>
        <w:t xml:space="preserve">.</w:t>
      </w:r>
      <w:r>
        <w:t xml:space="preserve"> </w:t>
      </w:r>
      <w:r>
        <w:t xml:space="preserve">Importantly, there is no evidence for a threshold concentration below which the effects of lead on IQ can be assumed to be negligible</w:t>
      </w:r>
      <w:r>
        <w:t xml:space="preserve"> </w:t>
      </w:r>
      <w:r>
        <w:t xml:space="preserve">(EFSA Panel on Contaminants in the Food Chain (CONTAM), 2010; Schwartz, 1994)</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(Canfield et al., 2003; Lanphear et al., 2005)</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(Carrington et al., 2019; Figueroa et al., 2024; Hay et al., 2025; Larsen and Sánchez-Triana, 2023; McFarland et al., 2022)</w:t>
      </w:r>
      <w:r>
        <w:t xml:space="preserve"> </w:t>
      </w:r>
      <w:r>
        <w:t xml:space="preserve">have predominantly relied on the foundational study by Lanphear et al. (2005), a pooled analysis of seven cohort studies, or subsequent re-analyses of the same data</w:t>
      </w:r>
      <w:r>
        <w:t xml:space="preserve"> </w:t>
      </w:r>
      <w:r>
        <w:t xml:space="preserve">(Crump et al., 2013; Lanphear et al., 2005)</w:t>
      </w:r>
      <w:r>
        <w:t xml:space="preserve">.</w:t>
      </w:r>
      <w:r>
        <w:t xml:space="preserve"> </w:t>
      </w:r>
      <w:r>
        <w:t xml:space="preserve">While these landmark studies have substantially shaped research and policy on childhood lead exposure, methodological issues and shortcomings have been raised.</w:t>
      </w:r>
      <w:r>
        <w:t xml:space="preserve"> </w:t>
      </w:r>
      <w:r>
        <w:t xml:space="preserve">These include the use of performance IQ instead of full-scale IQ and an erroneous back-transformation of BLL in one cohort in the Lanphear et al. study</w:t>
      </w:r>
      <w:r>
        <w:t xml:space="preserve"> </w:t>
      </w:r>
      <w:r>
        <w:t xml:space="preserve">(Crump et al., 2013; Lanphear et al., 2019)</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to be used in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(Grant and Di Tanna, 2025)</w:t>
      </w:r>
      <w:r>
        <w:t xml:space="preserve">.</w:t>
      </w:r>
      <w:r>
        <w:t xml:space="preserve"> </w:t>
      </w:r>
      <w:r>
        <w:t xml:space="preserve">Unlike frequentist confidence intervals, which are often misinterpreted as probabilistic</w:t>
      </w:r>
      <w:r>
        <w:t xml:space="preserve"> </w:t>
      </w:r>
      <w:r>
        <w:t xml:space="preserve">(Hoekstra et al., 2014)</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explore how the analytical framework and its approach to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BLL and IQ scores in children; and second, to conduct both frequentist and Bayesian meta-analyses, comparing how these analytical frameworks impact exposure-response estimates and uncertainty quantification.</w:t>
      </w:r>
    </w:p>
    <w:bookmarkEnd w:id="16"/>
    <w:bookmarkStart w:id="29" w:name="methods"/>
    <w:p>
      <w:pPr>
        <w:pStyle w:val="Heading1"/>
      </w:pPr>
      <w:r>
        <w:t xml:space="preserve">2. Methods</w:t>
      </w:r>
    </w:p>
    <w:bookmarkStart w:id="18"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(Page et al., 2021)</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(Kruschke, 2021)</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w:t>
      </w:r>
      <w:r>
        <w:rPr>
          <w:i/>
          <w:iCs/>
        </w:rPr>
        <w:t xml:space="preserve"> </w:t>
      </w:r>
      <w:r>
        <w:rPr>
          <w:i/>
          <w:iCs/>
        </w:rPr>
        <w:t xml:space="preserve">(</w:t>
      </w:r>
      <w:hyperlink r:id="rId17">
        <w:r>
          <w:rPr>
            <w:rStyle w:val="Hyperlink"/>
            <w:i/>
            <w:iCs/>
          </w:rPr>
          <w:t xml:space="preserve">PARC</w:t>
        </w:r>
      </w:hyperlink>
      <w:r>
        <w:rPr>
          <w:i/>
          <w:iCs/>
        </w:rPr>
        <w:t xml:space="preserve">)</w:t>
      </w:r>
      <w:r>
        <w:t xml:space="preserve">.</w:t>
      </w:r>
      <w:r>
        <w:t xml:space="preserve"> </w:t>
      </w:r>
      <w:r>
        <w:t xml:space="preserve">The literature review presented here was used in multiple case studies within PARC, including one on the health burden of (methyl)mercury and lead on IQ loss.</w:t>
      </w:r>
      <w:r>
        <w:t xml:space="preserve"> </w:t>
      </w:r>
      <w:r>
        <w:t xml:space="preserve">Here, we will only report results for concurrent lead exposure and IQ loss, but the figures and tables documenting the literature review contain parts of the search for other associations and exposure timeframes.</w:t>
      </w:r>
      <w:r>
        <w:t xml:space="preserve"> </w:t>
      </w:r>
      <w:r>
        <w:t xml:space="preserve">We searched for articles published between January 2005 and July 2023.</w:t>
      </w:r>
      <w:r>
        <w:t xml:space="preserve"> </w:t>
      </w:r>
      <w:r>
        <w:t xml:space="preserve">The year 2005 was chosen because burden of disease studies have predominantly relied on a landmark paper published in that year</w:t>
      </w:r>
      <w:r>
        <w:t xml:space="preserve"> </w:t>
      </w:r>
      <w:r>
        <w:t xml:space="preserve">(Lanphear et al., 2005)</w:t>
      </w:r>
      <w:r>
        <w:t xml:space="preserve"> </w:t>
      </w:r>
      <w:r>
        <w:t xml:space="preserve">and an update of the evidence base is therefore warranted, particularly given that lead exposure concentrations have decreased substantially since then.</w:t>
      </w:r>
    </w:p>
    <w:p>
      <w:pPr>
        <w:pStyle w:val="BodyText"/>
      </w:pPr>
      <w:r>
        <w:t xml:space="preserve">Search queries in PubMed (MEDLINE) and Scopus included the following terms:</w:t>
      </w:r>
      <w:r>
        <w:t xml:space="preserve"> </w:t>
      </w:r>
      <w:r>
        <w:t xml:space="preserve">substance (Pb - including Medical Subject Headings [MeSH] terms), outcome (IQ and neurodevelopment), population (children) and results (association, exposure-response function [ERF]) (supplementary file 2).</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 texts were then assessed by one reviewer.</w:t>
      </w:r>
      <w:r>
        <w:t xml:space="preserve"> </w:t>
      </w:r>
      <w:r>
        <w:t xml:space="preserve">Publications were considered relevant according to predefined PECOTS – Population (children aged 0 to 11 years), Exposure (biological measures of Pb from all matrices), Comparator (no exposure or lower levels of exposure), Outcome (IQ shift), Timing of exposure (no restriction) and Setting (no restriction) (Tab. 1).</w:t>
      </w:r>
    </w:p>
    <w:p>
      <w:pPr>
        <w:pStyle w:val="BodyText"/>
      </w:pPr>
      <w:r>
        <w:t xml:space="preserve">We excluded reviews and background articles that inventoried the literature without quantitatively summarizing the results.</w:t>
      </w:r>
      <w:r>
        <w:t xml:space="preserve"> </w:t>
      </w:r>
      <w:r>
        <w:t xml:space="preserve">We also excluded references written in languages other than English.</w:t>
      </w:r>
      <w:r>
        <w:t xml:space="preserve"> </w:t>
      </w:r>
      <w:r>
        <w:t xml:space="preserve">For this present study, only studies that used a continuous, log-transformed BLL scale were included, so that effect estimates could be harmonized.</w:t>
      </w:r>
      <w:r>
        <w:t xml:space="preserve"> </w:t>
      </w:r>
      <w:r>
        <w:t xml:space="preserve">The exposure timeframe for this study was restricted to concurrent, i.e. IQ and BLL measurements must have been conducted at the same time.</w:t>
      </w:r>
      <w:r>
        <w:t xml:space="preserve"> </w:t>
      </w:r>
      <w:r>
        <w:t xml:space="preserve">Descriptive study data was extracted using a grid based on the one proposed by the Office of Health Assessment and Translation within the US National Toxicology Program</w:t>
      </w:r>
      <w:r>
        <w:t xml:space="preserve"> </w:t>
      </w:r>
      <w:r>
        <w:t xml:space="preserve">(NTP OHAT, 2019)</w:t>
      </w:r>
      <w:r>
        <w:t xml:space="preserve">.</w:t>
      </w:r>
      <w:r>
        <w:t xml:space="preserve"> </w:t>
      </w:r>
      <w:r>
        <w:t xml:space="preserve">For all included studies, effect estimates from the most-adjusted model were extracted and the adjustment set was recorded.</w:t>
      </w:r>
    </w:p>
    <w:bookmarkEnd w:id="18"/>
    <w:bookmarkStart w:id="19"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(Plate et al., 2024)</w:t>
      </w:r>
      <w:r>
        <w:t xml:space="preserve">.</w:t>
      </w:r>
      <w:r>
        <w:t xml:space="preserve"> </w:t>
      </w:r>
      <w:r>
        <w:t xml:space="preserve">Each included publication was assessed for RoB in the following domains: selection, exposure, outcome, confounding, follow-up, analysis, and selective reporting.</w:t>
      </w:r>
      <w:r>
        <w:t xml:space="preserve"> </w:t>
      </w:r>
      <w:r>
        <w:t xml:space="preserve">In total, each study was evaluated using 15 items and scored as either high RoB (-), some concerns (+/-), low RoB (+) or no information(?).</w:t>
      </w:r>
      <w:r>
        <w:t xml:space="preserve"> </w:t>
      </w:r>
      <w:r>
        <w:t xml:space="preserve">If an item was not applicable to the study type (e.g. follow-up in cross-sectional studies), they were marked as</w:t>
      </w:r>
      <w:r>
        <w:t xml:space="preserve"> </w:t>
      </w:r>
      <w:r>
        <w:t xml:space="preserve">“n.a.”</w:t>
      </w:r>
      <w:r>
        <w:t xml:space="preserve">.</w:t>
      </w:r>
      <w:r>
        <w:t xml:space="preserve"> </w:t>
      </w:r>
      <w:r>
        <w:t xml:space="preserve">The overall RoB for each individual study was then categorized as either low, moderate or high, following two different summary metrics provided by the RoB tool (for more details, please refer to</w:t>
      </w:r>
      <w:r>
        <w:t xml:space="preserve"> </w:t>
      </w:r>
      <w:r>
        <w:t xml:space="preserve">Plate et al. (2024)</w:t>
      </w:r>
      <w:r>
        <w:t xml:space="preserve">).</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RoB items along with the respective publication.</w:t>
      </w:r>
      <w:r>
        <w:t xml:space="preserve"> </w:t>
      </w:r>
      <w:r>
        <w:t xml:space="preserve">Then, the LLM was prompted to assess the study, using the RoB items.</w:t>
      </w:r>
      <w:r>
        <w:t xml:space="preserve"> </w:t>
      </w:r>
      <w:r>
        <w:t xml:space="preserve">If there were any deviations in the judgement of the researcher and the LLM, the respective item was revisited by the researcher who made the final decision.</w:t>
      </w:r>
    </w:p>
    <w:bookmarkEnd w:id="19"/>
    <w:bookmarkStart w:id="21"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ERF.</w:t>
      </w:r>
      <w:r>
        <w:t xml:space="preserve"> </w:t>
      </w:r>
      <w:r>
        <w:t xml:space="preserve">While some studies assume a linear relationship</w:t>
      </w:r>
      <w:r>
        <w:t xml:space="preserve"> </w:t>
      </w:r>
      <w:r>
        <w:t xml:space="preserve">(Chen et al., 2005; Halabicky et al., 2023)</w:t>
      </w:r>
      <w:r>
        <w:t xml:space="preserve">, this assumption may only be valid within very narrow concentration ranges</w:t>
      </w:r>
      <w:r>
        <w:t xml:space="preserve"> </w:t>
      </w:r>
      <w:r>
        <w:t xml:space="preserve">(Crump et al., 2013)</w:t>
      </w:r>
      <w:r>
        <w:t xml:space="preserve">.</w:t>
      </w:r>
      <w:r>
        <w:t xml:space="preserve"> </w:t>
      </w:r>
      <w:r>
        <w:t xml:space="preserve">Studies that tested multiple shapes of the ERF have concluded that a log-linear relationship, where BLL are logarithmically transformed, represents a more appropriate statistical model</w:t>
      </w:r>
      <w:r>
        <w:t xml:space="preserve"> </w:t>
      </w:r>
      <w:r>
        <w:t xml:space="preserve">(Crump et al., 2013; Schnaas et al., 2006)</w:t>
      </w:r>
      <w:r>
        <w:t xml:space="preserve">.</w:t>
      </w:r>
    </w:p>
    <w:p>
      <w:pPr>
        <w:pStyle w:val="BodyText"/>
      </w:pPr>
      <w:r>
        <w:t xml:space="preserve">The general form of regression model used for a log-linear association is:</w:t>
      </w:r>
    </w:p>
    <w:p>
      <w:pPr>
        <w:pStyle w:val="BodyText"/>
      </w:pPr>
      <w:bookmarkStart w:id="20" w:name="eq-regression-model"/>
      <m:oMathPara>
        <m:oMathParaPr>
          <m:jc m:val="center"/>
        </m:oMathParaPr>
        <m:oMath>
          <m:sSub>
            <m:e>
              <m:r>
                <m:rPr>
                  <m:nor/>
                  <m:sty m:val="p"/>
                </m:rPr>
                <m:t>y</m:t>
              </m:r>
            </m:e>
            <m:sub>
              <m:r>
                <m:t>p</m:t>
              </m:r>
              <m:r>
                <m:t>r</m:t>
              </m:r>
              <m:r>
                <m:t>e</m:t>
              </m:r>
              <m:r>
                <m:t>d</m:t>
              </m:r>
            </m:sub>
          </m:sSub>
          <m:r>
            <m:rPr>
              <m:sty m:val="p"/>
            </m:rPr>
            <m:t>=</m:t>
          </m:r>
          <m:r>
            <m:t>α</m:t>
          </m:r>
          <m:r>
            <m:rPr>
              <m:sty m:val="p"/>
            </m:rPr>
            <m:t>+</m:t>
          </m:r>
          <m:r>
            <m:t>β</m:t>
          </m:r>
          <m:r>
            <m:rPr>
              <m:sty m:val="p"/>
            </m:rPr>
            <m:t>×</m:t>
          </m:r>
          <m:r>
            <m:t>l</m:t>
          </m:r>
          <m:r>
            <m:t>o</m:t>
          </m:r>
          <m:sSub>
            <m:e>
              <m:r>
                <m:t>g</m:t>
              </m:r>
            </m:e>
            <m:sub>
              <m:r>
                <m:t>b</m:t>
              </m:r>
            </m:sub>
          </m:sSub>
          <m:r>
            <m:rPr>
              <m:sty m:val="p"/>
            </m:rPr>
            <m:t>(</m:t>
          </m:r>
          <m:r>
            <m:t>X</m:t>
          </m:r>
          <m:r>
            <m:rPr>
              <m:sty m:val="p"/>
            </m:rPr>
            <m:t>)</m:t>
          </m:r>
          <m:r>
            <m:rPr>
              <m:sty m:val="p"/>
            </m:rPr>
            <m:t>+</m:t>
          </m:r>
          <m:r>
            <m:t>ε</m:t>
          </m:r>
          <m:r>
            <m:t>  </m:t>
          </m:r>
          <m:r>
            <m:rPr>
              <m:sty m:val="p"/>
            </m:rPr>
            <m:t>(</m:t>
          </m:r>
          <m:r>
            <m:t>1</m:t>
          </m:r>
          <m:r>
            <m:rPr>
              <m:sty m:val="p"/>
            </m:rPr>
            <m:t>)</m:t>
          </m:r>
        </m:oMath>
      </m:oMathPara>
      <w:bookmarkEnd w:id="20"/>
    </w:p>
    <w:p>
      <w:pPr>
        <w:pStyle w:val="FirstParagraph"/>
      </w:pPr>
      <w:r>
        <w:t xml:space="preserve">Where</w:t>
      </w:r>
      <w:r>
        <w:t xml:space="preserve"> </w:t>
      </w:r>
      <m:oMath>
        <m:sSub>
          <m:e>
            <m:r>
              <m:rPr>
                <m:nor/>
                <m:sty m:val="p"/>
              </m:rPr>
              <m:t>y</m:t>
            </m:r>
          </m:e>
          <m:sub>
            <m:r>
              <m:t>p</m:t>
            </m:r>
            <m:r>
              <m:t>r</m:t>
            </m:r>
            <m:r>
              <m:t>e</m:t>
            </m:r>
            <m:r>
              <m:t>d</m:t>
            </m:r>
          </m:sub>
        </m:sSub>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increments on the natural logarithm scale (</w:t>
      </w:r>
      <m:oMath>
        <m:sSub>
          <m:e>
            <m:r>
              <m:rPr>
                <m:sty m:val="p"/>
              </m:rPr>
              <m:t>log</m:t>
            </m:r>
          </m:e>
          <m:sub>
            <m:r>
              <m:t>e</m:t>
            </m:r>
          </m:sub>
        </m:sSub>
      </m:oMath>
      <w:r>
        <w:t xml:space="preserve">).</w:t>
      </w:r>
      <w:r>
        <w:t xml:space="preserve"> </w:t>
      </w:r>
      <w:r>
        <w:t xml:space="preserve">The calculations are documented in supplementary file 3.</w:t>
      </w:r>
      <w:r>
        <w:t xml:space="preserve"> </w:t>
      </w:r>
      <w:r>
        <w:t xml:space="preserve">In some publications, BLL was not on a logarithmic but on an untransformed, linear scale.</w:t>
      </w:r>
      <w:r>
        <w:t xml:space="preserve"> </w:t>
      </w:r>
      <w:r>
        <w:t xml:space="preserve">These were excluded from the meta-analysis, as transformation of effect estimates for linear BLL to log-linear could not be justified.</w:t>
      </w:r>
    </w:p>
    <w:bookmarkEnd w:id="21"/>
    <w:bookmarkStart w:id="27" w:name="meta-analysis"/>
    <w:p>
      <w:pPr>
        <w:pStyle w:val="Heading2"/>
      </w:pPr>
      <w:r>
        <w:t xml:space="preserve">2.4 Meta-Analysis</w:t>
      </w:r>
    </w:p>
    <w:p>
      <w:pPr>
        <w:pStyle w:val="FirstParagraph"/>
      </w:pPr>
      <w:r>
        <w:t xml:space="preserve">In order to quantitatively synthesize the available epidemiological literature on the association of children’s blood lead levels and IQ, we conducted separate meta-analyses in the Bayesian and frequentist analytical framework, and compared their results.</w:t>
      </w:r>
      <w:r>
        <w:t xml:space="preserve"> </w:t>
      </w:r>
      <w:r>
        <w:t xml:space="preserve">To make the results of both approaches comparable, both included the same effect estimates from the identified publications, and featured analogous model structure.</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t xml:space="preserve"> </w:t>
      </w:r>
      <w:r>
        <w:t xml:space="preserve">R version 4.4.2 (2024-10-31) was used for all computations</w:t>
      </w:r>
      <w:r>
        <w:t xml:space="preserve"> </w:t>
      </w:r>
      <w:r>
        <w:t xml:space="preserve">(R Core Team, 2024)</w:t>
      </w:r>
      <w:r>
        <w:t xml:space="preserve">.</w:t>
      </w:r>
      <w:r>
        <w:t xml:space="preserve"> </w:t>
      </w:r>
      <w:r>
        <w:t xml:space="preserve">All code for this study is publicly available on GitHub:</w:t>
      </w:r>
      <w:r>
        <w:t xml:space="preserve"> </w:t>
      </w:r>
      <w:hyperlink r:id="rId22">
        <w:r>
          <w:rPr>
            <w:rStyle w:val="Hyperlink"/>
          </w:rPr>
          <w:t xml:space="preserve">github.com/PaulinaSell/lead-IQ_meta-analysis</w:t>
        </w:r>
      </w:hyperlink>
      <w:r>
        <w:t xml:space="preserve">.</w:t>
      </w:r>
    </w:p>
    <w:bookmarkStart w:id="25" w:name="bayesian-meta-analysis"/>
    <w:p>
      <w:pPr>
        <w:pStyle w:val="Heading3"/>
      </w:pPr>
      <w:r>
        <w:t xml:space="preserve">2.4.1 Bayesian Meta-Analysis</w:t>
      </w:r>
    </w:p>
    <w:p>
      <w:pPr>
        <w:pStyle w:val="FirstParagraph"/>
      </w:pPr>
      <w:r>
        <w:t xml:space="preserve">In the Bayesian framework, we employed a random-effects meta-analysis model.</w:t>
      </w:r>
      <w:r>
        <w:t xml:space="preserve"> </w:t>
      </w:r>
      <w:r>
        <w:t xml:space="preserve">Each study’s observed effect size</w:t>
      </w:r>
      <w:r>
        <w:t xml:space="preserve"> </w:t>
      </w:r>
      <m:oMath>
        <m:sSub>
          <m:e>
            <m:acc>
              <m:accPr>
                <m:chr m:val="̂"/>
              </m:accPr>
              <m:e>
                <m:r>
                  <m:t>θ</m:t>
                </m:r>
              </m:e>
            </m:acc>
          </m:e>
          <m:sub>
            <m:r>
              <m:t>k</m:t>
            </m:r>
          </m:sub>
        </m:sSub>
      </m:oMath>
      <w:r>
        <w:t xml:space="preserve"> </w:t>
      </w:r>
      <w:r>
        <w:t xml:space="preserve">is modelled as a noisy reflection of the true underlying effect in that study’s sample</w:t>
      </w:r>
      <w:r>
        <w:t xml:space="preserve"> </w:t>
      </w:r>
      <m:oMath>
        <m:sSub>
          <m:e>
            <m:r>
              <m:t>θ</m:t>
            </m:r>
          </m:e>
          <m:sub>
            <m:r>
              <m:t>k</m:t>
            </m:r>
          </m:sub>
        </m:sSub>
      </m:oMath>
      <w:r>
        <w:t xml:space="preserve">, with the noise represented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These study-specific true effects are themselves modelled as draws from an overarching normal distribution which describes the true average effect across studies</w:t>
      </w:r>
      <w:r>
        <w:t xml:space="preserve"> </w:t>
      </w:r>
      <m:oMath>
        <m:r>
          <m:t>μ</m:t>
        </m:r>
      </m:oMath>
      <w:r>
        <w:t xml:space="preserve"> </w:t>
      </w:r>
      <w:r>
        <w:t xml:space="preserve">and the between-study heterogeneity</w:t>
      </w:r>
      <w:r>
        <w:t xml:space="preserve"> </w:t>
      </w:r>
      <m:oMath>
        <m:r>
          <m:t>τ</m:t>
        </m:r>
      </m:oMath>
      <w:r>
        <w:t xml:space="preserve">.</w:t>
      </w:r>
    </w:p>
    <w:p>
      <w:pPr>
        <w:pStyle w:val="BodyText"/>
      </w:pPr>
      <w:bookmarkStart w:id="23" w:name="eq-model"/>
      <m:oMathPara>
        <m:oMathParaPr>
          <m:jc m:val="center"/>
        </m:oMathParaPr>
        <m:oMath>
          <m:eqArr>
            <m:e>
              <m:sSub>
                <m:e>
                  <m:acc>
                    <m:accPr>
                      <m:chr m:val="̂"/>
                    </m:accPr>
                    <m:e>
                      <m:r>
                        <m:t>θ</m:t>
                      </m:r>
                    </m:e>
                  </m:acc>
                </m:e>
                <m:sub>
                  <m:r>
                    <m:t>k</m:t>
                  </m:r>
                </m:sub>
              </m:sSub>
              <m:r>
                <m:t>&amp;</m:t>
              </m:r>
              <m:r>
                <m:rPr>
                  <m:sty m:val="p"/>
                </m:rPr>
                <m:t>∼</m:t>
              </m:r>
              <m:r>
                <m:rPr>
                  <m:scr m:val="script"/>
                  <m:sty m:val="p"/>
                </m:rPr>
                <m:t>N</m:t>
              </m:r>
              <m:r>
                <m:rPr>
                  <m:sty m:val="p"/>
                </m:rPr>
                <m:t>(</m:t>
              </m:r>
              <m:sSub>
                <m:e>
                  <m:r>
                    <m:t>θ</m:t>
                  </m:r>
                </m:e>
                <m:sub>
                  <m:r>
                    <m:t>k</m:t>
                  </m:r>
                </m:sub>
              </m:sSub>
              <m:r>
                <m:rPr>
                  <m:sty m:val="p"/>
                </m:rPr>
                <m:t>,</m:t>
              </m:r>
              <m:sSub>
                <m:e>
                  <m:r>
                    <m:t>σ</m:t>
                  </m:r>
                </m:e>
                <m:sub>
                  <m:r>
                    <m:t>k</m:t>
                  </m:r>
                </m:sub>
              </m:sSub>
              <m:r>
                <m:rPr>
                  <m:sty m:val="p"/>
                </m:rPr>
                <m:t>)</m:t>
              </m:r>
            </m:e>
            <m:e>
              <m:sSub>
                <m:e>
                  <m:r>
                    <m:t>θ</m:t>
                  </m:r>
                </m:e>
                <m:sub>
                  <m:r>
                    <m:t>k</m:t>
                  </m:r>
                </m:sub>
              </m:sSub>
              <m:r>
                <m:t>&amp;</m:t>
              </m:r>
              <m:r>
                <m:rPr>
                  <m:sty m:val="p"/>
                </m:rPr>
                <m:t>∼</m:t>
              </m:r>
              <m:r>
                <m:rPr>
                  <m:scr m:val="script"/>
                  <m:sty m:val="p"/>
                </m:rPr>
                <m:t>N</m:t>
              </m:r>
              <m:r>
                <m:rPr>
                  <m:sty m:val="p"/>
                </m:rPr>
                <m:t>(</m:t>
              </m:r>
              <m:r>
                <m:t>μ</m:t>
              </m:r>
              <m:r>
                <m:rPr>
                  <m:sty m:val="p"/>
                </m:rPr>
                <m:t>,</m:t>
              </m:r>
              <m:r>
                <m:t>τ</m:t>
              </m:r>
              <m:r>
                <m:rPr>
                  <m:sty m:val="p"/>
                </m:rPr>
                <m:t>)</m:t>
              </m:r>
            </m:e>
          </m:eqArr>
          <m:r>
            <m:t>  </m:t>
          </m:r>
          <m:r>
            <m:rPr>
              <m:sty m:val="p"/>
            </m:rPr>
            <m:t>(</m:t>
          </m:r>
          <m:r>
            <m:t>2</m:t>
          </m:r>
          <m:r>
            <m:rPr>
              <m:sty m:val="p"/>
            </m:rPr>
            <m:t>)</m:t>
          </m:r>
        </m:oMath>
      </m:oMathPara>
      <w:bookmarkEnd w:id="23"/>
    </w:p>
    <w:p>
      <w:pPr>
        <w:pStyle w:val="FirstParagraph"/>
      </w:pPr>
      <w:r>
        <w:t xml:space="preserve">Where</w:t>
      </w:r>
      <w:r>
        <w:t xml:space="preserve"> </w:t>
      </w:r>
      <m:oMath>
        <m:sSub>
          <m:e>
            <m:acc>
              <m:accPr>
                <m:chr m:val="̂"/>
              </m:accPr>
              <m:e>
                <m:r>
                  <m:t>θ</m:t>
                </m:r>
              </m:e>
            </m:acc>
          </m:e>
          <m:sub>
            <m:r>
              <m:t>k</m:t>
            </m:r>
          </m:sub>
        </m:sSub>
      </m:oMath>
      <w:r>
        <w:t xml:space="preserve"> </w:t>
      </w:r>
      <w:r>
        <w:t xml:space="preserve">is the observed effect size for study</w:t>
      </w:r>
      <w:r>
        <w:t xml:space="preserve"> </w:t>
      </w:r>
      <m:oMath>
        <m:r>
          <m:t>k</m:t>
        </m:r>
      </m:oMath>
      <w:r>
        <w:t xml:space="preserve">,</w:t>
      </w:r>
      <w:r>
        <w:t xml:space="preserve"> </w:t>
      </w:r>
      <m:oMath>
        <m:sSub>
          <m:e>
            <m:r>
              <m:t>σ</m:t>
            </m:r>
          </m:e>
          <m:sub>
            <m:r>
              <m:t>k</m:t>
            </m:r>
          </m:sub>
        </m:sSub>
      </m:oMath>
      <w:r>
        <w:t xml:space="preserve"> </w:t>
      </w:r>
      <w:r>
        <w:t xml:space="preserve">is the within-study sampling standard deviation for study</w:t>
      </w:r>
      <w:r>
        <w:t xml:space="preserve"> </w:t>
      </w:r>
      <m:oMath>
        <m:r>
          <m:t>k</m:t>
        </m:r>
      </m:oMath>
      <w:r>
        <w:t xml:space="preserve">,</w:t>
      </w:r>
      <w:r>
        <w:t xml:space="preserve"> </w:t>
      </w:r>
      <m:oMath>
        <m:sSub>
          <m:e>
            <m:r>
              <m:t>θ</m:t>
            </m:r>
          </m:e>
          <m:sub>
            <m:r>
              <m:t>k</m:t>
            </m:r>
          </m:sub>
        </m:sSub>
      </m:oMath>
      <w:r>
        <w:t xml:space="preserve"> </w:t>
      </w:r>
      <w:r>
        <w:t xml:space="preserve">is the true underlying effect for study</w:t>
      </w:r>
      <w:r>
        <w:t xml:space="preserve"> </w:t>
      </w:r>
      <m:oMath>
        <m:r>
          <m:t>k</m:t>
        </m:r>
      </m:oMath>
      <w:r>
        <w:t xml:space="preserve">,</w:t>
      </w:r>
      <w:r>
        <w:t xml:space="preserve"> </w:t>
      </w:r>
      <m:oMath>
        <m:r>
          <m:t>μ</m:t>
        </m:r>
      </m:oMath>
      <w:r>
        <w:t xml:space="preserve"> </w:t>
      </w:r>
      <w:r>
        <w:t xml:space="preserve">is the overall pooled effect and</w:t>
      </w:r>
      <w:r>
        <w:t xml:space="preserve"> </w:t>
      </w:r>
      <m:oMath>
        <m:r>
          <m:t>τ</m:t>
        </m:r>
      </m:oMath>
      <w:r>
        <w:t xml:space="preserve"> </w:t>
      </w:r>
      <w:r>
        <w:t xml:space="preserve">is the between-study standard deviation (heterogeneity).</w:t>
      </w:r>
      <w:r>
        <w:t xml:space="preserve"> </w:t>
      </w:r>
      <w:r>
        <w:t xml:space="preserve">The Bayesian model was fit using the R package</w:t>
      </w:r>
      <w:r>
        <w:t xml:space="preserve"> </w:t>
      </w:r>
      <w:r>
        <w:rPr>
          <w:rStyle w:val="VerbatimChar"/>
        </w:rPr>
        <w:t xml:space="preserve">brms</w:t>
      </w:r>
      <w:r>
        <w:t xml:space="preserve"> </w:t>
      </w:r>
      <w:r>
        <w:t xml:space="preserve">version 2.22.0</w:t>
      </w:r>
      <w:r>
        <w:t xml:space="preserve"> </w:t>
      </w:r>
      <w:r>
        <w:t xml:space="preserve">(Bürkner, 2017)</w:t>
      </w:r>
      <w:r>
        <w:t xml:space="preserve">.</w:t>
      </w:r>
      <w:r>
        <w:t xml:space="preserve"> </w:t>
      </w:r>
      <w:r>
        <w:t xml:space="preserve">Sampling was done using Markov chain Monte Carlo (MCMC).</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traceplots and the Gelman-Rubin statistic (</w:t>
      </w:r>
      <m:oMath>
        <m:acc>
          <m:accPr>
            <m:chr m:val="̂"/>
          </m:accPr>
          <m:e>
            <m:r>
              <m:t>R</m:t>
            </m:r>
          </m:e>
        </m:acc>
      </m:oMath>
      <w:r>
        <w:t xml:space="preserve">).</w:t>
      </w:r>
      <w:r>
        <w:t xml:space="preserve"> </w:t>
      </w:r>
      <w:r>
        <w:t xml:space="preserve">Chain resolution was assessed using the effective sample size (ESS).</w:t>
      </w:r>
      <w:r>
        <w:t xml:space="preserve"> </w:t>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framework) so that both</w:t>
      </w:r>
      <w:r>
        <w:t xml:space="preserve"> </w:t>
      </w:r>
      <m:oMath>
        <m:sSup>
          <m:e>
            <m:r>
              <m:t>I</m:t>
            </m:r>
          </m:e>
          <m:sup>
            <m:r>
              <m:t>2</m:t>
            </m:r>
          </m:sup>
        </m:sSup>
      </m:oMath>
      <w:r>
        <w:t xml:space="preserve"> </w:t>
      </w:r>
      <w:r>
        <w:t xml:space="preserve">results are comparable (supplementary file 4).</w:t>
      </w:r>
    </w:p>
    <w:p>
      <w:pPr>
        <w:pStyle w:val="BodyText"/>
      </w:pPr>
      <w:r>
        <w:t xml:space="preserve">In the Bayesian framework, domain knowledge is elicited and captured as probability distributions (priors) which are subsequently updated by the newly observed data, resulting in a posterior distribution.</w:t>
      </w:r>
      <w:r>
        <w:t xml:space="preserve"> </w:t>
      </w:r>
      <w:r>
        <w:t xml:space="preserve">Prior distributions are specified for all model parameters, i.e.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priors were chosen to softly constrain the posterior distributions to realistic ranges of results.</w:t>
      </w:r>
      <w:r>
        <w:t xml:space="preserve"> </w:t>
      </w:r>
      <w:r>
        <w:t xml:space="preserve">The priors are specified on the same scale as the harmonized effect estimates (IQ shift per unit increase in</w:t>
      </w:r>
      <w:r>
        <w:t xml:space="preserve"> </w:t>
      </w:r>
      <m:oMath>
        <m:sSub>
          <m:e>
            <m:r>
              <m:rPr>
                <m:sty m:val="p"/>
              </m:rPr>
              <m:t>log</m:t>
            </m:r>
          </m:e>
          <m:sub>
            <m:r>
              <m:t>e</m:t>
            </m:r>
          </m:sub>
        </m:sSub>
      </m:oMath>
      <w:r>
        <w:t xml:space="preserve">-transformed BLL).</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reflects the prior belief that the overall pooled effect lies between -5 and 3 with</w:t>
      </w:r>
      <w:r>
        <w:t xml:space="preserve"> </w:t>
      </w:r>
      <m:oMath>
        <m:r>
          <m:rPr>
            <m:sty m:val="p"/>
          </m:rPr>
          <m:t>∼</m:t>
        </m:r>
      </m:oMath>
      <w:r>
        <w:t xml:space="preserve">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(EFSA Panel on Contaminants in the Food Chain (CONTAM), 2010)</w:t>
      </w:r>
      <w:r>
        <w:t xml:space="preserve">.</w:t>
      </w:r>
      <w:r>
        <w:t xml:space="preserve"> </w:t>
      </w:r>
      <w:r>
        <w:t xml:space="preserve">Since variance terms, such as the between study heterogeneity</w:t>
      </w:r>
      <w:r>
        <w:t xml:space="preserve"> </w:t>
      </w:r>
      <m:oMath>
        <m:r>
          <m:t>τ</m:t>
        </m:r>
      </m:oMath>
      <w:r>
        <w:t xml:space="preserve">, must be positive, a truncated normal distribution centered at 0 with a SD of 2 was specified.</w:t>
      </w:r>
      <w:r>
        <w:t xml:space="preserve"> </w:t>
      </w:r>
      <w:r>
        <w:t xml:space="preserve">This reflects the prior belief that heterogeneity</w:t>
      </w:r>
      <w:r>
        <w:t xml:space="preserve"> </w:t>
      </w:r>
      <m:oMath>
        <m:r>
          <m:t>τ</m:t>
        </m:r>
      </m:oMath>
      <w:r>
        <w:t xml:space="preserve"> </w:t>
      </w:r>
      <w:r>
        <w:t xml:space="preserve">is small to moderate, but does not exclude large heterogeneity if this is present in the included studies.</w:t>
      </w:r>
      <w:r>
        <w:t xml:space="preserve"> </w:t>
      </w:r>
      <w:r>
        <w:t xml:space="preserve">In summary, the following priors were specified for the Bayesian model:</w:t>
      </w:r>
    </w:p>
    <w:p>
      <w:pPr>
        <w:pStyle w:val="BodyText"/>
      </w:pPr>
      <w:bookmarkStart w:id="24" w:name="eq-priors"/>
      <m:oMathPara>
        <m:oMathParaPr>
          <m:jc m:val="center"/>
        </m:oMathParaPr>
        <m:oMath>
          <m:eqArr>
            <m:e>
              <m:r>
                <m:t>μ</m:t>
              </m:r>
              <m:r>
                <m:t>&amp;</m:t>
              </m:r>
              <m:r>
                <m:rPr>
                  <m:sty m:val="p"/>
                </m:rPr>
                <m:t>∼</m:t>
              </m:r>
              <m:r>
                <m:rPr>
                  <m:scr m:val="script"/>
                  <m:sty m:val="p"/>
                </m:rPr>
                <m:t>N</m:t>
              </m:r>
              <m:r>
                <m:rPr>
                  <m:sty m:val="p"/>
                </m:rPr>
                <m:t>(</m:t>
              </m:r>
              <m:r>
                <m:rPr>
                  <m:sty m:val="p"/>
                </m:rPr>
                <m:t>−</m:t>
              </m:r>
              <m:r>
                <m:t>1</m:t>
              </m:r>
              <m:r>
                <m:rPr>
                  <m:sty m:val="p"/>
                </m:rPr>
                <m:t>,</m:t>
              </m:r>
              <m:r>
                <m:t>2</m:t>
              </m:r>
              <m:r>
                <m:rPr>
                  <m:sty m:val="p"/>
                </m:rPr>
                <m:t>)</m:t>
              </m:r>
            </m:e>
            <m:e>
              <m:r>
                <m:t>τ</m:t>
              </m:r>
              <m:r>
                <m:t>&amp;</m:t>
              </m:r>
              <m:r>
                <m:rPr>
                  <m:sty m:val="p"/>
                </m:rPr>
                <m:t>∼</m:t>
              </m:r>
              <m:sSup>
                <m:e>
                  <m:r>
                    <m:rPr>
                      <m:scr m:val="script"/>
                      <m:sty m:val="p"/>
                    </m:rPr>
                    <m:t>N</m:t>
                  </m:r>
                </m:e>
                <m:sup>
                  <m:r>
                    <m:rPr>
                      <m:scr m:val="script"/>
                      <m:sty m:val="p"/>
                    </m:rPr>
                    <m:t>+</m:t>
                  </m:r>
                </m:sup>
              </m:sSup>
              <m:r>
                <m:rPr>
                  <m:sty m:val="p"/>
                </m:rPr>
                <m:t>(</m:t>
              </m:r>
              <m:r>
                <m:t>0</m:t>
              </m:r>
              <m:r>
                <m:rPr>
                  <m:sty m:val="p"/>
                </m:rPr>
                <m:t>,</m:t>
              </m:r>
              <m:r>
                <m:t>2</m:t>
              </m:r>
              <m:r>
                <m:rPr>
                  <m:sty m:val="p"/>
                </m:rPr>
                <m:t>)</m:t>
              </m:r>
            </m:e>
          </m:eqArr>
          <m:r>
            <m:t>  </m:t>
          </m:r>
          <m:r>
            <m:rPr>
              <m:sty m:val="p"/>
            </m:rPr>
            <m:t>(</m:t>
          </m:r>
          <m:r>
            <m:t>3</m:t>
          </m:r>
          <m:r>
            <m:rPr>
              <m:sty m:val="p"/>
            </m:rPr>
            <m:t>)</m:t>
          </m:r>
        </m:oMath>
      </m:oMathPara>
      <w:bookmarkEnd w:id="24"/>
    </w:p>
    <w:p>
      <w:pPr>
        <w:pStyle w:val="FirstParagraph"/>
      </w:pPr>
      <w:r>
        <w:t xml:space="preserve">Prior predictive checks were conducted using the</w:t>
      </w:r>
      <w:r>
        <w:t xml:space="preserve"> </w:t>
      </w:r>
      <w:r>
        <w:rPr>
          <w:rStyle w:val="VerbatimChar"/>
        </w:rPr>
        <w:t xml:space="preserve">bayesplot</w:t>
      </w:r>
      <w:r>
        <w:t xml:space="preserve"> </w:t>
      </w:r>
      <w:r>
        <w:t xml:space="preserve">package</w:t>
      </w:r>
      <w:r>
        <w:t xml:space="preserve"> </w:t>
      </w:r>
      <w:r>
        <w:t xml:space="preserve">(Gabry J, Mahr T, 2025)</w:t>
      </w:r>
      <w:r>
        <w:t xml:space="preserve"> </w:t>
      </w:r>
      <w:r>
        <w:t xml:space="preserve">to verify that the specified priors were appropriate.</w:t>
      </w:r>
      <w:r>
        <w:t xml:space="preserve"> </w:t>
      </w:r>
      <w:r>
        <w:t xml:space="preserve">Posterior predictive checks were carried out to assess if the model structure is able to capture the underlying data well.</w:t>
      </w:r>
      <w:r>
        <w:t xml:space="preserve"> </w:t>
      </w:r>
      <w:r>
        <w:t xml:space="preserve">Additionally, a sensitivity analysis with alternative priors was conducted, as described below.</w:t>
      </w:r>
    </w:p>
    <w:bookmarkEnd w:id="25"/>
    <w:bookmarkStart w:id="26" w:name="frequentist-meta-analysis"/>
    <w:p>
      <w:pPr>
        <w:pStyle w:val="Heading3"/>
      </w:pPr>
      <w:r>
        <w:t xml:space="preserve">2.4.2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(Viechtbauer, 2010)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26"/>
    <w:bookmarkEnd w:id="27"/>
    <w:bookmarkStart w:id="28" w:name="sensitivity-analysis"/>
    <w:p>
      <w:pPr>
        <w:pStyle w:val="Heading2"/>
      </w:pPr>
      <w:r>
        <w:t xml:space="preserve">2.5 Sensitivity Analysis</w:t>
      </w:r>
    </w:p>
    <w:p>
      <w:pPr>
        <w:pStyle w:val="FirstParagraph"/>
      </w:pPr>
      <w:r>
        <w:t xml:space="preserve">We conducted two sets of sensitivity analyses.</w:t>
      </w:r>
      <w:r>
        <w:t xml:space="preserve"> </w:t>
      </w:r>
      <w:r>
        <w:t xml:space="preserve">To examine the sensitivity of the results to possibly biased study estimates, we ran both the frequentist and Bayesian models again twice, excluding (1) studies with a high RoB rating and (2) with a high or moderate RoB.</w:t>
      </w:r>
    </w:p>
    <w:p>
      <w:pPr>
        <w:pStyle w:val="BodyText"/>
      </w:pPr>
      <w:r>
        <w:t xml:space="preserve">To examine the sensitivity of the results to the choice of prior distributions, we fit the Bayesian model again for two alternative sets of priors.</w:t>
      </w:r>
      <w:r>
        <w:t xml:space="preserve"> </w:t>
      </w:r>
      <w:r>
        <w:t xml:space="preserve">The first set of priors was more informative (narrower) than the main priors, with</w:t>
      </w:r>
      <w:r>
        <w:t xml:space="preserve">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w:t>
      </w:r>
      <w:r>
        <w:t xml:space="preserve"> </w:t>
      </w:r>
      <w:r>
        <w:t xml:space="preserve">The second set of priors was less informative (wider) with</w:t>
      </w:r>
      <w:r>
        <w:t xml:space="preserve"> </w:t>
      </w:r>
      <m:oMath>
        <m:r>
          <m:t>μ</m:t>
        </m:r>
        <m:r>
          <m:rPr>
            <m:sty m:val="p"/>
          </m:rPr>
          <m:t>∼</m:t>
        </m:r>
        <m:r>
          <m:rPr>
            <m:scr m:val="script"/>
            <m:sty m:val="p"/>
          </m:rPr>
          <m:t>N</m:t>
        </m:r>
        <m:r>
          <m:rPr>
            <m:sty m:val="p"/>
          </m:rPr>
          <m:t>(</m:t>
        </m:r>
        <m:r>
          <m:t>0</m:t>
        </m:r>
        <m:r>
          <m:rPr>
            <m:sty m:val="p"/>
          </m:rPr>
          <m:t>,</m:t>
        </m:r>
        <m:r>
          <m:t>6</m:t>
        </m:r>
        <m:r>
          <m:rPr>
            <m:sty m:val="p"/>
          </m:rPr>
          <m:t>)</m:t>
        </m:r>
      </m:oMath>
      <w:r>
        <w:t xml:space="preserve"> </w:t>
      </w:r>
      <w:r>
        <w:t xml:space="preserve">and</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w:t>
      </w:r>
      <w:r>
        <w:t xml:space="preserve"> </w:t>
      </w:r>
      <w:r>
        <w:t xml:space="preserve">Note that for the main effect, the broader prior is centered around 0, giving equal weight to the probability of a protective and detrimental effect of lead.</w:t>
      </w:r>
    </w:p>
    <w:bookmarkEnd w:id="28"/>
    <w:bookmarkEnd w:id="29"/>
    <w:bookmarkStart w:id="40" w:name="results"/>
    <w:p>
      <w:pPr>
        <w:pStyle w:val="Heading1"/>
      </w:pPr>
      <w:r>
        <w:t xml:space="preserve">3. Results</w:t>
      </w:r>
    </w:p>
    <w:bookmarkStart w:id="33" w:name="literature-review-1"/>
    <w:p>
      <w:pPr>
        <w:pStyle w:val="Heading2"/>
      </w:pPr>
      <w:r>
        <w:t xml:space="preserve">3.1 Literature Review</w:t>
      </w:r>
    </w:p>
    <w:p>
      <w:pPr>
        <w:pStyle w:val="FirstParagraph"/>
      </w:pPr>
      <w:r>
        <w:t xml:space="preserve">The systematic review was conducted with a larger scope and was used as a basis for multiple case studies within the PARC project, which is why it includes another substance (mercury, Hg).</w:t>
      </w:r>
      <w:r>
        <w:t xml:space="preserve"> </w:t>
      </w:r>
      <w:r>
        <w:t xml:space="preserve">The systematic search in PubMed and Scopus yielded 1,073 records for lead.</w:t>
      </w:r>
      <w:r>
        <w:t xml:space="preserve"> </w:t>
      </w:r>
      <w:r>
        <w:t xml:space="preserve">After duplicate removal, title and abstract of 974 records (Pb &amp; Hg) was screened, which left 149 records (Pb &amp; Hg) for full text screening.</w:t>
      </w:r>
      <w:r>
        <w:t xml:space="preserve"> </w:t>
      </w:r>
      <w:r>
        <w:t xml:space="preserve">After this last screening, 36 records remained for Pb.</w:t>
      </w:r>
      <w:r>
        <w:t xml:space="preserve"> </w:t>
      </w:r>
      <w:r>
        <w:t xml:space="preserve">These were then assessed for their eligibility for the meta-analysis.</w:t>
      </w:r>
      <w:r>
        <w:t xml:space="preserve"> </w:t>
      </w:r>
      <w:r>
        <w:t xml:space="preserve">Twelve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overlapped with another study and would lead to duplicates.</w:t>
      </w:r>
      <w:r>
        <w:t xml:space="preserve"> </w:t>
      </w:r>
      <w:r>
        <w:t xml:space="preserve">Four additional studies were excluded because they either solely reported effects of chemical mixtures, used non-linear models (including the use of splines) or failed to report essential statistics.</w:t>
      </w:r>
      <w:r>
        <w:t xml:space="preserve"> </w:t>
      </w:r>
      <w:r>
        <w:t xml:space="preserve">Finally, twelve studies were included in the meta-analysis.</w:t>
      </w:r>
      <w:r>
        <w:t xml:space="preserve"> </w:t>
      </w:r>
      <w:r>
        <w:t xml:space="preserve">Study characteristics and regression coefficients (effect estimates) are shown in Tab. 2.</w:t>
      </w:r>
    </w:p>
    <w:p>
      <w:pPr>
        <w:pStyle w:val="BodyText"/>
      </w:pPr>
      <w:r>
        <w:t xml:space="preserve">A PRISMA flow diagram summarizing the review process is shown in Fig. 1</w:t>
      </w:r>
      <w:r>
        <w:t xml:space="preserve"> </w:t>
      </w:r>
      <w:r>
        <w:t xml:space="preserve">(Page et al., 2021)</w:t>
      </w:r>
      <w:r>
        <w:t xml:space="preserve">.</w:t>
      </w:r>
      <w:r>
        <w:t xml:space="preserve"> </w:t>
      </w:r>
      <w:r>
        <w:t xml:space="preserve">Detailed information on the screening process and exclusion reasons can be found in supplementary file 3.</w:t>
      </w:r>
    </w:p>
    <w:p>
      <w:pPr>
        <w:pStyle w:val="CaptionedFigure"/>
      </w:pPr>
      <w:r>
        <w:drawing>
          <wp:inline>
            <wp:extent cx="3566160" cy="4257586"/>
            <wp:effectExtent b="0" l="0" r="0" t="0"/>
            <wp:docPr descr="Fig. 1: PRISMA flow diagram. BLL, blood lead level; Pb, lead; Hg, mercury" title="" id="31" name="Picture"/>
            <a:graphic>
              <a:graphicData uri="http://schemas.openxmlformats.org/drawingml/2006/picture">
                <pic:pic>
                  <pic:nvPicPr>
                    <pic:cNvPr descr="tables_figures/main/figure1.png" id="32" name="Picture"/>
                    <pic:cNvPicPr>
                      <a:picLocks noChangeArrowheads="1" noChangeAspect="1"/>
                    </pic:cNvPicPr>
                  </pic:nvPicPr>
                  <pic:blipFill>
                    <a:blip r:embed="rId30"/>
                    <a:stretch>
                      <a:fillRect/>
                    </a:stretch>
                  </pic:blipFill>
                  <pic:spPr bwMode="auto">
                    <a:xfrm>
                      <a:off x="0" y="0"/>
                      <a:ext cx="3566160" cy="4257586"/>
                    </a:xfrm>
                    <a:prstGeom prst="rect">
                      <a:avLst/>
                    </a:prstGeom>
                    <a:noFill/>
                    <a:ln w="9525">
                      <a:noFill/>
                      <a:headEnd/>
                      <a:tailEnd/>
                    </a:ln>
                  </pic:spPr>
                </pic:pic>
              </a:graphicData>
            </a:graphic>
          </wp:inline>
        </w:drawing>
      </w:r>
    </w:p>
    <w:p>
      <w:pPr>
        <w:pStyle w:val="ImageCaption"/>
      </w:pPr>
      <w:r>
        <w:t xml:space="preserve">Fig. 1: PRISMA flow diagram. BLL, blood lead level; Pb, lead; Hg, mercury</w:t>
      </w:r>
    </w:p>
    <w:p>
      <w:pPr>
        <w:pStyle w:val="BodyText"/>
      </w:pPr>
      <w:r>
        <w:t xml:space="preserve">The size of the study population in included studies ranged from 127</w:t>
      </w:r>
      <w:r>
        <w:t xml:space="preserve"> </w:t>
      </w:r>
      <w:r>
        <w:t xml:space="preserve">(Earl et al., 2016)</w:t>
      </w:r>
      <w:r>
        <w:t xml:space="preserve"> </w:t>
      </w:r>
      <w:r>
        <w:t xml:space="preserve">to 1,355</w:t>
      </w:r>
      <w:r>
        <w:t xml:space="preserve"> </w:t>
      </w:r>
      <w:r>
        <w:t xml:space="preserve">(Crump et al., 2013)</w:t>
      </w:r>
      <w:r>
        <w:t xml:space="preserve">.</w:t>
      </w:r>
      <w:r>
        <w:t xml:space="preserve"> </w:t>
      </w:r>
      <w:r>
        <w:t xml:space="preserve">Study designs included cross-sectional</w:t>
      </w:r>
      <w:r>
        <w:t xml:space="preserve"> </w:t>
      </w:r>
      <w:r>
        <w:t xml:space="preserve">(Bauer et al., 2020; Hong et al., 2015; Lucchini et al., 2019, 2012; Roy et al., 2013; Schnaas et al., 2006)</w:t>
      </w:r>
      <w:r>
        <w:t xml:space="preserve"> </w:t>
      </w:r>
      <w:r>
        <w:t xml:space="preserve">and cohort studies</w:t>
      </w:r>
      <w:r>
        <w:t xml:space="preserve"> </w:t>
      </w:r>
      <w:r>
        <w:t xml:space="preserve">(Crump et al., 2013; Dantzer et al., 2020; Desrochers-Couture et al., 2018; Earl et al., 2016; Lee et al., 2021)</w:t>
      </w:r>
      <w:r>
        <w:t xml:space="preserve">.</w:t>
      </w:r>
      <w:r>
        <w:t xml:space="preserve"> </w:t>
      </w:r>
      <w:r>
        <w:t xml:space="preserve">The included studies were conducted in multiple different regions of the world (North America: 4, South America: 1, Europe: 3, Asia: 3, Australia: 1) and some populations were sampled in hotspot regions with presumably higher lead concentrations</w:t>
      </w:r>
      <w:r>
        <w:t xml:space="preserve"> </w:t>
      </w:r>
      <w:r>
        <w:t xml:space="preserve">(Bauer et al., 2020; Earl et al., 2016; Menezes-Filho et al., 2018)</w:t>
      </w:r>
      <w:r>
        <w:t xml:space="preserve">.</w:t>
      </w:r>
      <w:r>
        <w:t xml:space="preserve"> </w:t>
      </w:r>
      <w:r>
        <w:t xml:space="preserve">The study by</w:t>
      </w:r>
      <w:r>
        <w:t xml:space="preserve"> </w:t>
      </w:r>
      <w:r>
        <w:t xml:space="preserve">Roy et al. (2013)</w:t>
      </w:r>
      <w:r>
        <w:t xml:space="preserve"> </w:t>
      </w:r>
      <w:r>
        <w:t xml:space="preserve">reported implausibly large effect sizes.</w:t>
      </w:r>
      <w:r>
        <w:t xml:space="preserve"> </w:t>
      </w:r>
      <w:r>
        <w:t xml:space="preserve">We contacted the corresponding author, who confirmed that decimal points were missing in the publication.</w:t>
      </w:r>
    </w:p>
    <w:bookmarkEnd w:id="33"/>
    <w:bookmarkStart w:id="34" w:name="risk-of-bias"/>
    <w:p>
      <w:pPr>
        <w:pStyle w:val="Heading2"/>
      </w:pPr>
      <w:r>
        <w:t xml:space="preserve">3.2 Risk of Bias</w:t>
      </w:r>
    </w:p>
    <w:p>
      <w:pPr>
        <w:pStyle w:val="FirstParagraph"/>
      </w:pPr>
      <w:r>
        <w:t xml:space="preserve">The rapid RoB assessment resulted in eight studies with a low RoB rating</w:t>
      </w:r>
      <w:r>
        <w:t xml:space="preserve"> </w:t>
      </w:r>
      <w:r>
        <w:t xml:space="preserve">(Bauer et al., 2020; Dantzer et al., 2020; Desrochers-Couture et al., 2018; Hong et al., 2015; Lee et al., 2021; Menezes-Filho et al., 2018; Roy et al., 2013; Schnaas et al., 2006)</w:t>
      </w:r>
      <w:r>
        <w:t xml:space="preserve">,</w:t>
      </w:r>
      <w:r>
        <w:t xml:space="preserve"> </w:t>
      </w:r>
      <w:r>
        <w:t xml:space="preserve">two with a moderate RoB</w:t>
      </w:r>
      <w:r>
        <w:t xml:space="preserve"> </w:t>
      </w:r>
      <w:r>
        <w:t xml:space="preserve">(Lucchini et al., 2019, 2012)</w:t>
      </w:r>
      <w:r>
        <w:t xml:space="preserve"> </w:t>
      </w:r>
      <w:r>
        <w:t xml:space="preserve">and two studies with a high RoB rating</w:t>
      </w:r>
      <w:r>
        <w:t xml:space="preserve"> </w:t>
      </w:r>
      <w:r>
        <w:t xml:space="preserve">(Crump et al., 2013; Earl et al., 2016)</w:t>
      </w:r>
      <w:r>
        <w:t xml:space="preserve">.</w:t>
      </w:r>
      <w:r>
        <w:t xml:space="preserve"> </w:t>
      </w:r>
      <w:r>
        <w:t xml:space="preserve">Among the twelve included studies, items with a high overall RoB were</w:t>
      </w:r>
      <w:r>
        <w:t xml:space="preserve"> </w:t>
      </w:r>
      <w:r>
        <w:rPr>
          <w:i/>
          <w:iCs/>
        </w:rPr>
        <w:t xml:space="preserve">non-response rate</w:t>
      </w:r>
      <w:r>
        <w:t xml:space="preserve"> </w:t>
      </w:r>
      <w:r>
        <w:t xml:space="preserve">(7x high RoB, 5x some concerns), where some studies did not report the non-response rate or did not discuss whether non-responding individuals might systematically differ from included participants, leading to potential selection bias.</w:t>
      </w:r>
      <w:r>
        <w:t xml:space="preserve"> </w:t>
      </w:r>
      <w:r>
        <w:t xml:space="preserve">Another item with overall high RoB was</w:t>
      </w:r>
      <w:r>
        <w:t xml:space="preserve"> </w:t>
      </w:r>
      <w:r>
        <w:rPr>
          <w:i/>
          <w:iCs/>
        </w:rPr>
        <w:t xml:space="preserve">accounting for confounding</w:t>
      </w:r>
      <w:r>
        <w:t xml:space="preserve"> </w:t>
      </w:r>
      <w:r>
        <w:t xml:space="preserve">(2x high RoB, 5x some concerns), where important confounders like maternal IQ were not included or the authors used a data-driven selection approach for covariate selection, when a theory-driven approach was preferable</w:t>
      </w:r>
      <w:r>
        <w:t xml:space="preserve"> </w:t>
      </w:r>
      <w:r>
        <w:t xml:space="preserve">(Smith, 2018)</w:t>
      </w:r>
      <w:r>
        <w:t xml:space="preserve">.</w:t>
      </w:r>
      <w:r>
        <w:t xml:space="preserve"> </w:t>
      </w:r>
      <w:r>
        <w:t xml:space="preserve">Finally, in the item</w:t>
      </w:r>
      <w:r>
        <w:t xml:space="preserve"> </w:t>
      </w:r>
      <w:r>
        <w:rPr>
          <w:i/>
          <w:iCs/>
        </w:rPr>
        <w:t xml:space="preserve">handling of missing values</w:t>
      </w:r>
      <w:r>
        <w:t xml:space="preserve">, some of the studies contain no information on how missing data was handled, while in other studies they were handled inadequately (3x high RoB, 4x some concerns).</w:t>
      </w:r>
      <w:r>
        <w:t xml:space="preserve"> </w:t>
      </w:r>
      <w:r>
        <w:t xml:space="preserve">Results from the RoB assessment are presented in Tab. 3.</w:t>
      </w:r>
    </w:p>
    <w:bookmarkEnd w:id="34"/>
    <w:bookmarkStart w:id="38" w:name="meta-analysis-1"/>
    <w:p>
      <w:pPr>
        <w:pStyle w:val="Heading2"/>
      </w:pPr>
      <w:r>
        <w:t xml:space="preserve">3.3 Meta Analysis</w:t>
      </w:r>
    </w:p>
    <w:p>
      <w:pPr>
        <w:pStyle w:val="FirstParagraph"/>
      </w:pPr>
      <w:r>
        <w:t xml:space="preserve">The prior predictive check indicates that the specified priors are appropriate (supplementary file 5a).</w:t>
      </w:r>
      <w:r>
        <w:t xml:space="preserve"> </w:t>
      </w:r>
      <w:r>
        <w:t xml:space="preserve">The posterior predictive check showed that the model correctly captures important patterns in the data (supplementary file 5b).</w:t>
      </w:r>
      <w:r>
        <w:t xml:space="preserve"> </w:t>
      </w:r>
      <m:oMath>
        <m:acc>
          <m:accPr>
            <m:chr m:val="̂"/>
          </m:accPr>
          <m:e>
            <m:r>
              <m:t>R</m:t>
            </m:r>
          </m:e>
        </m:acc>
      </m:oMath>
      <w:r>
        <w:t xml:space="preserve"> </w:t>
      </w:r>
      <w:r>
        <w:t xml:space="preserve">values indicate that all MCMC chains coverged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showed well-mixed chains and convergence (supplementary file 5c).</w:t>
      </w:r>
      <w:r>
        <w:t xml:space="preserve"> </w:t>
      </w:r>
      <w:r>
        <w:t xml:space="preserve">ESS indicate that sampling was efficient and central point estimates and credible intervals can be interpreted with confidence (ESS bulk for</w:t>
      </w:r>
      <w:r>
        <w:t xml:space="preserve"> </w:t>
      </w:r>
      <m:oMath>
        <m:r>
          <m:t>μ</m:t>
        </m:r>
      </m:oMath>
      <w:r>
        <w:t xml:space="preserve">: 1,796; ESS tail: 2,504, corresponding to 22.5% and 31.3% of total samples respectively).</w:t>
      </w:r>
    </w:p>
    <w:p>
      <w:pPr>
        <w:pStyle w:val="BodyText"/>
      </w:pPr>
      <w:r>
        <w:t xml:space="preserve">The Bayesian random-effects meta-analysis yielded a posterior mean pooled estimate of -2.28 (95% credible interval (CrI): -3.56 to -1.06) IQ points per log-unit increase in BLL (µg/dL) (see Fig. 2).</w:t>
      </w:r>
      <w:r>
        <w:t xml:space="preserve"> </w:t>
      </w:r>
      <w:r>
        <w:t xml:space="preserve">The frequentist approach produced a comparable pooled estimate of -2.45 (95% confidence interval (CI): -3.7 to -1.2).</w:t>
      </w:r>
      <w:r>
        <w:t xml:space="preserve"> </w:t>
      </w:r>
      <w:r>
        <w:t xml:space="preserve">Substantial between-study heterogeneity was observed under both frameworks.</w:t>
      </w:r>
      <w:r>
        <w:t xml:space="preserve"> </w:t>
      </w:r>
      <w:r>
        <w:t xml:space="preserve">In the Bayesian framework, between-study heterogeneity was estimated as</w:t>
      </w:r>
      <w:r>
        <w:t xml:space="preserve"> </w:t>
      </w:r>
      <m:oMath>
        <m:sSup>
          <m:e>
            <m:r>
              <m:t>τ</m:t>
            </m:r>
          </m:e>
          <m:sup>
            <m:r>
              <m:t>2</m:t>
            </m:r>
          </m:sup>
        </m:sSup>
      </m:oMath>
      <w:r>
        <w:t xml:space="preserve"> </w:t>
      </w:r>
      <w:r>
        <w:t xml:space="preserve">= 3.8 (95% CrI: 1 to 9.5), corresponding to an</w:t>
      </w:r>
      <w:r>
        <w:t xml:space="preserve"> </w:t>
      </w:r>
      <m:oMath>
        <m:sSup>
          <m:e>
            <m:r>
              <m:rPr>
                <m:nor/>
                <m:sty m:val="p"/>
              </m:rPr>
              <m:t>I</m:t>
            </m:r>
          </m:e>
          <m:sup>
            <m:r>
              <m:t>2</m:t>
            </m:r>
          </m:sup>
        </m:sSup>
      </m:oMath>
      <w:r>
        <w:t xml:space="preserve"> </w:t>
      </w:r>
      <w:r>
        <w:t xml:space="preserve">of 83.3% (95% CrI: 63.9% to 94.2%).</w:t>
      </w:r>
      <w:r>
        <w:t xml:space="preserve"> </w:t>
      </w:r>
      <w:r>
        <w:t xml:space="preserve">Similarly, the frequentist model estimated</w:t>
      </w:r>
      <w:r>
        <w:t xml:space="preserve"> </w:t>
      </w:r>
      <m:oMath>
        <m:sSup>
          <m:e>
            <m:r>
              <m:t>τ</m:t>
            </m:r>
          </m:e>
          <m:sup>
            <m:r>
              <m:t>2</m:t>
            </m:r>
          </m:sup>
        </m:sSup>
      </m:oMath>
      <w:r>
        <w:t xml:space="preserve"> </w:t>
      </w:r>
      <w:r>
        <w:t xml:space="preserve">= 3.3 (95% CI: 1 to 3.3), with</w:t>
      </w:r>
      <w:r>
        <w:t xml:space="preserve"> </w:t>
      </w:r>
      <m:oMath>
        <m:sSup>
          <m:e>
            <m:r>
              <m:rPr>
                <m:nor/>
                <m:sty m:val="p"/>
              </m:rPr>
              <m:t>I</m:t>
            </m:r>
          </m:e>
          <m:sup>
            <m:r>
              <m:t>2</m:t>
            </m:r>
          </m:sup>
        </m:sSup>
      </m:oMath>
      <w:r>
        <w:t xml:space="preserve"> </w:t>
      </w:r>
      <w:r>
        <w:t xml:space="preserve">= 85% (95% CI: 62.7 to 95.2%).</w:t>
      </w:r>
      <w:r>
        <w:t xml:space="preserve"> </w:t>
      </w:r>
      <w:r>
        <w:t xml:space="preserve">Supplementary file 6 contains the full model code and output for both frameworks.</w:t>
      </w:r>
      <w:r>
        <w:t xml:space="preserve"> </w:t>
      </w:r>
      <w:r>
        <w:t xml:space="preserve">The results of both frameworks are shown as forest plots in Figure 2.</w:t>
      </w:r>
    </w:p>
    <w:p>
      <w:pPr>
        <w:pStyle w:val="CaptionedFigure"/>
      </w:pPr>
      <w:r>
        <w:drawing>
          <wp:inline>
            <wp:extent cx="5943600" cy="2228220"/>
            <wp:effectExtent b="0" l="0" r="0" t="0"/>
            <wp:docPr descr="Fig. 2: Forest plots for Bayesian (left) and frequentist (right) meta-analyses. BLL, blood lead level; CI, confidence interval; CrI, credible interval" title="" id="36" name="Picture"/>
            <a:graphic>
              <a:graphicData uri="http://schemas.openxmlformats.org/drawingml/2006/picture">
                <pic:pic>
                  <pic:nvPicPr>
                    <pic:cNvPr descr="tables_figures/main/figure2.png" id="37" name="Picture"/>
                    <pic:cNvPicPr>
                      <a:picLocks noChangeArrowheads="1" noChangeAspect="1"/>
                    </pic:cNvPicPr>
                  </pic:nvPicPr>
                  <pic:blipFill>
                    <a:blip r:embed="rId35"/>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 for Bayesian (left) and frequentist (right) meta-analyses. BLL, blood lead level; CI, confidence interval; CrI, credible interval</w:t>
      </w:r>
    </w:p>
    <w:p>
      <w:pPr>
        <w:pStyle w:val="BodyText"/>
      </w:pPr>
      <w:r>
        <w:t xml:space="preserve">The single study estimates shown in Fig. 2 differ in both approaches because individual study estimates are shrunk towards the pooled estimate.</w:t>
      </w:r>
      <w:r>
        <w:t xml:space="preserve"> </w:t>
      </w:r>
      <w:r>
        <w:t xml:space="preserve">In the context of meta-analysis, shrinkage is comparable to the inverse-variance weighting in the frequentist framework.</w:t>
      </w:r>
    </w:p>
    <w:bookmarkEnd w:id="38"/>
    <w:bookmarkStart w:id="39" w:name="sensitivity-analysis-1"/>
    <w:p>
      <w:pPr>
        <w:pStyle w:val="Heading2"/>
      </w:pPr>
      <w:r>
        <w:t xml:space="preserve">3.4 Sensitivity Analysis</w:t>
      </w:r>
    </w:p>
    <w:p>
      <w:pPr>
        <w:pStyle w:val="FirstParagraph"/>
      </w:pPr>
      <w:r>
        <w:t xml:space="preserve">We conducted two sets of sensitivity analyses; results are shown in Tab. 4.</w:t>
      </w:r>
      <w:r>
        <w:t xml:space="preserve"> </w:t>
      </w:r>
      <w:r>
        <w:t xml:space="preserve">First, in order to test the sensitivity of the results to possibly biased study estimates, we excluded (1) studies with high RoB rating and (2) with high or moderate RoB rating.</w:t>
      </w:r>
      <w:r>
        <w:t xml:space="preserve"> </w:t>
      </w:r>
      <w:r>
        <w:t xml:space="preserve">For both the frequentist and Bayesian frameworks, the strength of the mean pooled effect decreased after removing studies with high risk of bias and slightly increased again after removing high and moderate RoB studies.</w:t>
      </w:r>
      <w:r>
        <w:t xml:space="preserve"> </w:t>
      </w:r>
      <w:r>
        <w:t xml:space="preserve">These shifts in both directions and their small size show that the results are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cr m:val="script"/>
            <m:sty m:val="p"/>
          </m:rPr>
          <m:t>N</m:t>
        </m:r>
        <m:r>
          <m:rPr>
            <m:sty m:val="p"/>
          </m:rPr>
          <m:t>(</m:t>
        </m:r>
        <m:r>
          <m:rPr>
            <m:sty m:val="p"/>
          </m:rPr>
          <m:t>−</m:t>
        </m:r>
        <m:r>
          <m:t>1</m:t>
        </m:r>
        <m:r>
          <m:rPr>
            <m:sty m:val="p"/>
          </m:rPr>
          <m:t>,</m:t>
        </m:r>
        <m:r>
          <m:t>1</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1</m:t>
        </m:r>
        <m:r>
          <m:rPr>
            <m:sty m:val="p"/>
          </m:rPr>
          <m:t>)</m:t>
        </m:r>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(wider) priors (</w:t>
      </w:r>
      <m:oMath>
        <m:r>
          <m:t>μ</m:t>
        </m:r>
        <m:r>
          <m:rPr>
            <m:sty m:val="p"/>
          </m:rPr>
          <m:t>∼</m:t>
        </m:r>
        <m:r>
          <m:rPr>
            <m:scr m:val="script"/>
            <m:sty m:val="p"/>
          </m:rPr>
          <m:t>N</m:t>
        </m:r>
        <m:r>
          <m:rPr>
            <m:sty m:val="p"/>
          </m:rPr>
          <m:t>(</m:t>
        </m:r>
        <m:r>
          <m:t>0</m:t>
        </m:r>
        <m:r>
          <m:rPr>
            <m:sty m:val="p"/>
          </m:rPr>
          <m:t>,</m:t>
        </m:r>
        <m:r>
          <m:t>6</m:t>
        </m:r>
        <m:r>
          <m:rPr>
            <m:sty m:val="p"/>
          </m:rPr>
          <m:t>)</m:t>
        </m:r>
      </m:oMath>
      <w:r>
        <w:t xml:space="preserve">,</w:t>
      </w:r>
      <w:r>
        <w:t xml:space="preserve"> </w:t>
      </w:r>
      <m:oMath>
        <m:r>
          <m:t>τ</m:t>
        </m:r>
        <m:r>
          <m:rPr>
            <m:sty m:val="p"/>
          </m:rPr>
          <m:t>∼</m:t>
        </m:r>
        <m:sSup>
          <m:e>
            <m:r>
              <m:rPr>
                <m:scr m:val="script"/>
                <m:sty m:val="p"/>
              </m:rPr>
              <m:t>N</m:t>
            </m:r>
          </m:e>
          <m:sup>
            <m:r>
              <m:rPr>
                <m:sty m:val="p"/>
              </m:rPr>
              <m:t>+</m:t>
            </m:r>
          </m:sup>
        </m:sSup>
        <m:r>
          <m:rPr>
            <m:sty m:val="p"/>
          </m:rPr>
          <m:t>(</m:t>
        </m:r>
        <m:r>
          <m:t>0</m:t>
        </m:r>
        <m:r>
          <m:rPr>
            <m:sty m:val="p"/>
          </m:rPr>
          <m:t>,</m:t>
        </m:r>
        <m:r>
          <m:t>6</m:t>
        </m:r>
        <m:r>
          <m:rPr>
            <m:sty m:val="p"/>
          </m:rPr>
          <m:t>)</m:t>
        </m:r>
      </m:oMath>
      <w:r>
        <w:t xml:space="preserve">), the posterior mean of</w:t>
      </w:r>
      <w:r>
        <w:t xml:space="preserve"> </w:t>
      </w:r>
      <m:oMath>
        <m:r>
          <m:t>μ</m:t>
        </m:r>
      </m:oMath>
      <w:r>
        <w:t xml:space="preserve"> </w:t>
      </w:r>
      <w:r>
        <w:t xml:space="preserve">increases slightly compared to the main model.</w:t>
      </w:r>
      <w:r>
        <w:t xml:space="preserve"> </w:t>
      </w:r>
      <w:r>
        <w:t xml:space="preserve">This set of priors gives more weight to studies reporting high effects with large uncertainty ranges.</w:t>
      </w:r>
      <w:r>
        <w:t xml:space="preserve"> </w:t>
      </w:r>
      <w:r>
        <w:t xml:space="preserve">Supplementary file 5d shows prior, observed data and posterior distributions of all three prior specifications.</w:t>
      </w:r>
      <w:r>
        <w:t xml:space="preserve"> </w:t>
      </w:r>
      <w:r>
        <w:t xml:space="preserve">This shows that the results are robust to prior specification, because the shifts in the pooled estimate are not substantial and do not change the conclusion of our analysis.</w:t>
      </w:r>
    </w:p>
    <w:bookmarkEnd w:id="39"/>
    <w:bookmarkEnd w:id="40"/>
    <w:bookmarkStart w:id="41" w:name="discussion"/>
    <w:p>
      <w:pPr>
        <w:pStyle w:val="Heading1"/>
      </w:pPr>
      <w:r>
        <w:t xml:space="preserve">4. Discussion</w:t>
      </w:r>
    </w:p>
    <w:p>
      <w:pPr>
        <w:pStyle w:val="FirstParagraph"/>
      </w:pPr>
      <w:r>
        <w:t xml:space="preserve">In this study, we provide an updated pooled effect estimate for the association between children’s lead exposure and IQ, and compare a conventional, frequentist meta-analysis to a Bayesian meta-analysis – a framework that is less used in the field of environmental epidemiology to date.</w:t>
      </w:r>
    </w:p>
    <w:p>
      <w:pPr>
        <w:pStyle w:val="BodyText"/>
      </w:pPr>
      <w:r>
        <w:t xml:space="preserve">While previous publications have compared both frameworks, they focus either on evidence-based medicine</w:t>
      </w:r>
      <w:r>
        <w:t xml:space="preserve"> </w:t>
      </w:r>
      <w:r>
        <w:t xml:space="preserve">(C Iyer et al., 2025; Hong et al., 2013; Kazi, 2026; Yao et al., 2025)</w:t>
      </w:r>
      <w:r>
        <w:t xml:space="preserve"> </w:t>
      </w:r>
      <w:r>
        <w:t xml:space="preserve">or network meta-analysis</w:t>
      </w:r>
      <w:r>
        <w:t xml:space="preserve"> </w:t>
      </w:r>
      <w:r>
        <w:t xml:space="preserve">(Sadeghirad et al., 2023; Seide et al., 2020)</w:t>
      </w:r>
      <w:r>
        <w:t xml:space="preserve"> </w:t>
      </w:r>
      <w:r>
        <w:t xml:space="preserve">and thus address methodological challenges that only partially overlap with those encountered in environmental epidemiology.</w:t>
      </w:r>
      <w:r>
        <w:t xml:space="preserve"> </w:t>
      </w:r>
      <w:r>
        <w:t xml:space="preserve">To our knowledge, this is the first study to compare Bayesian and frequentist meta-analytic approaches in this field.</w:t>
      </w:r>
    </w:p>
    <w:p>
      <w:pPr>
        <w:pStyle w:val="BodyText"/>
      </w:pPr>
      <w:r>
        <w:t xml:space="preserve">Pooled effect estimates and measures of heterogeneity were largely consistent across both frameworks, though the Bayesian model yielded slightly lower mean pooled effects.</w:t>
      </w:r>
      <w:r>
        <w:t xml:space="preserve"> </w:t>
      </w:r>
      <w:r>
        <w:t xml:space="preserve">This is attributable to posterior shrinkage, comparable to inverse-variance weighting in the frequentist framework, as illustrated by the sensitivity analyses using wide priors.</w:t>
      </w:r>
      <w:r>
        <w:t xml:space="preserve"> </w:t>
      </w:r>
      <w:r>
        <w:t xml:space="preserve">Importantly, this difference does not relevantly affect the overall interpretation of the association between lead exposure and IQ.</w:t>
      </w:r>
      <w:r>
        <w:t xml:space="preserve"> </w:t>
      </w:r>
      <w:r>
        <w:t xml:space="preserve">The two frameworks differ in how they treat outlier studies reporting substantial uncertainty.</w:t>
      </w:r>
      <w:r>
        <w:t xml:space="preserve"> </w:t>
      </w:r>
      <w:r>
        <w:t xml:space="preserve">Bayesian meta-analysis can be less sensitive to these outliers, due to the shrinkage exerted by the prior specified for heterogeneity, provided that priors reflecting plausible domain knowledge are specified carefully.</w:t>
      </w:r>
      <w:r>
        <w:t xml:space="preserve"> </w:t>
      </w:r>
      <w:r>
        <w:t xml:space="preserve">In contrast, frequentist models implicitly rely on flat or non-informative priors, which result in greater sensitivity to studies reporting large uncertainty</w:t>
      </w:r>
      <w:r>
        <w:t xml:space="preserve"> </w:t>
      </w:r>
      <w:r>
        <w:t xml:space="preserve">(Gelman et al., 2013)</w:t>
      </w:r>
      <w:r>
        <w:t xml:space="preserve">.</w:t>
      </w:r>
    </w:p>
    <w:p>
      <w:pPr>
        <w:pStyle w:val="BodyText"/>
      </w:pPr>
      <w:r>
        <w:t xml:space="preserve">Conducting a Bayesian meta-analysis can be more demanding than frequentist approaches, requiring greater statistical knowledge, explicit consideration of modelling assumptions, and typically more programming effort</w:t>
      </w:r>
      <w:r>
        <w:t xml:space="preserve"> </w:t>
      </w:r>
      <w:r>
        <w:t xml:space="preserve">(Gelman et al., 2020)</w:t>
      </w:r>
      <w:r>
        <w:t xml:space="preserve">.</w:t>
      </w:r>
      <w:r>
        <w:t xml:space="preserve"> </w:t>
      </w:r>
      <w:r>
        <w:t xml:space="preserve">While these demands may initially appear as disadvantages, they can equally be understood as methodological safeguards:</w:t>
      </w:r>
      <w:r>
        <w:t xml:space="preserve"> </w:t>
      </w:r>
      <w:r>
        <w:t xml:space="preserve">by requiring researchers to state assumptions explicitly rather than accepting software defaults, the Bayesian approach encourages deeper engagement with the data and statistical model.</w:t>
      </w:r>
    </w:p>
    <w:p>
      <w:pPr>
        <w:pStyle w:val="BodyText"/>
      </w:pPr>
      <w:r>
        <w:t xml:space="preserve">A key distinction between the two frameworks is in how they handle parameter uncertainty.</w:t>
      </w:r>
      <w:r>
        <w:t xml:space="preserve"> </w:t>
      </w:r>
      <w:r>
        <w:t xml:space="preserve">Frequentist models yield point estimates with confidence intervals, whereas Bayesian models produce full posterior distributions.</w:t>
      </w:r>
      <w:r>
        <w:t xml:space="preserve"> </w:t>
      </w:r>
      <w:r>
        <w:t xml:space="preserve">This offers distinct practical advantages, particularly for risk assessment and policy-making.</w:t>
      </w:r>
      <w:r>
        <w:t xml:space="preserve"> </w:t>
      </w:r>
      <w:r>
        <w:t xml:space="preserve">First, any credible interval can be derived from the posterior distribution to meet the needs of researchers, decision-makers, or other stakeholders.</w:t>
      </w:r>
      <w:r>
        <w:t xml:space="preserve"> </w:t>
      </w:r>
      <w:r>
        <w:t xml:space="preserve">These allow direct probability statements about parameter values, unlike confidence intervals which are often incorrectly interpreted as probability statements about parameters.</w:t>
      </w:r>
      <w:r>
        <w:t xml:space="preserve"> </w:t>
      </w:r>
      <w:r>
        <w:t xml:space="preserve">Second, posterior distributions enable probabilistic comparisons across multiple health risks, such as calculating the probability that one risk exceeds another.</w:t>
      </w:r>
      <w:r>
        <w:t xml:space="preserve"> </w:t>
      </w:r>
      <w:r>
        <w:t xml:space="preserve">When meaningful effect sizes or risk thresholds are defined, exceedance probabilities can be directly obtained from the posterior, providing an intuitive and policy-relevant summary of uncertainty.</w:t>
      </w:r>
      <w:r>
        <w:t xml:space="preserve"> </w:t>
      </w:r>
      <w:r>
        <w:t xml:space="preserve">Posterior distributions together with the specified statistical model can be used to generate predictions for theoretical future studies, offering an additional way to characterize between-study heterogeneity.</w:t>
      </w:r>
      <w:r>
        <w:t xml:space="preserve"> </w:t>
      </w:r>
      <w:r>
        <w:t xml:space="preserve">They also enable researchers to estimate the population-level health impact of an exposure under specified conditions.</w:t>
      </w:r>
      <w:r>
        <w:t xml:space="preserve"> </w:t>
      </w:r>
      <w:r>
        <w:t xml:space="preserve">This is known as Environmental Burden of Disease (EBD).</w:t>
      </w:r>
      <w:r>
        <w:t xml:space="preserve"> </w:t>
      </w:r>
      <w:r>
        <w:t xml:space="preserve">In EBD studies, health impacts are quantified using metrics such as DALYs, allowing comparisons across health determinants within and across populations, countries, and time periods.</w:t>
      </w:r>
      <w:r>
        <w:t xml:space="preserve"> </w:t>
      </w:r>
      <w:r>
        <w:t xml:space="preserve">Such assessments integrate both population exposure and the exposure–response relationship</w:t>
      </w:r>
      <w:r>
        <w:t xml:space="preserve"> </w:t>
      </w:r>
      <w:r>
        <w:t xml:space="preserve">(Prüss-Üstün et al., 2003)</w:t>
      </w:r>
      <w:r>
        <w:t xml:space="preserve">.</w:t>
      </w:r>
      <w:r>
        <w:t xml:space="preserve"> </w:t>
      </w:r>
      <w:r>
        <w:t xml:space="preserve">The distributional results of the present study enable probabilistic EBD assessments via Monte Carlo simulations without requiring additional assumptions about the uncertainty distribution of the exposure–response function.</w:t>
      </w:r>
    </w:p>
    <w:p>
      <w:pPr>
        <w:pStyle w:val="BodyText"/>
      </w:pPr>
      <w:r>
        <w:t xml:space="preserve">Our results are consistent with previous toxicological and epidemiological evidence</w:t>
      </w:r>
      <w:r>
        <w:t xml:space="preserve"> </w:t>
      </w:r>
      <w:r>
        <w:t xml:space="preserve">(Baghurst et al., 1992; Bellinger et al., 1992; EFSA Panel on Contaminants in the Food Chain (CONTAM), 2010; Lanphear et al., 2005)</w:t>
      </w:r>
      <w:r>
        <w:t xml:space="preserve"> </w:t>
      </w:r>
      <w:r>
        <w:t xml:space="preserve">as well as prior meta-analyses on the effects of lead on IQ.</w:t>
      </w:r>
      <w:r>
        <w:t xml:space="preserve"> </w:t>
      </w:r>
      <w:r>
        <w:t xml:space="preserve">Direct comparison of effect magnitudes is, however, limited by methodological differences: some studies estimated effects per exposure category</w:t>
      </w:r>
      <w:r>
        <w:t xml:space="preserve"> </w:t>
      </w:r>
      <w:r>
        <w:t xml:space="preserve">(Goodman et al., 2023; Pocock et al., 1994; Schwartz, 1994)</w:t>
      </w:r>
      <w:r>
        <w:t xml:space="preserve">, while others reported partial</w:t>
      </w:r>
      <w:r>
        <w:t xml:space="preserve"> </w:t>
      </w:r>
      <m:oMath>
        <m:r>
          <m:rPr>
            <m:nor/>
            <m:sty m:val="p"/>
          </m:rPr>
          <m:t>r</m:t>
        </m:r>
      </m:oMath>
      <w:r>
        <w:t xml:space="preserve"> </w:t>
      </w:r>
      <w:r>
        <w:t xml:space="preserve">(Needleman, 1990)</w:t>
      </w:r>
      <w:r>
        <w:t xml:space="preserve"> </w:t>
      </w:r>
      <w:r>
        <w:t xml:space="preserve">or standardized mean differences</w:t>
      </w:r>
      <w:r>
        <w:t xml:space="preserve"> </w:t>
      </w:r>
      <w:r>
        <w:t xml:space="preserve">(Heidari et al., 2022)</w:t>
      </w:r>
      <w:r>
        <w:t xml:space="preserve">.</w:t>
      </w:r>
    </w:p>
    <w:p>
      <w:pPr>
        <w:pStyle w:val="BodyText"/>
      </w:pPr>
      <w:r>
        <w:t xml:space="preserve">The RoB sensitivity analysis indicated that results are generally robust to individual-study bias.</w:t>
      </w:r>
      <w:r>
        <w:t xml:space="preserve"> </w:t>
      </w:r>
      <w:r>
        <w:t xml:space="preserve">Notably, the study published by</w:t>
      </w:r>
      <w:r>
        <w:t xml:space="preserve"> </w:t>
      </w:r>
      <w:r>
        <w:t xml:space="preserve">Crump et al. (2013)</w:t>
      </w:r>
      <w:r>
        <w:t xml:space="preserve">, which is a re-analysis of the landmark study by</w:t>
      </w:r>
      <w:r>
        <w:t xml:space="preserve"> </w:t>
      </w:r>
      <w:r>
        <w:t xml:space="preserve">Lanphear et al. (2005)</w:t>
      </w:r>
      <w:r>
        <w:t xml:space="preserve"> </w:t>
      </w:r>
      <w:r>
        <w:t xml:space="preserve">received a high RoB rating in our assessment.</w:t>
      </w:r>
      <w:r>
        <w:t xml:space="preserve"> </w:t>
      </w:r>
      <w:r>
        <w:t xml:space="preserve">Given that this re-analysis has informed multiple downstream analyses, including EBD assessments, its potential to introduce bias is a concern.</w:t>
      </w:r>
      <w:r>
        <w:t xml:space="preserve"> </w:t>
      </w:r>
      <w:r>
        <w:t xml:space="preserve">The primary driver of the high RoB rating was the use of stepwise backward-elimination regression, a method that has been extensively criticized</w:t>
      </w:r>
      <w:r>
        <w:t xml:space="preserve"> </w:t>
      </w:r>
      <w:r>
        <w:t xml:space="preserve">(Harrell, 2015; Smith, 2018; Thompson, 1995)</w:t>
      </w:r>
      <w:r>
        <w:t xml:space="preserve"> </w:t>
      </w:r>
      <w:r>
        <w:t xml:space="preserve">and is central to the findings of Crump et al.</w:t>
      </w:r>
      <w:r>
        <w:t xml:space="preserve"> </w:t>
      </w:r>
      <w:r>
        <w:t xml:space="preserve">This underscores the value of the updated evidence synthesis provided here.</w:t>
      </w:r>
    </w:p>
    <w:p>
      <w:pPr>
        <w:pStyle w:val="BodyText"/>
      </w:pPr>
      <w:r>
        <w:t xml:space="preserve">Substantial heterogeneity was observed in this meta-analysis, likely driven by differences in study populations (size, location, age, and exposure range) and statistical methods, particularly the covariate adjustment sets used.</w:t>
      </w:r>
      <w:r>
        <w:t xml:space="preserve"> </w:t>
      </w:r>
      <w:r>
        <w:t xml:space="preserve">Two studies reporting null effects were conducted in relatively low-exposed populations</w:t>
      </w:r>
      <w:r>
        <w:t xml:space="preserve"> </w:t>
      </w:r>
      <w:r>
        <w:t xml:space="preserve">(Bauer et al., 2020; Desrochers-Couture et al., 2018)</w:t>
      </w:r>
      <w:r>
        <w:t xml:space="preserve">, where limited exposure variation reduces the detectability of an effect.</w:t>
      </w:r>
      <w:r>
        <w:t xml:space="preserve"> </w:t>
      </w:r>
      <w:r>
        <w:t xml:space="preserve">Differences in study location may also contribute: IQ tests not adapted to the target population can result in underestimated scores, which may apply to the study by Menezes-Filho et al.</w:t>
      </w:r>
      <w:r>
        <w:t xml:space="preserve"> </w:t>
      </w:r>
      <w:r>
        <w:t xml:space="preserve">(Menezes-Filho et al., 2018)</w:t>
      </w:r>
      <w:r>
        <w:t xml:space="preserve">.</w:t>
      </w:r>
      <w:r>
        <w:t xml:space="preserve"> </w:t>
      </w:r>
      <w:r>
        <w:t xml:space="preserve">Additionally, studies reporting larger uncertainty tended to report larger effects, suggesting a possible presence of publication bias (supplementary file 5e).</w:t>
      </w:r>
      <w:r>
        <w:t xml:space="preserve"> </w:t>
      </w:r>
      <w:r>
        <w:t xml:space="preserve">The Bayesian approach was less sensitive to estimates from such studies, because the results of individual studies with large uncertainty were shrunk towards the pooled estimate, which is a particular advantage when pooling a small number of studies.</w:t>
      </w:r>
    </w:p>
    <w:p>
      <w:pPr>
        <w:pStyle w:val="BodyText"/>
      </w:pPr>
      <w:r>
        <w:t xml:space="preserve">This study has several limitations that should be considered when interpreting the results.</w:t>
      </w:r>
      <w:r>
        <w:t xml:space="preserve"> </w:t>
      </w:r>
      <w:r>
        <w:t xml:space="preserve">First, the included studies were heterogeneous with respect to covariate adjustment and cohort characteristics, which limits the generalizability of the pooled estimate and complicates its interpretation for specific populations.</w:t>
      </w:r>
      <w:r>
        <w:t xml:space="preserve"> </w:t>
      </w:r>
      <w:r>
        <w:t xml:space="preserve">Publication bias was assessed through visual inspection only; formal statistical testing, such as Egger’s test, would provide a more rigorous evaluation.</w:t>
      </w:r>
      <w:r>
        <w:t xml:space="preserve"> </w:t>
      </w:r>
      <w:r>
        <w:t xml:space="preserve">The visual assessment suggested the presence of publication bias, which may have led to overestimation of the pooled effect.</w:t>
      </w:r>
      <w:r>
        <w:t xml:space="preserve"> </w:t>
      </w:r>
      <w:r>
        <w:t xml:space="preserve">Third, we excluded studies that did not report effect estimates on the logarithmic scale of blood lead levels.</w:t>
      </w:r>
      <w:r>
        <w:t xml:space="preserve"> </w:t>
      </w:r>
      <w:r>
        <w:t xml:space="preserve">While this reduced the number of studies available for pooling, exclusion was necessary to ensure interpretability, as combining effect estimates expressed on different scales would render the pooled estimate uninterpretable.</w:t>
      </w:r>
      <w:r>
        <w:t xml:space="preserve"> </w:t>
      </w:r>
    </w:p>
    <w:p>
      <w:pPr>
        <w:pStyle w:val="BodyText"/>
      </w:pPr>
      <w:r>
        <w:t xml:space="preserve">Despite these limitations, this study also has several important strengths.</w:t>
      </w:r>
      <w:r>
        <w:t xml:space="preserve"> </w:t>
      </w:r>
      <w:r>
        <w:t xml:space="preserve">By applying a parallel approach to both meta-analytic models — including the use of identical effect estimates, a multilevel random-effects model, and</w:t>
      </w:r>
      <w:r>
        <w:t xml:space="preserve"> </w:t>
      </w:r>
      <m:oMath>
        <m:sSup>
          <m:e>
            <m:r>
              <m:t>I</m:t>
            </m:r>
          </m:e>
          <m:sup>
            <m:r>
              <m:t>2</m:t>
            </m:r>
          </m:sup>
        </m:sSup>
      </m:oMath>
      <w:r>
        <w:t xml:space="preserve"> </w:t>
      </w:r>
      <w:r>
        <w:t xml:space="preserve">as a common measure of heterogeneity — we enable a direct comparison of the frequentist and Bayesian frameworks.</w:t>
      </w:r>
      <w:r>
        <w:t xml:space="preserve"> </w:t>
      </w:r>
      <w:r>
        <w:t xml:space="preserve">To our knowledge, this is the first study to formally conduct such a comparison in the field of environmental epidemiology.</w:t>
      </w:r>
      <w:r>
        <w:t xml:space="preserve"> </w:t>
      </w:r>
      <w:r>
        <w:t xml:space="preserve">Beyond this methodological contribution, we provide an updated evidence synthesis on the association between lead exposure and children’s IQ based on a systematic literature review.</w:t>
      </w:r>
      <w:r>
        <w:t xml:space="preserve"> </w:t>
      </w:r>
      <w:r>
        <w:t xml:space="preserve">All data and code, including the code used to produce this manuscript, are publicly available, enabling other researchers to verify and build on our analyses.</w:t>
      </w:r>
      <w:r>
        <w:t xml:space="preserve"> </w:t>
      </w:r>
      <w:r>
        <w:t xml:space="preserve">Finally, we adhered to PRISMA and BARG reporting guidelines, along with the use of the raRoB tool for risk of bias assessment, ensuring consistency and rigor in study selection, data extraction, study quality appraisal, and statistical analysis.</w:t>
      </w:r>
    </w:p>
    <w:bookmarkEnd w:id="41"/>
    <w:bookmarkStart w:id="42"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conventional frequentist frameworks for meta-analysis.</w:t>
      </w:r>
      <w:r>
        <w:t xml:space="preserve"> </w:t>
      </w:r>
      <w:r>
        <w:t xml:space="preserve">The resulting pooled effect estimates are consistent with previous evidence and once again underscore the importance of reducing environmental lead contamination to reduce the public health burden this substance continues to impose.</w:t>
      </w:r>
    </w:p>
    <w:p>
      <w:pPr>
        <w:pStyle w:val="BodyText"/>
      </w:pP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believe that the benefits gained outweigh the investments made and therefore want to encourage researchers to consider Bayesian methods.</w:t>
      </w:r>
    </w:p>
    <w:bookmarkEnd w:id="42"/>
    <w:bookmarkStart w:id="43" w:name="list-of-abbreviations"/>
    <w:p>
      <w:pPr>
        <w:pStyle w:val="Heading1"/>
      </w:pPr>
      <w:r>
        <w:t xml:space="preserve">List of Abbreviations</w:t>
      </w:r>
    </w:p>
    <w:tbl>
      <w:tblPr>
        <w:tblStyle w:val="Table"/>
        <w:tblW w:type="pct" w:w="5000"/>
        <w:tblLayout w:type="fixed"/>
        <w:tblLook w:firstRow="1" w:lastRow="0" w:firstColumn="0" w:lastColumn="0" w:noHBand="0" w:noVBand="0" w:val="0020"/>
      </w:tblPr>
      <w:tblGrid>
        <w:gridCol w:w="1287"/>
        <w:gridCol w:w="6633"/>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BARG</w:t>
            </w:r>
          </w:p>
        </w:tc>
        <w:tc>
          <w:tcPr/>
          <w:p>
            <w:pPr>
              <w:pStyle w:val="Compact"/>
              <w:jc w:val="left"/>
            </w:pPr>
            <w:r>
              <w:t xml:space="preserve">Bayesian Analysis Reporting Guidelines</w:t>
            </w:r>
          </w:p>
        </w:tc>
      </w:tr>
      <w:tr>
        <w:tc>
          <w:tcPr/>
          <w:p>
            <w:pPr>
              <w:pStyle w:val="Compact"/>
              <w:jc w:val="left"/>
            </w:pPr>
            <w:r>
              <w:t xml:space="preserve">BLL</w:t>
            </w:r>
          </w:p>
        </w:tc>
        <w:tc>
          <w:tcPr/>
          <w:p>
            <w:pPr>
              <w:pStyle w:val="Compact"/>
              <w:jc w:val="left"/>
            </w:pPr>
            <w:r>
              <w:t xml:space="preserve">Blood lead level</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ERF</w:t>
            </w:r>
          </w:p>
        </w:tc>
        <w:tc>
          <w:tcPr/>
          <w:p>
            <w:pPr>
              <w:pStyle w:val="Compact"/>
              <w:jc w:val="left"/>
            </w:pPr>
            <w:r>
              <w:t xml:space="preserve">Exposure-response function</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PRISMA</w:t>
            </w:r>
          </w:p>
        </w:tc>
        <w:tc>
          <w:tcPr/>
          <w:p>
            <w:pPr>
              <w:pStyle w:val="Compact"/>
              <w:jc w:val="left"/>
            </w:pPr>
            <w:r>
              <w:t xml:space="preserve">Preferred Reporting Items for Systematic reviews and Meta-Analyses</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bl>
    <w:bookmarkEnd w:id="43"/>
    <w:bookmarkStart w:id="44" w:name="credit-authorship-contribution-statement"/>
    <w:p>
      <w:pPr>
        <w:pStyle w:val="Heading1"/>
      </w:pPr>
      <w:r>
        <w:t xml:space="preserve">CRediT authorship contribution statement</w:t>
      </w:r>
    </w:p>
    <w:p>
      <w:pPr>
        <w:pStyle w:val="FirstParagraph"/>
      </w:pPr>
      <w:r>
        <w:rPr>
          <w:b/>
          <w:bCs/>
        </w:rPr>
        <w:t xml:space="preserve">Paulina Sell</w:t>
      </w:r>
      <w:r>
        <w:t xml:space="preserve">: Conceptualization, Data curation, Formal analysis, Methodology, Writing - original draft, Writing – review and editing.</w:t>
      </w:r>
      <w:r>
        <w:t xml:space="preserve"> </w:t>
      </w:r>
      <w:r>
        <w:rPr>
          <w:b/>
          <w:bCs/>
        </w:rPr>
        <w:t xml:space="preserve">Margaux Sanchez</w:t>
      </w:r>
      <w:r>
        <w:t xml:space="preserve">: Data curation, Writing – review and editing.</w:t>
      </w:r>
      <w:r>
        <w:t xml:space="preserve"> </w:t>
      </w:r>
      <w:r>
        <w:rPr>
          <w:b/>
          <w:bCs/>
        </w:rPr>
        <w:t xml:space="preserve">Philippe Palmont</w:t>
      </w:r>
      <w:r>
        <w:t xml:space="preserve">: Data curation, Writing – review and editing.</w:t>
      </w:r>
      <w:r>
        <w:t xml:space="preserve"> </w:t>
      </w:r>
      <w:r>
        <w:rPr>
          <w:b/>
          <w:bCs/>
        </w:rPr>
        <w:t xml:space="preserve">Simon Steiger</w:t>
      </w:r>
      <w:r>
        <w:t xml:space="preserve">: Methodology, Writing – review and editing.</w:t>
      </w:r>
      <w:r>
        <w:t xml:space="preserve"> </w:t>
      </w:r>
      <w:r>
        <w:rPr>
          <w:b/>
          <w:bCs/>
        </w:rPr>
        <w:t xml:space="preserve">Dietrich Plass</w:t>
      </w:r>
      <w:r>
        <w:t xml:space="preserve">: Supervision, Writing – review and editing.</w:t>
      </w:r>
    </w:p>
    <w:bookmarkEnd w:id="44"/>
    <w:bookmarkStart w:id="45"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literature screening process.</w:t>
      </w:r>
    </w:p>
    <w:bookmarkEnd w:id="45"/>
    <w:bookmarkStart w:id="46"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46"/>
    <w:bookmarkStart w:id="47"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the large language model Claude Sonnet 4.6 (Anthropic) in order to assist in the risk of bias assessment of the studies included in the literature review and assess language and grammar throughout the manuscript.</w:t>
      </w:r>
      <w:r>
        <w:t xml:space="preserve"> </w:t>
      </w:r>
      <w:r>
        <w:t xml:space="preserve">After using this tool, the authors reviewed and edited the content as needed and take full responsibility for the content of the published article.</w:t>
      </w:r>
    </w:p>
    <w:bookmarkEnd w:id="47"/>
    <w:bookmarkStart w:id="171" w:name="bibliography"/>
    <w:p>
      <w:pPr>
        <w:pStyle w:val="Heading1"/>
      </w:pPr>
      <w:r>
        <w:t xml:space="preserve">References</w:t>
      </w:r>
    </w:p>
    <w:bookmarkStart w:id="170" w:name="refs"/>
    <w:bookmarkStart w:id="49" w:name="X06097e4c5e52362623b7f1c040457eb7d553acc"/>
    <w:p>
      <w:pPr>
        <w:pStyle w:val="Bibliography"/>
      </w:pPr>
      <w:r>
        <w:t xml:space="preserve">Baghurst, P.A., McMichael, A.J., Wigg, N.R., Vimpani, G.V., Robertson, E.F., Roberts, R.J., Tong, S.-L., 1992. Environmental</w:t>
      </w:r>
      <w:r>
        <w:t xml:space="preserve"> </w:t>
      </w:r>
      <w:r>
        <w:t xml:space="preserve">Exposure</w:t>
      </w:r>
      <w:r>
        <w:t xml:space="preserve"> </w:t>
      </w:r>
      <w:r>
        <w:t xml:space="preserve">to</w:t>
      </w:r>
      <w:r>
        <w:t xml:space="preserve"> </w:t>
      </w:r>
      <w:r>
        <w:t xml:space="preserve">Lead</w:t>
      </w:r>
      <w:r>
        <w:t xml:space="preserve"> </w:t>
      </w:r>
      <w:r>
        <w:t xml:space="preserve">and</w:t>
      </w:r>
      <w:r>
        <w:t xml:space="preserve"> </w:t>
      </w:r>
      <w:r>
        <w:t xml:space="preserve">Children</w:t>
      </w:r>
      <w:r>
        <w:t xml:space="preserve">’s</w:t>
      </w:r>
      <w:r>
        <w:t xml:space="preserve"> </w:t>
      </w:r>
      <w:r>
        <w:t xml:space="preserve">Intelligence</w:t>
      </w:r>
      <w:r>
        <w:t xml:space="preserve"> </w:t>
      </w:r>
      <w:r>
        <w:t xml:space="preserve">at the</w:t>
      </w:r>
      <w:r>
        <w:t xml:space="preserve"> </w:t>
      </w:r>
      <w:r>
        <w:t xml:space="preserve">Age</w:t>
      </w:r>
      <w:r>
        <w:t xml:space="preserve"> </w:t>
      </w:r>
      <w:r>
        <w:t xml:space="preserve">of</w:t>
      </w:r>
      <w:r>
        <w:t xml:space="preserve"> </w:t>
      </w:r>
      <w:r>
        <w:t xml:space="preserve">Seven Years</w:t>
      </w:r>
      <w:r>
        <w:t xml:space="preserve">:</w:t>
      </w:r>
      <w:r>
        <w:t xml:space="preserve"> </w:t>
      </w:r>
      <w:r>
        <w:t xml:space="preserve">The Port Pirie Cohort Study</w:t>
      </w:r>
      <w:r>
        <w:t xml:space="preserve">. N. Engl. J. Med. 327, 1279–1284.</w:t>
      </w:r>
      <w:r>
        <w:t xml:space="preserve"> </w:t>
      </w:r>
      <w:hyperlink r:id="rId48">
        <w:r>
          <w:rPr>
            <w:rStyle w:val="Hyperlink"/>
          </w:rPr>
          <w:t xml:space="preserve">https://doi.org/10.1056/NEJM199210293271805</w:t>
        </w:r>
      </w:hyperlink>
    </w:p>
    <w:bookmarkEnd w:id="49"/>
    <w:bookmarkStart w:id="51" w:name="ref-bauer2020AssociationsMetalMixture"/>
    <w:p>
      <w:pPr>
        <w:pStyle w:val="Bibliography"/>
      </w:pPr>
      <w:r>
        <w:t xml:space="preserve">Bauer, J.A., Devick, K.L., Bobb, J.F., Coull, B.A., Bellinger, D., Benedetti, C., Cagna, G., Fedrighi, C., Guazzetti, S., Oppini, M., et al., 2020. Associations of a</w:t>
      </w:r>
      <w:r>
        <w:t xml:space="preserve"> </w:t>
      </w:r>
      <w:r>
        <w:t xml:space="preserve">Metal Mixture Measured</w:t>
      </w:r>
      <w:r>
        <w:t xml:space="preserve"> </w:t>
      </w:r>
      <w:r>
        <w:t xml:space="preserve">in</w:t>
      </w:r>
      <w:r>
        <w:t xml:space="preserve"> </w:t>
      </w:r>
      <w:r>
        <w:t xml:space="preserve">Multiple Biomarkers</w:t>
      </w:r>
      <w:r>
        <w:t xml:space="preserve"> </w:t>
      </w:r>
      <w:r>
        <w:t xml:space="preserve">with</w:t>
      </w:r>
      <w:r>
        <w:t xml:space="preserve"> </w:t>
      </w:r>
      <w:r>
        <w:t xml:space="preserve">IQ</w:t>
      </w:r>
      <w:r>
        <w:t xml:space="preserve">:</w:t>
      </w:r>
      <w:r>
        <w:t xml:space="preserve"> </w:t>
      </w:r>
      <w:r>
        <w:t xml:space="preserve">Evidence</w:t>
      </w:r>
      <w:r>
        <w:t xml:space="preserve"> </w:t>
      </w:r>
      <w:r>
        <w:t xml:space="preserve">from</w:t>
      </w:r>
      <w:r>
        <w:t xml:space="preserve"> </w:t>
      </w:r>
      <w:r>
        <w:t xml:space="preserve">Italian Adolescents Living</w:t>
      </w:r>
      <w:r>
        <w:t xml:space="preserve"> </w:t>
      </w:r>
      <w:r>
        <w:t xml:space="preserve">near</w:t>
      </w:r>
      <w:r>
        <w:t xml:space="preserve"> </w:t>
      </w:r>
      <w:r>
        <w:t xml:space="preserve">Ferroalloy Industry</w:t>
      </w:r>
      <w:r>
        <w:t xml:space="preserve">. Environ. Health Perspect. 128, 097002.</w:t>
      </w:r>
      <w:r>
        <w:t xml:space="preserve"> </w:t>
      </w:r>
      <w:hyperlink r:id="rId50">
        <w:r>
          <w:rPr>
            <w:rStyle w:val="Hyperlink"/>
          </w:rPr>
          <w:t xml:space="preserve">https://doi.org/10.1289/EHP6803</w:t>
        </w:r>
      </w:hyperlink>
    </w:p>
    <w:bookmarkEnd w:id="51"/>
    <w:bookmarkStart w:id="53" w:name="ref-bellinger1992LowLevelLeadExposure"/>
    <w:p>
      <w:pPr>
        <w:pStyle w:val="Bibliography"/>
      </w:pPr>
      <w:r>
        <w:t xml:space="preserve">Bellinger, D.C., Stiles, K.M., Needleman, H.L., 1992. Low-</w:t>
      </w:r>
      <w:r>
        <w:t xml:space="preserve">Level Lead Exposure</w:t>
      </w:r>
      <w:r>
        <w:t xml:space="preserve">,</w:t>
      </w:r>
      <w:r>
        <w:t xml:space="preserve"> </w:t>
      </w:r>
      <w:r>
        <w:t xml:space="preserve">Intelligence</w:t>
      </w:r>
      <w:r>
        <w:t xml:space="preserve"> </w:t>
      </w:r>
      <w:r>
        <w:t xml:space="preserve">and</w:t>
      </w:r>
      <w:r>
        <w:t xml:space="preserve"> </w:t>
      </w:r>
      <w:r>
        <w:t xml:space="preserve">Academic Achievement</w:t>
      </w:r>
      <w:r>
        <w:t xml:space="preserve">:</w:t>
      </w:r>
      <w:r>
        <w:t xml:space="preserve"> </w:t>
      </w:r>
      <w:r>
        <w:t xml:space="preserve">A Long-term Follow-up Study</w:t>
      </w:r>
      <w:r>
        <w:t xml:space="preserve">. Pediatrics 90, 855–861.</w:t>
      </w:r>
      <w:r>
        <w:t xml:space="preserve"> </w:t>
      </w:r>
      <w:hyperlink r:id="rId52">
        <w:r>
          <w:rPr>
            <w:rStyle w:val="Hyperlink"/>
          </w:rPr>
          <w:t xml:space="preserve">https://doi.org/10.1542/peds.90.6.855</w:t>
        </w:r>
      </w:hyperlink>
    </w:p>
    <w:bookmarkEnd w:id="53"/>
    <w:bookmarkStart w:id="55" w:name="ref-burkner2017BrmsPackageBayesian"/>
    <w:p>
      <w:pPr>
        <w:pStyle w:val="Bibliography"/>
      </w:pPr>
      <w:r>
        <w:t xml:space="preserve">Bürkner, P.-C., 2017.</w:t>
      </w:r>
      <w:r>
        <w:t xml:space="preserve"> </w:t>
      </w:r>
      <w:r>
        <w:rPr>
          <w:b/>
          <w:bCs/>
        </w:rPr>
        <w:t xml:space="preserve">Brms</w:t>
      </w:r>
      <w:r>
        <w:t xml:space="preserve"> </w:t>
      </w:r>
      <w:r>
        <w:t xml:space="preserve">:</w:t>
      </w:r>
      <w:r>
        <w:t xml:space="preserve"> </w:t>
      </w:r>
      <w:r>
        <w:t xml:space="preserve">An</w:t>
      </w:r>
      <w:r>
        <w:t xml:space="preserve"> </w:t>
      </w:r>
      <w:r>
        <w:rPr>
          <w:i/>
          <w:iCs/>
        </w:rPr>
        <w:t xml:space="preserve">R</w:t>
      </w:r>
      <w:r>
        <w:t xml:space="preserve"> </w:t>
      </w:r>
      <w:r>
        <w:t xml:space="preserve">Package</w:t>
      </w:r>
      <w:r>
        <w:t xml:space="preserve"> </w:t>
      </w:r>
      <w:r>
        <w:t xml:space="preserve">for</w:t>
      </w:r>
      <w:r>
        <w:t xml:space="preserve"> </w:t>
      </w:r>
      <w:r>
        <w:t xml:space="preserve">Bayesian Multilevel Models Using</w:t>
      </w:r>
      <w:r>
        <w:t xml:space="preserve"> </w:t>
      </w:r>
      <w:r>
        <w:rPr>
          <w:i/>
          <w:iCs/>
        </w:rPr>
        <w:t xml:space="preserve">Stan</w:t>
      </w:r>
      <w:r>
        <w:t xml:space="preserve">. J. Stat. Softw. 80.</w:t>
      </w:r>
      <w:r>
        <w:t xml:space="preserve"> </w:t>
      </w:r>
      <w:hyperlink r:id="rId54">
        <w:r>
          <w:rPr>
            <w:rStyle w:val="Hyperlink"/>
          </w:rPr>
          <w:t xml:space="preserve">https://doi.org/10.18637/jss.v080.i01</w:t>
        </w:r>
      </w:hyperlink>
    </w:p>
    <w:bookmarkEnd w:id="55"/>
    <w:bookmarkStart w:id="57" w:name="ref-ciyer2025BayesianMetaanalysis21st"/>
    <w:p>
      <w:pPr>
        <w:pStyle w:val="Bibliography"/>
      </w:pPr>
      <w:r>
        <w:t xml:space="preserve">C Iyer, S., Yap, Q.V., Soong, J., Cove, M., 2025. Bayesian meta-analysis in the 21st century:</w:t>
      </w:r>
      <w:r>
        <w:t xml:space="preserve"> </w:t>
      </w:r>
      <w:r>
        <w:t xml:space="preserve">Fad</w:t>
      </w:r>
      <w:r>
        <w:t xml:space="preserve"> </w:t>
      </w:r>
      <w:r>
        <w:t xml:space="preserve">or future of evidence synthesis? Ann. Acad. Med. Singapore 54, 437.</w:t>
      </w:r>
      <w:r>
        <w:t xml:space="preserve"> </w:t>
      </w:r>
      <w:hyperlink r:id="rId56">
        <w:r>
          <w:rPr>
            <w:rStyle w:val="Hyperlink"/>
          </w:rPr>
          <w:t xml:space="preserve">https://doi.org/10.47102/annals-acadmedsg.2025104</w:t>
        </w:r>
      </w:hyperlink>
    </w:p>
    <w:bookmarkEnd w:id="57"/>
    <w:bookmarkStart w:id="59" w:name="Xa2086c2c3f6a9ac4b676f66b1cdbbd5efdb3b23"/>
    <w:p>
      <w:pPr>
        <w:pStyle w:val="Bibliography"/>
      </w:pPr>
      <w:r>
        <w:t xml:space="preserve">Canfield, R.L., Henderson, C.R., Cory-Slechta, D.A., Cox, C., Jusko, T.A., Lanphear, B.P., 2003. Intellectual</w:t>
      </w:r>
      <w:r>
        <w:t xml:space="preserve"> </w:t>
      </w:r>
      <w:r>
        <w:t xml:space="preserve">Impairment</w:t>
      </w:r>
      <w:r>
        <w:t xml:space="preserve"> </w:t>
      </w:r>
      <w:r>
        <w:t xml:space="preserve">in</w:t>
      </w:r>
      <w:r>
        <w:t xml:space="preserve"> </w:t>
      </w:r>
      <w:r>
        <w:t xml:space="preserve">Children</w:t>
      </w:r>
      <w:r>
        <w:t xml:space="preserve"> </w:t>
      </w:r>
      <w:r>
        <w:t xml:space="preserve">with</w:t>
      </w:r>
      <w:r>
        <w:t xml:space="preserve"> </w:t>
      </w:r>
      <w:r>
        <w:t xml:space="preserve">Blood Lead Concentrations</w:t>
      </w:r>
      <w:r>
        <w:t xml:space="preserve"> </w:t>
      </w:r>
      <w:r>
        <w:t xml:space="preserve">below 10</w:t>
      </w:r>
      <w:r>
        <w:t xml:space="preserve"> </w:t>
      </w:r>
      <m:oMath>
        <m:r>
          <m:t>μ</m:t>
        </m:r>
      </m:oMath>
      <w:r>
        <w:t xml:space="preserve">g per</w:t>
      </w:r>
      <w:r>
        <w:t xml:space="preserve"> </w:t>
      </w:r>
      <w:r>
        <w:t xml:space="preserve">Deciliter</w:t>
      </w:r>
      <w:r>
        <w:t xml:space="preserve">. N. Engl. J. Med. 348, 1517–1526.</w:t>
      </w:r>
      <w:r>
        <w:t xml:space="preserve"> </w:t>
      </w:r>
      <w:hyperlink r:id="rId58">
        <w:r>
          <w:rPr>
            <w:rStyle w:val="Hyperlink"/>
          </w:rPr>
          <w:t xml:space="preserve">https://doi.org/10.1056/NEJMoa022848</w:t>
        </w:r>
      </w:hyperlink>
    </w:p>
    <w:bookmarkEnd w:id="59"/>
    <w:bookmarkStart w:id="61" w:name="X93c1fc7f8e1220d02cbab90c02ac44248f2b23e"/>
    <w:p>
      <w:pPr>
        <w:pStyle w:val="Bibliography"/>
      </w:pPr>
      <w:r>
        <w:t xml:space="preserve">Carrington, C., Devleesschauwer, B., Gibb, H.J., Bolger, P.M., 2019. Global burden of intellectual disability resulting from dietary exposure to lead, 2015. Environ. Res. 172, 420–429.</w:t>
      </w:r>
      <w:r>
        <w:t xml:space="preserve"> </w:t>
      </w:r>
      <w:hyperlink r:id="rId60">
        <w:r>
          <w:rPr>
            <w:rStyle w:val="Hyperlink"/>
          </w:rPr>
          <w:t xml:space="preserve">https://doi.org/10.1016/j.envres.2019.02.023</w:t>
        </w:r>
      </w:hyperlink>
    </w:p>
    <w:bookmarkEnd w:id="61"/>
    <w:bookmarkStart w:id="63" w:name="ref-chang2006LowBloodLead"/>
    <w:p>
      <w:pPr>
        <w:pStyle w:val="Bibliography"/>
      </w:pPr>
      <w:r>
        <w:t xml:space="preserve">Chang, S.-H., Cheng, B.-H., Lee, S.-L., Chuang, H.-Y., Yang, C.-Y., Sung, F.-C., Wu, T.-N., 2006. Low blood lead concentration in association with infertility in women. Environ. Res. 101, 380–386.</w:t>
      </w:r>
      <w:r>
        <w:t xml:space="preserve"> </w:t>
      </w:r>
      <w:hyperlink r:id="rId62">
        <w:r>
          <w:rPr>
            <w:rStyle w:val="Hyperlink"/>
          </w:rPr>
          <w:t xml:space="preserve">https://doi.org/10.1016/j.envres.2005.10.004</w:t>
        </w:r>
      </w:hyperlink>
    </w:p>
    <w:bookmarkEnd w:id="63"/>
    <w:bookmarkStart w:id="65" w:name="ref-chen2005IQBloodLead"/>
    <w:p>
      <w:pPr>
        <w:pStyle w:val="Bibliography"/>
      </w:pPr>
      <w:r>
        <w:t xml:space="preserve">Chen, A., Dietrich, K.N., Ware, J.H., Radcliffe, J., Rogan, W.J., 2005.</w:t>
      </w:r>
      <w:r>
        <w:t xml:space="preserve"> </w:t>
      </w:r>
      <w:r>
        <w:t xml:space="preserve">IQ</w:t>
      </w:r>
      <w:r>
        <w:t xml:space="preserve"> </w:t>
      </w:r>
      <w:r>
        <w:t xml:space="preserve">and</w:t>
      </w:r>
      <w:r>
        <w:t xml:space="preserve"> </w:t>
      </w:r>
      <w:r>
        <w:t xml:space="preserve">Blood Lead</w:t>
      </w:r>
      <w:r>
        <w:t xml:space="preserve"> </w:t>
      </w:r>
      <w:r>
        <w:t xml:space="preserve">from 2 to 7</w:t>
      </w:r>
      <w:r>
        <w:t xml:space="preserve"> </w:t>
      </w:r>
      <w:r>
        <w:t xml:space="preserve">Years</w:t>
      </w:r>
      <w:r>
        <w:t xml:space="preserve"> </w:t>
      </w:r>
      <w:r>
        <w:t xml:space="preserve">of</w:t>
      </w:r>
      <w:r>
        <w:t xml:space="preserve"> </w:t>
      </w:r>
      <w:r>
        <w:t xml:space="preserve">Age</w:t>
      </w:r>
      <w:r>
        <w:t xml:space="preserve">:</w:t>
      </w:r>
      <w:r>
        <w:t xml:space="preserve"> </w:t>
      </w:r>
      <w:r>
        <w:t xml:space="preserve">Are</w:t>
      </w:r>
      <w:r>
        <w:t xml:space="preserve"> </w:t>
      </w:r>
      <w:r>
        <w:t xml:space="preserve">the</w:t>
      </w:r>
      <w:r>
        <w:t xml:space="preserve"> </w:t>
      </w:r>
      <w:r>
        <w:t xml:space="preserve">Effects</w:t>
      </w:r>
      <w:r>
        <w:t xml:space="preserve"> </w:t>
      </w:r>
      <w:r>
        <w:t xml:space="preserve">in</w:t>
      </w:r>
      <w:r>
        <w:t xml:space="preserve"> </w:t>
      </w:r>
      <w:r>
        <w:t xml:space="preserve">Older Children</w:t>
      </w:r>
      <w:r>
        <w:t xml:space="preserve"> </w:t>
      </w:r>
      <w:r>
        <w:t xml:space="preserve">the</w:t>
      </w:r>
      <w:r>
        <w:t xml:space="preserve"> </w:t>
      </w:r>
      <w:r>
        <w:t xml:space="preserve">Residual</w:t>
      </w:r>
      <w:r>
        <w:t xml:space="preserve"> </w:t>
      </w:r>
      <w:r>
        <w:t xml:space="preserve">of</w:t>
      </w:r>
      <w:r>
        <w:t xml:space="preserve"> </w:t>
      </w:r>
      <w:r>
        <w:t xml:space="preserve">High Blood Lead Concentrations</w:t>
      </w:r>
      <w:r>
        <w:t xml:space="preserve"> </w:t>
      </w:r>
      <w:r>
        <w:t xml:space="preserve">in 2-</w:t>
      </w:r>
      <w:r>
        <w:t xml:space="preserve">Year-Olds</w:t>
      </w:r>
      <w:r>
        <w:t xml:space="preserve">? Environ. Health Perspect. 113, 597–601.</w:t>
      </w:r>
      <w:r>
        <w:t xml:space="preserve"> </w:t>
      </w:r>
      <w:hyperlink r:id="rId64">
        <w:r>
          <w:rPr>
            <w:rStyle w:val="Hyperlink"/>
          </w:rPr>
          <w:t xml:space="preserve">https://doi.org/10.1289/ehp.7625</w:t>
        </w:r>
      </w:hyperlink>
    </w:p>
    <w:bookmarkEnd w:id="65"/>
    <w:bookmarkStart w:id="67" w:name="ref-crump2013StatisticalReevaluationData"/>
    <w:p>
      <w:pPr>
        <w:pStyle w:val="Bibliography"/>
      </w:pPr>
      <w:r>
        <w:t xml:space="preserve">Crump, K.S., Van Landingham, C., Bowers, T.S., Cahoy, D., Chandalia, J.K., 2013. A statistical reevaluation of the data used in the</w:t>
      </w:r>
      <w:r>
        <w:t xml:space="preserve"> </w:t>
      </w:r>
      <w:r>
        <w:t xml:space="preserve">Lanphear</w:t>
      </w:r>
      <w:r>
        <w:t xml:space="preserve"> </w:t>
      </w:r>
      <w:r>
        <w:t xml:space="preserve">et al. ( 2005 ) pooled-analysis that related low levels of blood lead to intellectual deficits in children. Crit Rev Toxicol 43, 785–99.</w:t>
      </w:r>
      <w:r>
        <w:t xml:space="preserve"> </w:t>
      </w:r>
      <w:hyperlink r:id="rId66">
        <w:r>
          <w:rPr>
            <w:rStyle w:val="Hyperlink"/>
          </w:rPr>
          <w:t xml:space="preserve">https://doi.org/10.3109/10408444.2013.832726</w:t>
        </w:r>
      </w:hyperlink>
    </w:p>
    <w:bookmarkEnd w:id="67"/>
    <w:bookmarkStart w:id="69" w:name="ref-dantzer2020ComparisonBloodToenails"/>
    <w:p>
      <w:pPr>
        <w:pStyle w:val="Bibliography"/>
      </w:pPr>
      <w:r>
        <w:t xml:space="preserve">Dantzer, J., Ryan, P., Yolton, K., Parsons, P.J., Palmer, C.D., Cecil, K., Unrine, J.M., 2020. A comparison of blood and toenails as biomarkers of children’s exposure to lead and their correlation with cognitive function. Sci. Total Environ. 700, 134519.</w:t>
      </w:r>
      <w:r>
        <w:t xml:space="preserve"> </w:t>
      </w:r>
      <w:hyperlink r:id="rId68">
        <w:r>
          <w:rPr>
            <w:rStyle w:val="Hyperlink"/>
          </w:rPr>
          <w:t xml:space="preserve">https://doi.org/10.1016/j.scitotenv.2019.134519</w:t>
        </w:r>
      </w:hyperlink>
    </w:p>
    <w:bookmarkEnd w:id="69"/>
    <w:bookmarkStart w:id="71" w:name="X6bc65313eadd1b86059eb4ba10c8cf9d91be17d"/>
    <w:p>
      <w:pPr>
        <w:pStyle w:val="Bibliography"/>
      </w:pPr>
      <w:r>
        <w:t xml:space="preserve">Desrochers-Couture, M., Oulhote, Y., Arbuckle, T.E., Fraser, W.D., Séguin, J.R., Ouellet, E., Forget-Dubois, N., Ayotte, P., Boivin, M., Lanphear, B.P., et al., 2018. Prenatal, concurrent, and sex-specific associations between blood lead concentrations and</w:t>
      </w:r>
      <w:r>
        <w:t xml:space="preserve"> </w:t>
      </w:r>
      <w:r>
        <w:t xml:space="preserve">IQ</w:t>
      </w:r>
      <w:r>
        <w:t xml:space="preserve"> </w:t>
      </w:r>
      <w:r>
        <w:t xml:space="preserve">in preschool</w:t>
      </w:r>
      <w:r>
        <w:t xml:space="preserve"> </w:t>
      </w:r>
      <w:r>
        <w:t xml:space="preserve">Canadian</w:t>
      </w:r>
      <w:r>
        <w:t xml:space="preserve"> </w:t>
      </w:r>
      <w:r>
        <w:t xml:space="preserve">children. Environ. Int. 121, 1235–1242.</w:t>
      </w:r>
      <w:r>
        <w:t xml:space="preserve"> </w:t>
      </w:r>
      <w:hyperlink r:id="rId70">
        <w:r>
          <w:rPr>
            <w:rStyle w:val="Hyperlink"/>
          </w:rPr>
          <w:t xml:space="preserve">https://doi.org/10.1016/j.envint.2018.10.043</w:t>
        </w:r>
      </w:hyperlink>
    </w:p>
    <w:bookmarkEnd w:id="71"/>
    <w:bookmarkStart w:id="73" w:name="Xadfdab0209e4a364d9fdcffecfddb00700d2db9"/>
    <w:p>
      <w:pPr>
        <w:pStyle w:val="Bibliography"/>
      </w:pPr>
      <w:r>
        <w:t xml:space="preserve">Dimitrov, L.V., Kaminski, J.W., Holbrook, J.R., Bitsko, R.H., Yeh, M., Courtney, J.G., O’Masta, B., Maher, B., Cerles, A., McGowan, K., et al., 2024. A</w:t>
      </w:r>
      <w:r>
        <w:t xml:space="preserve"> </w:t>
      </w:r>
      <w:r>
        <w:t xml:space="preserve">Systematic Review</w:t>
      </w:r>
      <w:r>
        <w:t xml:space="preserve"> </w:t>
      </w:r>
      <w:r>
        <w:t xml:space="preserve">and</w:t>
      </w:r>
      <w:r>
        <w:t xml:space="preserve"> </w:t>
      </w:r>
      <w:r>
        <w:t xml:space="preserve">Meta-analysis</w:t>
      </w:r>
      <w:r>
        <w:t xml:space="preserve"> </w:t>
      </w:r>
      <w:r>
        <w:t xml:space="preserve">of</w:t>
      </w:r>
      <w:r>
        <w:t xml:space="preserve"> </w:t>
      </w:r>
      <w:r>
        <w:t xml:space="preserve">Chemical Exposures</w:t>
      </w:r>
      <w:r>
        <w:t xml:space="preserve"> </w:t>
      </w:r>
      <w:r>
        <w:t xml:space="preserve">and</w:t>
      </w:r>
      <w:r>
        <w:t xml:space="preserve"> </w:t>
      </w:r>
      <w:r>
        <w:t xml:space="preserve">Attention-Deficit</w:t>
      </w:r>
      <w:r>
        <w:t xml:space="preserve">/</w:t>
      </w:r>
      <w:r>
        <w:t xml:space="preserve">Hyperactivity Disorder</w:t>
      </w:r>
      <w:r>
        <w:t xml:space="preserve"> </w:t>
      </w:r>
      <w:r>
        <w:t xml:space="preserve">in</w:t>
      </w:r>
      <w:r>
        <w:t xml:space="preserve"> </w:t>
      </w:r>
      <w:r>
        <w:t xml:space="preserve">Children</w:t>
      </w:r>
      <w:r>
        <w:t xml:space="preserve">. Prev. Sci. 25, 225–248.</w:t>
      </w:r>
      <w:r>
        <w:t xml:space="preserve"> </w:t>
      </w:r>
      <w:hyperlink r:id="rId72">
        <w:r>
          <w:rPr>
            <w:rStyle w:val="Hyperlink"/>
          </w:rPr>
          <w:t xml:space="preserve">https://doi.org/10.1007/s11121-023-01601-6</w:t>
        </w:r>
      </w:hyperlink>
    </w:p>
    <w:bookmarkEnd w:id="73"/>
    <w:bookmarkStart w:id="75" w:name="ref-earl2016LowlevelEnvironmentalLead"/>
    <w:p>
      <w:pPr>
        <w:pStyle w:val="Bibliography"/>
      </w:pPr>
      <w:r>
        <w:t xml:space="preserve">Earl, R., Burns, N., Nettelbeck, T., Baghurst, P., 2016. Low-level environmental lead exposure still negatively associated with children’s cognitive abilities. Aust. J. Psychol. 68, 98–106.</w:t>
      </w:r>
      <w:r>
        <w:t xml:space="preserve"> </w:t>
      </w:r>
      <w:hyperlink r:id="rId74">
        <w:r>
          <w:rPr>
            <w:rStyle w:val="Hyperlink"/>
          </w:rPr>
          <w:t xml:space="preserve">https://doi.org/10.1111/ajpy.12096</w:t>
        </w:r>
      </w:hyperlink>
    </w:p>
    <w:bookmarkEnd w:id="75"/>
    <w:bookmarkStart w:id="77" w:name="X4707f3a4b72a0982487545f9dc3d674642af108"/>
    <w:p>
      <w:pPr>
        <w:pStyle w:val="Bibliography"/>
      </w:pPr>
      <w:r>
        <w:t xml:space="preserve">EFSA, 2012. Lead dietary exposure in the</w:t>
      </w:r>
      <w:r>
        <w:t xml:space="preserve"> </w:t>
      </w:r>
      <w:r>
        <w:t xml:space="preserve">European</w:t>
      </w:r>
      <w:r>
        <w:t xml:space="preserve"> </w:t>
      </w:r>
      <w:r>
        <w:t xml:space="preserve">population. EFSA J. 10.</w:t>
      </w:r>
      <w:r>
        <w:t xml:space="preserve"> </w:t>
      </w:r>
      <w:hyperlink r:id="rId76">
        <w:r>
          <w:rPr>
            <w:rStyle w:val="Hyperlink"/>
          </w:rPr>
          <w:t xml:space="preserve">https://doi.org/10.2903/j.efsa.2012.2831</w:t>
        </w:r>
      </w:hyperlink>
    </w:p>
    <w:bookmarkEnd w:id="77"/>
    <w:bookmarkStart w:id="79" w:name="X5615fc1cb9c455a90da75660348bda09fd0f967"/>
    <w:p>
      <w:pPr>
        <w:pStyle w:val="Bibliography"/>
      </w:pPr>
      <w:r>
        <w:t xml:space="preserve">EFSA Panel on Contaminants in the Food Chain (CONTAM), 2010. Scientific</w:t>
      </w:r>
      <w:r>
        <w:t xml:space="preserve"> </w:t>
      </w:r>
      <w:r>
        <w:t xml:space="preserve">Opinion</w:t>
      </w:r>
      <w:r>
        <w:t xml:space="preserve"> </w:t>
      </w:r>
      <w:r>
        <w:t xml:space="preserve">on</w:t>
      </w:r>
      <w:r>
        <w:t xml:space="preserve"> </w:t>
      </w:r>
      <w:r>
        <w:t xml:space="preserve">Lead</w:t>
      </w:r>
      <w:r>
        <w:t xml:space="preserve"> </w:t>
      </w:r>
      <w:r>
        <w:t xml:space="preserve">in</w:t>
      </w:r>
      <w:r>
        <w:t xml:space="preserve"> </w:t>
      </w:r>
      <w:r>
        <w:t xml:space="preserve">Food</w:t>
      </w:r>
      <w:r>
        <w:t xml:space="preserve">. EFSA J. 8, 1570.</w:t>
      </w:r>
      <w:r>
        <w:t xml:space="preserve"> </w:t>
      </w:r>
      <w:hyperlink r:id="rId78">
        <w:r>
          <w:rPr>
            <w:rStyle w:val="Hyperlink"/>
          </w:rPr>
          <w:t xml:space="preserve">https://doi.org/10.2903/j.efsa.2010.1570</w:t>
        </w:r>
      </w:hyperlink>
    </w:p>
    <w:bookmarkEnd w:id="79"/>
    <w:bookmarkStart w:id="81" w:name="ref-figueroa2024LossCognitiveFunction"/>
    <w:p>
      <w:pPr>
        <w:pStyle w:val="Bibliography"/>
      </w:pPr>
      <w:r>
        <w:t xml:space="preserve">Figueroa, J.L., Rodríguez-Atristain, A., Bautista-Arredondo, L.F., Treviño, C.L., Martínez, M.R., Valdivia, B.T., Avalos-Alvarez, S.V., Sánchez-Morales, J.E., Fuller, R., Bautista-Arredondo, S., et al., 2024. Loss of cognitive function in</w:t>
      </w:r>
      <w:r>
        <w:t xml:space="preserve"> </w:t>
      </w:r>
      <w:r>
        <w:t xml:space="preserve">Mexican</w:t>
      </w:r>
      <w:r>
        <w:t xml:space="preserve"> </w:t>
      </w:r>
      <w:r>
        <w:t xml:space="preserve">children due to lead exposure and the associated economic costs. Environ. Res. 263, 120013.</w:t>
      </w:r>
      <w:r>
        <w:t xml:space="preserve"> </w:t>
      </w:r>
      <w:hyperlink r:id="rId80">
        <w:r>
          <w:rPr>
            <w:rStyle w:val="Hyperlink"/>
          </w:rPr>
          <w:t xml:space="preserve">https://doi.org/10.1016/j.envres.2024.120013</w:t>
        </w:r>
      </w:hyperlink>
    </w:p>
    <w:bookmarkEnd w:id="81"/>
    <w:bookmarkStart w:id="82" w:name="X21bf392f662dc1b38e9a7fa4b314fc7a471696b"/>
    <w:p>
      <w:pPr>
        <w:pStyle w:val="Bibliography"/>
      </w:pPr>
      <w:r>
        <w:t xml:space="preserve">Gabry J, Mahr T, 2025. Bayesplot:</w:t>
      </w:r>
      <w:r>
        <w:t xml:space="preserve"> </w:t>
      </w:r>
      <w:r>
        <w:t xml:space="preserve">Plotting</w:t>
      </w:r>
      <w:r>
        <w:t xml:space="preserve"> </w:t>
      </w:r>
      <w:r>
        <w:t xml:space="preserve">for</w:t>
      </w:r>
      <w:r>
        <w:t xml:space="preserve"> </w:t>
      </w:r>
      <w:r>
        <w:t xml:space="preserve">Bayesian Models</w:t>
      </w:r>
      <w:r>
        <w:t xml:space="preserve">.</w:t>
      </w:r>
    </w:p>
    <w:bookmarkEnd w:id="82"/>
    <w:bookmarkStart w:id="84" w:name="ref-gelman2013Chapter4Asymptotics"/>
    <w:p>
      <w:pPr>
        <w:pStyle w:val="Bibliography"/>
      </w:pPr>
      <w:r>
        <w:t xml:space="preserve">Gelman, A., Carlin, J.B., Stern, H.S., David B. Dunson, Vehtari, A., Rubin, D.B., 2013. Chapter 4 -</w:t>
      </w:r>
      <w:r>
        <w:t xml:space="preserve"> </w:t>
      </w:r>
      <w:r>
        <w:t xml:space="preserve">Asymptotics</w:t>
      </w:r>
      <w:r>
        <w:t xml:space="preserve"> </w:t>
      </w:r>
      <w:r>
        <w:t xml:space="preserve">and connections to non-</w:t>
      </w:r>
      <w:r>
        <w:t xml:space="preserve">Bayesian</w:t>
      </w:r>
      <w:r>
        <w:t xml:space="preserve"> </w:t>
      </w:r>
      <w:r>
        <w:t xml:space="preserve">approaches, in: Bayesian</w:t>
      </w:r>
      <w:r>
        <w:t xml:space="preserve"> </w:t>
      </w:r>
      <w:r>
        <w:t xml:space="preserve">Data Analysis</w:t>
      </w:r>
      <w:r>
        <w:t xml:space="preserve">.</w:t>
      </w:r>
      <w:r>
        <w:t xml:space="preserve"> </w:t>
      </w:r>
      <w:r>
        <w:t xml:space="preserve">Chapman and Hall/CRC</w:t>
      </w:r>
      <w:r>
        <w:t xml:space="preserve">.</w:t>
      </w:r>
      <w:r>
        <w:t xml:space="preserve"> </w:t>
      </w:r>
      <w:hyperlink r:id="rId83">
        <w:r>
          <w:rPr>
            <w:rStyle w:val="Hyperlink"/>
          </w:rPr>
          <w:t xml:space="preserve">https://doi.org/10.1201/b16018</w:t>
        </w:r>
      </w:hyperlink>
    </w:p>
    <w:bookmarkEnd w:id="84"/>
    <w:bookmarkStart w:id="86" w:name="ref-gelman2020BayesianWorkflow"/>
    <w:p>
      <w:pPr>
        <w:pStyle w:val="Bibliography"/>
      </w:pPr>
      <w:r>
        <w:t xml:space="preserve">Gelman, A., Vehtari, A., Simpson, D., Margossian, C.C., Carpenter, B., Yao, Y., Kennedy, L., Gabry, J., Bürkner, P.-C., Modrák, M., 2020. Bayesian</w:t>
      </w:r>
      <w:r>
        <w:t xml:space="preserve"> </w:t>
      </w:r>
      <w:r>
        <w:t xml:space="preserve">Workflow</w:t>
      </w:r>
      <w:r>
        <w:t xml:space="preserve">.</w:t>
      </w:r>
      <w:r>
        <w:t xml:space="preserve"> </w:t>
      </w:r>
      <w:hyperlink r:id="rId85">
        <w:r>
          <w:rPr>
            <w:rStyle w:val="Hyperlink"/>
          </w:rPr>
          <w:t xml:space="preserve">https://doi.org/10.48550/ARXIV.2011.01808</w:t>
        </w:r>
      </w:hyperlink>
    </w:p>
    <w:bookmarkEnd w:id="86"/>
    <w:bookmarkStart w:id="88" w:name="ref-goodman2023SexDifferencePre"/>
    <w:p>
      <w:pPr>
        <w:pStyle w:val="Bibliography"/>
      </w:pPr>
      <w:r>
        <w:t xml:space="preserve">Goodman, C.V., Green, R., DaCosta, A., Flora, D., Lanphear, B., Till, C., 2023. Sex difference of pre- and post-natal exposure to six developmental neurotoxicants on intellectual abilities: A systematic review and meta-analysis of human studies. Environ. Health 22, 80.</w:t>
      </w:r>
      <w:r>
        <w:t xml:space="preserve"> </w:t>
      </w:r>
      <w:hyperlink r:id="rId87">
        <w:r>
          <w:rPr>
            <w:rStyle w:val="Hyperlink"/>
          </w:rPr>
          <w:t xml:space="preserve">https://doi.org/10.1186/s12940-023-01029-z</w:t>
        </w:r>
      </w:hyperlink>
    </w:p>
    <w:bookmarkEnd w:id="88"/>
    <w:bookmarkStart w:id="90" w:name="X035620408d1fb22c7ed381e74f0468c30df4612"/>
    <w:p>
      <w:pPr>
        <w:pStyle w:val="Bibliography"/>
      </w:pPr>
      <w:r>
        <w:t xml:space="preserve">Grant, R., Di Tanna, G.L., 2025. Bayesian</w:t>
      </w:r>
      <w:r>
        <w:t xml:space="preserve"> </w:t>
      </w:r>
      <w:r>
        <w:t xml:space="preserve">Meta-Analysis</w:t>
      </w:r>
      <w:r>
        <w:t xml:space="preserve">:</w:t>
      </w:r>
      <w:r>
        <w:t xml:space="preserve"> </w:t>
      </w:r>
      <w:r>
        <w:t xml:space="preserve">A Practical Introduction</w:t>
      </w:r>
      <w:r>
        <w:t xml:space="preserve">, 1st ed.</w:t>
      </w:r>
      <w:r>
        <w:t xml:space="preserve"> </w:t>
      </w:r>
      <w:r>
        <w:t xml:space="preserve">Chapman and Hall/CRC</w:t>
      </w:r>
      <w:r>
        <w:t xml:space="preserve">, Boca Raton.</w:t>
      </w:r>
      <w:r>
        <w:t xml:space="preserve"> </w:t>
      </w:r>
      <w:hyperlink r:id="rId89">
        <w:r>
          <w:rPr>
            <w:rStyle w:val="Hyperlink"/>
          </w:rPr>
          <w:t xml:space="preserve">https://doi.org/10.1201/9781003375821</w:t>
        </w:r>
      </w:hyperlink>
    </w:p>
    <w:bookmarkEnd w:id="90"/>
    <w:bookmarkStart w:id="92" w:name="ref-halabicky2023LowLevelLead"/>
    <w:p>
      <w:pPr>
        <w:pStyle w:val="Bibliography"/>
      </w:pPr>
      <w:r>
        <w:t xml:space="preserve">Halabicky, O.M., Pinto-Martin, J.A., Compton, P., Liu, J., 2023. Low level lead exposure in early childhood and parental education on adolescent</w:t>
      </w:r>
      <w:r>
        <w:t xml:space="preserve"> </w:t>
      </w:r>
      <w:r>
        <w:t xml:space="preserve">IQ</w:t>
      </w:r>
      <w:r>
        <w:t xml:space="preserve"> </w:t>
      </w:r>
      <w:r>
        <w:t xml:space="preserve">and working memory: A cohort study. J. Exposure Sci. Environ. Epidemiol. 33, 168–176.</w:t>
      </w:r>
      <w:r>
        <w:t xml:space="preserve"> </w:t>
      </w:r>
      <w:hyperlink r:id="rId91">
        <w:r>
          <w:rPr>
            <w:rStyle w:val="Hyperlink"/>
          </w:rPr>
          <w:t xml:space="preserve">https://doi.org/10.1038/s41370-022-00450-9</w:t>
        </w:r>
      </w:hyperlink>
    </w:p>
    <w:bookmarkEnd w:id="92"/>
    <w:bookmarkStart w:id="94" w:name="ref-harari2018BloodLeadLevels"/>
    <w:p>
      <w:pPr>
        <w:pStyle w:val="Bibliography"/>
      </w:pPr>
      <w:r>
        <w:t xml:space="preserve">Harari, F., Sallsten, G., Christensson, A., Petkovic, M., Hedblad, B., Forsgard, N., Melander, O., Nilsson, P.M., Borné, Y., Engström, G., et al., 2018. Blood</w:t>
      </w:r>
      <w:r>
        <w:t xml:space="preserve"> </w:t>
      </w:r>
      <w:r>
        <w:t xml:space="preserve">Lead Levels</w:t>
      </w:r>
      <w:r>
        <w:t xml:space="preserve"> </w:t>
      </w:r>
      <w:r>
        <w:t xml:space="preserve">and</w:t>
      </w:r>
      <w:r>
        <w:t xml:space="preserve"> </w:t>
      </w:r>
      <w:r>
        <w:t xml:space="preserve">Decreased Kidney Function</w:t>
      </w:r>
      <w:r>
        <w:t xml:space="preserve"> </w:t>
      </w:r>
      <w:r>
        <w:t xml:space="preserve">in a</w:t>
      </w:r>
      <w:r>
        <w:t xml:space="preserve"> </w:t>
      </w:r>
      <w:r>
        <w:t xml:space="preserve">Population-Based Cohort</w:t>
      </w:r>
      <w:r>
        <w:t xml:space="preserve">. Am. J. Kidney Dis. 72, 381–389.</w:t>
      </w:r>
      <w:r>
        <w:t xml:space="preserve"> </w:t>
      </w:r>
      <w:hyperlink r:id="rId93">
        <w:r>
          <w:rPr>
            <w:rStyle w:val="Hyperlink"/>
          </w:rPr>
          <w:t xml:space="preserve">https://doi.org/10.1053/j.ajkd.2018.02.358</w:t>
        </w:r>
      </w:hyperlink>
    </w:p>
    <w:bookmarkEnd w:id="94"/>
    <w:bookmarkStart w:id="96" w:name="Xec30ec7c912152a14c0f622040312567154bf15"/>
    <w:p>
      <w:pPr>
        <w:pStyle w:val="Bibliography"/>
      </w:pPr>
      <w:r>
        <w:t xml:space="preserve">Harrell, F.E., 2015. Regression</w:t>
      </w:r>
      <w:r>
        <w:t xml:space="preserve"> </w:t>
      </w:r>
      <w:r>
        <w:t xml:space="preserve">Modeling Strategies</w:t>
      </w:r>
      <w:r>
        <w:t xml:space="preserve">:</w:t>
      </w:r>
      <w:r>
        <w:t xml:space="preserve"> </w:t>
      </w:r>
      <w:r>
        <w:t xml:space="preserve">With Applications</w:t>
      </w:r>
      <w:r>
        <w:t xml:space="preserve"> </w:t>
      </w:r>
      <w:r>
        <w:t xml:space="preserve">to</w:t>
      </w:r>
      <w:r>
        <w:t xml:space="preserve"> </w:t>
      </w:r>
      <w:r>
        <w:t xml:space="preserve">Linear Models</w:t>
      </w:r>
      <w:r>
        <w:t xml:space="preserve">,</w:t>
      </w:r>
      <w:r>
        <w:t xml:space="preserve"> </w:t>
      </w:r>
      <w:r>
        <w:t xml:space="preserve">Logistic</w:t>
      </w:r>
      <w:r>
        <w:t xml:space="preserve"> </w:t>
      </w:r>
      <w:r>
        <w:t xml:space="preserve">and</w:t>
      </w:r>
      <w:r>
        <w:t xml:space="preserve"> </w:t>
      </w:r>
      <w:r>
        <w:t xml:space="preserve">Ordinal Regression</w:t>
      </w:r>
      <w:r>
        <w:t xml:space="preserve">, and</w:t>
      </w:r>
      <w:r>
        <w:t xml:space="preserve"> </w:t>
      </w:r>
      <w:r>
        <w:t xml:space="preserve">Survival Analysis</w:t>
      </w:r>
      <w:r>
        <w:t xml:space="preserve">, Springer</w:t>
      </w:r>
      <w:r>
        <w:t xml:space="preserve"> </w:t>
      </w:r>
      <w:r>
        <w:t xml:space="preserve">Series</w:t>
      </w:r>
      <w:r>
        <w:t xml:space="preserve"> </w:t>
      </w:r>
      <w:r>
        <w:t xml:space="preserve">in</w:t>
      </w:r>
      <w:r>
        <w:t xml:space="preserve"> </w:t>
      </w:r>
      <w:r>
        <w:t xml:space="preserve">Statistics</w:t>
      </w:r>
      <w:r>
        <w:t xml:space="preserve">. Springer International Publishing, Cham.</w:t>
      </w:r>
      <w:r>
        <w:t xml:space="preserve"> </w:t>
      </w:r>
      <w:hyperlink r:id="rId95">
        <w:r>
          <w:rPr>
            <w:rStyle w:val="Hyperlink"/>
          </w:rPr>
          <w:t xml:space="preserve">https://doi.org/10.1007/978-3-319-19425-7</w:t>
        </w:r>
      </w:hyperlink>
    </w:p>
    <w:bookmarkEnd w:id="96"/>
    <w:bookmarkStart w:id="98" w:name="ref-hay2025Burden375Diseases"/>
    <w:p>
      <w:pPr>
        <w:pStyle w:val="Bibliography"/>
      </w:pPr>
      <w:r>
        <w:t xml:space="preserve">Hay, S.I., Ong, K.L., Santomauro, D.F., A, B., Aalipour, M.A., Aalruz, H., Ababneh, H.S., Abaraogu, U.O., Abate, B.B., Abbafati, C., et al., 2025. Burden of 375 diseases and injuries, risk-attributable burden of 88 risk factors, and healthy life expectancy in 204 countries and territories, including 660 subnational locations, 1990–2023: A systematic analysis for the</w:t>
      </w:r>
      <w:r>
        <w:t xml:space="preserve"> </w:t>
      </w:r>
      <w:r>
        <w:t xml:space="preserve">Global Burden</w:t>
      </w:r>
      <w:r>
        <w:t xml:space="preserve"> </w:t>
      </w:r>
      <w:r>
        <w:t xml:space="preserve">of</w:t>
      </w:r>
      <w:r>
        <w:t xml:space="preserve"> </w:t>
      </w:r>
      <w:r>
        <w:t xml:space="preserve">Disease Study</w:t>
      </w:r>
      <w:r>
        <w:t xml:space="preserve"> </w:t>
      </w:r>
      <w:r>
        <w:t xml:space="preserve">2023. Lancet 406, 1873–1922.</w:t>
      </w:r>
      <w:r>
        <w:t xml:space="preserve"> </w:t>
      </w:r>
      <w:hyperlink r:id="rId97">
        <w:r>
          <w:rPr>
            <w:rStyle w:val="Hyperlink"/>
          </w:rPr>
          <w:t xml:space="preserve">https://doi.org/10.1016/S0140-6736(25)01637-X</w:t>
        </w:r>
      </w:hyperlink>
    </w:p>
    <w:bookmarkEnd w:id="98"/>
    <w:bookmarkStart w:id="100" w:name="ref-heidari2022EffectLeadExposurea"/>
    <w:p>
      <w:pPr>
        <w:pStyle w:val="Bibliography"/>
      </w:pPr>
      <w:r>
        <w:t xml:space="preserve">Heidari, S., Mostafaei, S., Razazian, N., Rajati, M., Saeedi, A., Rajati, F., 2022. The effect of lead exposure on</w:t>
      </w:r>
      <w:r>
        <w:t xml:space="preserve"> </w:t>
      </w:r>
      <w:r>
        <w:t xml:space="preserve">IQ</w:t>
      </w:r>
      <w:r>
        <w:t xml:space="preserve"> </w:t>
      </w:r>
      <w:r>
        <w:t xml:space="preserve">test scores in children under 12 years: A systematic review and meta-analysis of case-control studies. Syst. Rev. 11, 106.</w:t>
      </w:r>
      <w:r>
        <w:t xml:space="preserve"> </w:t>
      </w:r>
      <w:hyperlink r:id="rId99">
        <w:r>
          <w:rPr>
            <w:rStyle w:val="Hyperlink"/>
          </w:rPr>
          <w:t xml:space="preserve">https://doi.org/10.1186/s13643-022-01963-y</w:t>
        </w:r>
      </w:hyperlink>
    </w:p>
    <w:bookmarkEnd w:id="100"/>
    <w:bookmarkStart w:id="102" w:name="X837f91f784566061977da85c17a5755a81dedde"/>
    <w:p>
      <w:pPr>
        <w:pStyle w:val="Bibliography"/>
      </w:pPr>
      <w:r>
        <w:t xml:space="preserve">Hoekstra, R., Morey, R.D., Rouder, J.N., Wagenmakers, E.-J., 2014. Robust misinterpretation of confidence intervals. Psychon. Bull. Rev. 21, 1157–1164.</w:t>
      </w:r>
      <w:r>
        <w:t xml:space="preserve"> </w:t>
      </w:r>
      <w:hyperlink r:id="rId101">
        <w:r>
          <w:rPr>
            <w:rStyle w:val="Hyperlink"/>
          </w:rPr>
          <w:t xml:space="preserve">https://doi.org/10.3758/s13423-013-0572-3</w:t>
        </w:r>
      </w:hyperlink>
    </w:p>
    <w:bookmarkEnd w:id="102"/>
    <w:bookmarkStart w:id="104" w:name="ref-hong2013ComparingBayesianFrequentist"/>
    <w:p>
      <w:pPr>
        <w:pStyle w:val="Bibliography"/>
      </w:pPr>
      <w:r>
        <w:t xml:space="preserve">Hong, H., Carlin, B.P., Shamliyan, T.A., Wyman, J.F., Ramakrishnan, R., Sainfort, F., Kane, R.L., 2013. Comparing</w:t>
      </w:r>
      <w:r>
        <w:t xml:space="preserve"> </w:t>
      </w:r>
      <w:r>
        <w:t xml:space="preserve">Bayesian</w:t>
      </w:r>
      <w:r>
        <w:t xml:space="preserve"> </w:t>
      </w:r>
      <w:r>
        <w:t xml:space="preserve">and</w:t>
      </w:r>
      <w:r>
        <w:t xml:space="preserve"> </w:t>
      </w:r>
      <w:r>
        <w:t xml:space="preserve">Frequentist Approaches</w:t>
      </w:r>
      <w:r>
        <w:t xml:space="preserve"> </w:t>
      </w:r>
      <w:r>
        <w:t xml:space="preserve">for</w:t>
      </w:r>
      <w:r>
        <w:t xml:space="preserve"> </w:t>
      </w:r>
      <w:r>
        <w:t xml:space="preserve">Multiple Outcome Mixed Treatment Comparisons</w:t>
      </w:r>
      <w:r>
        <w:t xml:space="preserve">. Med. Decis. Making 33, 702–714.</w:t>
      </w:r>
      <w:r>
        <w:t xml:space="preserve"> </w:t>
      </w:r>
      <w:hyperlink r:id="rId103">
        <w:r>
          <w:rPr>
            <w:rStyle w:val="Hyperlink"/>
          </w:rPr>
          <w:t xml:space="preserve">https://doi.org/10.1177/0272989X13481110</w:t>
        </w:r>
      </w:hyperlink>
    </w:p>
    <w:bookmarkEnd w:id="104"/>
    <w:bookmarkStart w:id="106" w:name="ref-hong2015EnvironmentalLeadExposure"/>
    <w:p>
      <w:pPr>
        <w:pStyle w:val="Bibliography"/>
      </w:pPr>
      <w:r>
        <w:t xml:space="preserve">Hong, S.-B., Im, M.-H., Kim, J.-W., Park, E.-J., Shin, M.-S., Kim, B.-N., Yoo, H.-J., Cho, I.-H., Bhang, S.-Y., Hong, Y.-C., et al., 2015. Environmental</w:t>
      </w:r>
      <w:r>
        <w:t xml:space="preserve"> </w:t>
      </w:r>
      <w:r>
        <w:t xml:space="preserve">Lead Exposure</w:t>
      </w:r>
      <w:r>
        <w:t xml:space="preserve"> </w:t>
      </w:r>
      <w:r>
        <w:t xml:space="preserve">and</w:t>
      </w:r>
      <w:r>
        <w:t xml:space="preserve"> </w:t>
      </w:r>
      <w:r>
        <w:t xml:space="preserve">Attention Deficit</w:t>
      </w:r>
      <w:r>
        <w:t xml:space="preserve">/</w:t>
      </w:r>
      <w:r>
        <w:t xml:space="preserve">Hyperactivity Disorder Symptom Domains</w:t>
      </w:r>
      <w:r>
        <w:t xml:space="preserve"> </w:t>
      </w:r>
      <w:r>
        <w:t xml:space="preserve">in a</w:t>
      </w:r>
      <w:r>
        <w:t xml:space="preserve"> </w:t>
      </w:r>
      <w:r>
        <w:t xml:space="preserve">Community Sample</w:t>
      </w:r>
      <w:r>
        <w:t xml:space="preserve"> </w:t>
      </w:r>
      <w:r>
        <w:t xml:space="preserve">of</w:t>
      </w:r>
      <w:r>
        <w:t xml:space="preserve"> </w:t>
      </w:r>
      <w:r>
        <w:t xml:space="preserve">South Korean School-Age Children</w:t>
      </w:r>
      <w:r>
        <w:t xml:space="preserve">. Environ. Health Perspect. 123, 271–276.</w:t>
      </w:r>
      <w:r>
        <w:t xml:space="preserve"> </w:t>
      </w:r>
      <w:hyperlink r:id="rId105">
        <w:r>
          <w:rPr>
            <w:rStyle w:val="Hyperlink"/>
          </w:rPr>
          <w:t xml:space="preserve">https://doi.org/10.1289/ehp.1307420</w:t>
        </w:r>
      </w:hyperlink>
    </w:p>
    <w:bookmarkEnd w:id="106"/>
    <w:bookmarkStart w:id="108" w:name="ref-kazi2026PvaluesBayesFactor"/>
    <w:p>
      <w:pPr>
        <w:pStyle w:val="Bibliography"/>
      </w:pPr>
      <w:r>
        <w:t xml:space="preserve">Kazi, M., 2026. From p-values to</w:t>
      </w:r>
      <w:r>
        <w:t xml:space="preserve"> </w:t>
      </w:r>
      <w:r>
        <w:t xml:space="preserve">Bayes Factor</w:t>
      </w:r>
      <w:r>
        <w:t xml:space="preserve">:</w:t>
      </w:r>
      <w:r>
        <w:t xml:space="preserve"> </w:t>
      </w:r>
      <w:r>
        <w:t xml:space="preserve">A Meta-Analytic Comparison</w:t>
      </w:r>
      <w:r>
        <w:t xml:space="preserve"> </w:t>
      </w:r>
      <w:r>
        <w:t xml:space="preserve">in</w:t>
      </w:r>
      <w:r>
        <w:t xml:space="preserve"> </w:t>
      </w:r>
      <w:r>
        <w:t xml:space="preserve">Colorectal Research</w:t>
      </w:r>
      <w:r>
        <w:t xml:space="preserve">. Indian J. Surg. Oncol. 17, 241–248.</w:t>
      </w:r>
      <w:r>
        <w:t xml:space="preserve"> </w:t>
      </w:r>
      <w:hyperlink r:id="rId107">
        <w:r>
          <w:rPr>
            <w:rStyle w:val="Hyperlink"/>
          </w:rPr>
          <w:t xml:space="preserve">https://doi.org/10.1007/s13193-025-02314-8</w:t>
        </w:r>
      </w:hyperlink>
    </w:p>
    <w:bookmarkEnd w:id="108"/>
    <w:bookmarkStart w:id="110" w:name="X5cae6442bbe0e1f5d8df6cd5008aab2dbfb65a6"/>
    <w:p>
      <w:pPr>
        <w:pStyle w:val="Bibliography"/>
      </w:pPr>
      <w:r>
        <w:t xml:space="preserve">Kruschke, J.K., 2021. Bayesian</w:t>
      </w:r>
      <w:r>
        <w:t xml:space="preserve"> </w:t>
      </w:r>
      <w:r>
        <w:t xml:space="preserve">Analysis Reporting Guidelines</w:t>
      </w:r>
      <w:r>
        <w:t xml:space="preserve">. Nat. Hum. Behav. 5, 1282–1291.</w:t>
      </w:r>
      <w:r>
        <w:t xml:space="preserve"> </w:t>
      </w:r>
      <w:hyperlink r:id="rId109">
        <w:r>
          <w:rPr>
            <w:rStyle w:val="Hyperlink"/>
          </w:rPr>
          <w:t xml:space="preserve">https://doi.org/10.1038/s41562-021-01177-7</w:t>
        </w:r>
      </w:hyperlink>
    </w:p>
    <w:bookmarkEnd w:id="110"/>
    <w:bookmarkStart w:id="112" w:name="ref-lacerda2023GlobalDecreaseBlood"/>
    <w:p>
      <w:pPr>
        <w:pStyle w:val="Bibliography"/>
      </w:pPr>
      <w:r>
        <w:t xml:space="preserve">Lacerda, D., Pestana, I.A., Santos Vergilio, C.D., de Rezende, C.E.</w:t>
      </w:r>
      <w:r>
        <w:t xml:space="preserve">, 2023. Global decrease in blood lead concentrations due to the removal of leaded gasoline. Chemosphere 324, 138207.</w:t>
      </w:r>
      <w:r>
        <w:t xml:space="preserve"> </w:t>
      </w:r>
      <w:hyperlink r:id="rId111">
        <w:r>
          <w:rPr>
            <w:rStyle w:val="Hyperlink"/>
          </w:rPr>
          <w:t xml:space="preserve">https://doi.org/10.1016/j.chemosphere.2023.138207</w:t>
        </w:r>
      </w:hyperlink>
    </w:p>
    <w:bookmarkEnd w:id="112"/>
    <w:bookmarkStart w:id="114" w:name="X33f03e29791f20cdbbbbf0729c723b16e55ed16"/>
    <w:p>
      <w:pPr>
        <w:pStyle w:val="Bibliography"/>
      </w:pPr>
      <w:r>
        <w:t xml:space="preserve">Lanphear, B.P., Hornung, R., Khoury, J., Yolton, K., Baghurst, P., Bellinger, D.C., Canfield, R.L., Dietrich, K.N., Bornschein, R., Greene, T., et al., 2019. Erratum:</w:t>
      </w:r>
      <w:r>
        <w:t xml:space="preserve"> </w:t>
      </w:r>
      <w:r>
        <w:t xml:space="preserve">“</w:t>
      </w:r>
      <w:r>
        <w:t xml:space="preserve">Low-Level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w:t>
      </w:r>
      <w:r>
        <w:t xml:space="preserve"> </w:t>
      </w:r>
      <w:r>
        <w:t xml:space="preserve">Environ. Health Perspect. 127, 099001.</w:t>
      </w:r>
      <w:r>
        <w:t xml:space="preserve"> </w:t>
      </w:r>
      <w:hyperlink r:id="rId113">
        <w:r>
          <w:rPr>
            <w:rStyle w:val="Hyperlink"/>
          </w:rPr>
          <w:t xml:space="preserve">https://doi.org/10.1289/EHP5685</w:t>
        </w:r>
      </w:hyperlink>
    </w:p>
    <w:bookmarkEnd w:id="114"/>
    <w:bookmarkStart w:id="116" w:name="X9a8bad0b78f43066cb333fdedcdcad5d7017900"/>
    <w:p>
      <w:pPr>
        <w:pStyle w:val="Bibliography"/>
      </w:pPr>
      <w:r>
        <w:t xml:space="preserve">Lanphear, B.P., Hornung, R., Khoury, J., Yolton, K., Baghurst, P., Bellinger, D.C., Canfield, R.L., Dietrich, K.N., Bornschein, R., Greene, T., et al., 2005. Low-</w:t>
      </w:r>
      <w:r>
        <w:t xml:space="preserve">Level Environmental Lead Exposure</w:t>
      </w:r>
      <w:r>
        <w:t xml:space="preserve"> </w:t>
      </w:r>
      <w:r>
        <w:t xml:space="preserve">and</w:t>
      </w:r>
      <w:r>
        <w:t xml:space="preserve"> </w:t>
      </w:r>
      <w:r>
        <w:t xml:space="preserve">Children</w:t>
      </w:r>
      <w:r>
        <w:t xml:space="preserve">’s</w:t>
      </w:r>
      <w:r>
        <w:t xml:space="preserve"> </w:t>
      </w:r>
      <w:r>
        <w:t xml:space="preserve">Intellectual Function</w:t>
      </w:r>
      <w:r>
        <w:t xml:space="preserve">:</w:t>
      </w:r>
      <w:r>
        <w:t xml:space="preserve"> </w:t>
      </w:r>
      <w:r>
        <w:t xml:space="preserve">An International Pooled Analysis</w:t>
      </w:r>
      <w:r>
        <w:t xml:space="preserve">. Environ. Health Perspect. 113, 894–899.</w:t>
      </w:r>
      <w:r>
        <w:t xml:space="preserve"> </w:t>
      </w:r>
      <w:hyperlink r:id="rId115">
        <w:r>
          <w:rPr>
            <w:rStyle w:val="Hyperlink"/>
          </w:rPr>
          <w:t xml:space="preserve">https://doi.org/10.1289/ehp.7688</w:t>
        </w:r>
      </w:hyperlink>
    </w:p>
    <w:bookmarkEnd w:id="116"/>
    <w:bookmarkStart w:id="118" w:name="ref-lanphear2018LowlevelLeadExposure"/>
    <w:p>
      <w:pPr>
        <w:pStyle w:val="Bibliography"/>
      </w:pPr>
      <w:r>
        <w:t xml:space="preserve">Lanphear, B.P., Rauch, S., Auinger, P., Allen, R.W., Hornung, R.W., 2018. Low-level lead exposure and mortality in</w:t>
      </w:r>
      <w:r>
        <w:t xml:space="preserve"> </w:t>
      </w:r>
      <w:r>
        <w:t xml:space="preserve">US</w:t>
      </w:r>
      <w:r>
        <w:t xml:space="preserve"> </w:t>
      </w:r>
      <w:r>
        <w:t xml:space="preserve">adults: A population-based cohort study. Lancet Public Health 3, e177–e184.</w:t>
      </w:r>
      <w:r>
        <w:t xml:space="preserve"> </w:t>
      </w:r>
      <w:hyperlink r:id="rId117">
        <w:r>
          <w:rPr>
            <w:rStyle w:val="Hyperlink"/>
          </w:rPr>
          <w:t xml:space="preserve">https://doi.org/10.1016/S2468-2667(18)30025-2</w:t>
        </w:r>
      </w:hyperlink>
    </w:p>
    <w:bookmarkEnd w:id="118"/>
    <w:bookmarkStart w:id="120" w:name="ref-larsen2023GlobalHealthBurden"/>
    <w:p>
      <w:pPr>
        <w:pStyle w:val="Bibliography"/>
      </w:pPr>
      <w:r>
        <w:t xml:space="preserve">Larsen, B., Sánchez-Triana, E., 2023. Global health burden and cost of lead exposure in children and adults: A health impact and economic modelling analysis. Lancet Planet. Heath 7, e831–e840.</w:t>
      </w:r>
      <w:r>
        <w:t xml:space="preserve"> </w:t>
      </w:r>
      <w:hyperlink r:id="rId119">
        <w:r>
          <w:rPr>
            <w:rStyle w:val="Hyperlink"/>
          </w:rPr>
          <w:t xml:space="preserve">https://doi.org/10.1016/S2542-5196(23)00166-3</w:t>
        </w:r>
      </w:hyperlink>
    </w:p>
    <w:bookmarkEnd w:id="120"/>
    <w:bookmarkStart w:id="122" w:name="ref-lee2021PrenatalPostnatalExposures"/>
    <w:p>
      <w:pPr>
        <w:pStyle w:val="Bibliography"/>
      </w:pPr>
      <w:r>
        <w:t xml:space="preserve">Lee, K.-S., Kim, K.-N., Ahn, Y.D., Choi, Y.-J., Cho, J., Jang, Y., Lim, Y.-H., Kim, J.I., Shin, C.H., Lee, Y.A., et al., 2021. Prenatal and postnatal exposures to four metals mixture and</w:t>
      </w:r>
      <w:r>
        <w:t xml:space="preserve"> </w:t>
      </w:r>
      <w:r>
        <w:t xml:space="preserve">IQ</w:t>
      </w:r>
      <w:r>
        <w:t xml:space="preserve"> </w:t>
      </w:r>
      <w:r>
        <w:t xml:space="preserve">in 6-year-old children:</w:t>
      </w:r>
      <w:r>
        <w:t xml:space="preserve"> </w:t>
      </w:r>
      <w:r>
        <w:t xml:space="preserve">A</w:t>
      </w:r>
      <w:r>
        <w:t xml:space="preserve"> </w:t>
      </w:r>
      <w:r>
        <w:t xml:space="preserve">prospective cohort study in</w:t>
      </w:r>
      <w:r>
        <w:t xml:space="preserve"> </w:t>
      </w:r>
      <w:r>
        <w:t xml:space="preserve">South Korea</w:t>
      </w:r>
      <w:r>
        <w:t xml:space="preserve">. Environ. Int. 157, 106798.</w:t>
      </w:r>
      <w:r>
        <w:t xml:space="preserve"> </w:t>
      </w:r>
      <w:hyperlink r:id="rId121">
        <w:r>
          <w:rPr>
            <w:rStyle w:val="Hyperlink"/>
          </w:rPr>
          <w:t xml:space="preserve">https://doi.org/10.1016/j.envint.2021.106798</w:t>
        </w:r>
      </w:hyperlink>
    </w:p>
    <w:bookmarkEnd w:id="122"/>
    <w:bookmarkStart w:id="124" w:name="X716dc31ca13dac7355fea3a0f7dea95779ecabb"/>
    <w:p>
      <w:pPr>
        <w:pStyle w:val="Bibliography"/>
      </w:pPr>
      <w:r>
        <w:t xml:space="preserve">Lucchini, R.G., Guazzetti, S., Renzetti, S., Conversano, M., Cagna, G., Fedrighi, C., Giorgino, A., Peli, M., Placidi, D., Zoni, S., et al., 2019. Neurocognitive impact of metal exposure and social stressors among schoolchildren in</w:t>
      </w:r>
      <w:r>
        <w:t xml:space="preserve"> </w:t>
      </w:r>
      <w:r>
        <w:t xml:space="preserve">Taranto</w:t>
      </w:r>
      <w:r>
        <w:t xml:space="preserve">,</w:t>
      </w:r>
      <w:r>
        <w:t xml:space="preserve"> </w:t>
      </w:r>
      <w:r>
        <w:t xml:space="preserve">Italy</w:t>
      </w:r>
      <w:r>
        <w:t xml:space="preserve">. Environ. Health 18, 67.</w:t>
      </w:r>
      <w:r>
        <w:t xml:space="preserve"> </w:t>
      </w:r>
      <w:hyperlink r:id="rId123">
        <w:r>
          <w:rPr>
            <w:rStyle w:val="Hyperlink"/>
          </w:rPr>
          <w:t xml:space="preserve">https://doi.org/10.1186/s12940-019-0505-3</w:t>
        </w:r>
      </w:hyperlink>
    </w:p>
    <w:bookmarkEnd w:id="124"/>
    <w:bookmarkStart w:id="126" w:name="Xb0421be95a139ca5af39ce6040517bf1be79427"/>
    <w:p>
      <w:pPr>
        <w:pStyle w:val="Bibliography"/>
      </w:pPr>
      <w:r>
        <w:t xml:space="preserve">Lucchini, R.G., Zoni, S., Guazzetti, S., Bontempi, E., Micheletti, S., Broberg, K., Parrinello, G., Smith, D.R., 2012. Inverse association of intellectual function with very low blood lead but not with manganese exposure in</w:t>
      </w:r>
      <w:r>
        <w:t xml:space="preserve"> </w:t>
      </w:r>
      <w:r>
        <w:t xml:space="preserve">Italian</w:t>
      </w:r>
      <w:r>
        <w:t xml:space="preserve"> </w:t>
      </w:r>
      <w:r>
        <w:t xml:space="preserve">adolescents. Environ. Res. 118, 65–71.</w:t>
      </w:r>
      <w:r>
        <w:t xml:space="preserve"> </w:t>
      </w:r>
      <w:hyperlink r:id="rId125">
        <w:r>
          <w:rPr>
            <w:rStyle w:val="Hyperlink"/>
          </w:rPr>
          <w:t xml:space="preserve">https://doi.org/10.1016/j.envres.2012.08.003</w:t>
        </w:r>
      </w:hyperlink>
    </w:p>
    <w:bookmarkEnd w:id="126"/>
    <w:bookmarkStart w:id="128" w:name="ref-mcfarland2022HalfUSPopulation"/>
    <w:p>
      <w:pPr>
        <w:pStyle w:val="Bibliography"/>
      </w:pPr>
      <w:r>
        <w:t xml:space="preserve">McFarland, M.J., Hauer, M.E., Reuben, A., 2022. Half of</w:t>
      </w:r>
      <w:r>
        <w:t xml:space="preserve"> </w:t>
      </w:r>
      <w:r>
        <w:t xml:space="preserve">US</w:t>
      </w:r>
      <w:r>
        <w:t xml:space="preserve"> </w:t>
      </w:r>
      <w:r>
        <w:t xml:space="preserve">population exposed to adverse lead levels in early childhood. Proc. Natl. Acad. Sci. 119, e2118631119.</w:t>
      </w:r>
      <w:r>
        <w:t xml:space="preserve"> </w:t>
      </w:r>
      <w:hyperlink r:id="rId127">
        <w:r>
          <w:rPr>
            <w:rStyle w:val="Hyperlink"/>
          </w:rPr>
          <w:t xml:space="preserve">https://doi.org/10.1073/pnas.2118631119</w:t>
        </w:r>
      </w:hyperlink>
    </w:p>
    <w:bookmarkEnd w:id="128"/>
    <w:bookmarkStart w:id="129" w:name="X33fe7de6e8b65c86af337dbdb8d7cc8651c48a8"/>
    <w:p>
      <w:pPr>
        <w:pStyle w:val="Bibliography"/>
      </w:pPr>
      <w:r>
        <w:t xml:space="preserve">Menezes-Filho, J.A., Carvalho, C.F., Rodrigues, J.L.G., Araújo, C.F.S., Dos Santos, N.R., Lima, C.S., Bandeira, M.J., Marques, B.L. de S., Anjos, A.L.S., Bah, H.A.F., et al., 2018.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 J. Environ. Res. Public Health 15, 2418.</w:t>
      </w:r>
    </w:p>
    <w:bookmarkEnd w:id="129"/>
    <w:bookmarkStart w:id="131" w:name="ref-needleman1990LowLevelLeadExposure"/>
    <w:p>
      <w:pPr>
        <w:pStyle w:val="Bibliography"/>
      </w:pPr>
      <w:r>
        <w:t xml:space="preserve">Needleman, H.L., 1990. Low-</w:t>
      </w:r>
      <w:r>
        <w:t xml:space="preserve">Level Lead Exposure</w:t>
      </w:r>
      <w:r>
        <w:t xml:space="preserve"> </w:t>
      </w:r>
      <w:r>
        <w:t xml:space="preserve">and the</w:t>
      </w:r>
      <w:r>
        <w:t xml:space="preserve"> </w:t>
      </w:r>
      <w:r>
        <w:t xml:space="preserve">IQ</w:t>
      </w:r>
      <w:r>
        <w:t xml:space="preserve"> </w:t>
      </w:r>
      <w:r>
        <w:t xml:space="preserve">of</w:t>
      </w:r>
      <w:r>
        <w:t xml:space="preserve"> </w:t>
      </w:r>
      <w:r>
        <w:t xml:space="preserve">Children</w:t>
      </w:r>
      <w:r>
        <w:t xml:space="preserve">:</w:t>
      </w:r>
      <w:r>
        <w:t xml:space="preserve"> </w:t>
      </w:r>
      <w:r>
        <w:t xml:space="preserve">A Meta-analysis</w:t>
      </w:r>
      <w:r>
        <w:t xml:space="preserve"> </w:t>
      </w:r>
      <w:r>
        <w:t xml:space="preserve">of</w:t>
      </w:r>
      <w:r>
        <w:t xml:space="preserve"> </w:t>
      </w:r>
      <w:r>
        <w:t xml:space="preserve">Modern Studies</w:t>
      </w:r>
      <w:r>
        <w:t xml:space="preserve">. JAMA 263, 673.</w:t>
      </w:r>
      <w:r>
        <w:t xml:space="preserve"> </w:t>
      </w:r>
      <w:hyperlink r:id="rId130">
        <w:r>
          <w:rPr>
            <w:rStyle w:val="Hyperlink"/>
          </w:rPr>
          <w:t xml:space="preserve">https://doi.org/10.1001/jama.1990.03440050067035</w:t>
        </w:r>
      </w:hyperlink>
    </w:p>
    <w:bookmarkEnd w:id="131"/>
    <w:bookmarkStart w:id="132" w:name="Xf5486a80753c915bf34b5d8f3ad5e46aac479a7"/>
    <w:p>
      <w:pPr>
        <w:pStyle w:val="Bibliography"/>
      </w:pPr>
      <w:r>
        <w:t xml:space="preserve">NTP OHAT, 2019.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w:t>
      </w:r>
    </w:p>
    <w:bookmarkEnd w:id="132"/>
    <w:bookmarkStart w:id="134" w:name="ref-page2021PRISMA2020Statement"/>
    <w:p>
      <w:pPr>
        <w:pStyle w:val="Bibliography"/>
      </w:pPr>
      <w:r>
        <w:t xml:space="preserve">Page, M.J., McKenzie, J.E., Bossuyt, P.M., Boutron, I., Hoffmann, T.C., Mulrow, C.D., Shamseer, L., Tetzlaff, J.M., Akl, E.A., Brennan, S.E., et al., 2021. The</w:t>
      </w:r>
      <w:r>
        <w:t xml:space="preserve"> </w:t>
      </w:r>
      <w:r>
        <w:t xml:space="preserve">PRISMA</w:t>
      </w:r>
      <w:r>
        <w:t xml:space="preserve"> </w:t>
      </w:r>
      <w:r>
        <w:t xml:space="preserve">2020 statement: An updated guideline for reporting systematic reviews. BMJ n71.</w:t>
      </w:r>
      <w:r>
        <w:t xml:space="preserve"> </w:t>
      </w:r>
      <w:hyperlink r:id="rId133">
        <w:r>
          <w:rPr>
            <w:rStyle w:val="Hyperlink"/>
          </w:rPr>
          <w:t xml:space="preserve">https://doi.org/10.1136/bmj.n71</w:t>
        </w:r>
      </w:hyperlink>
    </w:p>
    <w:bookmarkEnd w:id="134"/>
    <w:bookmarkStart w:id="136" w:name="ref-plate2024DevelopmentToolRapid"/>
    <w:p>
      <w:pPr>
        <w:pStyle w:val="Bibliography"/>
      </w:pPr>
      <w:r>
        <w:t xml:space="preserve">Plate, K., Knüppel, S., Hornbacher, A., Greiner, M., Müller-Graf, C., 2024. Development of a tool for rapid assessment of the evidence of human observational epidemiological studies with focus on risk of bias in the context of public health and risk assessment. EFSA Supporting Publ. 21.</w:t>
      </w:r>
      <w:r>
        <w:t xml:space="preserve"> </w:t>
      </w:r>
      <w:hyperlink r:id="rId135">
        <w:r>
          <w:rPr>
            <w:rStyle w:val="Hyperlink"/>
          </w:rPr>
          <w:t xml:space="preserve">https://doi.org/10.2903/sp.efsa.2024.EN-8925</w:t>
        </w:r>
      </w:hyperlink>
    </w:p>
    <w:bookmarkEnd w:id="136"/>
    <w:bookmarkStart w:id="138" w:name="ref-pocock1994EnvironmentalLeadChildrens"/>
    <w:p>
      <w:pPr>
        <w:pStyle w:val="Bibliography"/>
      </w:pPr>
      <w:r>
        <w:t xml:space="preserve">Pocock, S.J., Smith, M., Baghurst, P., 1994. Environmental lead and children’s intelligence: A systematic review of the epidemiological evidence. BMJ 309, 1189–1197.</w:t>
      </w:r>
      <w:r>
        <w:t xml:space="preserve"> </w:t>
      </w:r>
      <w:hyperlink r:id="rId137">
        <w:r>
          <w:rPr>
            <w:rStyle w:val="Hyperlink"/>
          </w:rPr>
          <w:t xml:space="preserve">https://doi.org/10.1136/bmj.309.6963.1189</w:t>
        </w:r>
      </w:hyperlink>
    </w:p>
    <w:bookmarkEnd w:id="138"/>
    <w:bookmarkStart w:id="139" w:name="Xd915bcb040430c17655975a5ceb4d7b4bdd04ac"/>
    <w:p>
      <w:pPr>
        <w:pStyle w:val="Bibliography"/>
      </w:pPr>
      <w:r>
        <w:t xml:space="preserve">Prüss-Üstün, A., Mathers, C., Corvalán, C., Woodward, A., 2003. Assessing the environmental burden of disease at national and local levels: Introduction and methods. Environ. burd. dis. ser.</w:t>
      </w:r>
    </w:p>
    <w:bookmarkEnd w:id="139"/>
    <w:bookmarkStart w:id="140" w:name="X4bd034c52731e178b4de125c2c778bdc533803c"/>
    <w:p>
      <w:pPr>
        <w:pStyle w:val="Bibliography"/>
      </w:pPr>
      <w:r>
        <w:t xml:space="preserve">R Core Team, 2024.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w:t>
      </w:r>
    </w:p>
    <w:bookmarkEnd w:id="140"/>
    <w:bookmarkStart w:id="142" w:name="ref-rosengren2025ExposureLeadCoronary"/>
    <w:p>
      <w:pPr>
        <w:pStyle w:val="Bibliography"/>
      </w:pPr>
      <w:r>
        <w:t xml:space="preserve">Rosengren, E., Barregard, L., Sallsten, G., Fagerberg, B., Engström, G., Fagman, E., Forsgard, N., Lundh, T., Bergström, G., Harari, F., 2025. Exposure to</w:t>
      </w:r>
      <w:r>
        <w:t xml:space="preserve"> </w:t>
      </w:r>
      <w:r>
        <w:t xml:space="preserve">Lead</w:t>
      </w:r>
      <w:r>
        <w:t xml:space="preserve"> </w:t>
      </w:r>
      <w:r>
        <w:t xml:space="preserve">and</w:t>
      </w:r>
      <w:r>
        <w:t xml:space="preserve"> </w:t>
      </w:r>
      <w:r>
        <w:t xml:space="preserve">Coronary Artery Atherosclerosis</w:t>
      </w:r>
      <w:r>
        <w:t xml:space="preserve">:</w:t>
      </w:r>
      <w:r>
        <w:t xml:space="preserve"> </w:t>
      </w:r>
      <w:r>
        <w:t xml:space="preserve">A Swedish Cross</w:t>
      </w:r>
      <w:r>
        <w:t xml:space="preserve">-</w:t>
      </w:r>
      <w:r>
        <w:t xml:space="preserve">Sectional Population</w:t>
      </w:r>
      <w:r>
        <w:t xml:space="preserve">-</w:t>
      </w:r>
      <w:r>
        <w:t xml:space="preserve">Based Study</w:t>
      </w:r>
      <w:r>
        <w:t xml:space="preserve">. J. Am. Heart Assoc. 14, e037633.</w:t>
      </w:r>
      <w:r>
        <w:t xml:space="preserve"> </w:t>
      </w:r>
      <w:hyperlink r:id="rId141">
        <w:r>
          <w:rPr>
            <w:rStyle w:val="Hyperlink"/>
          </w:rPr>
          <w:t xml:space="preserve">https://doi.org/10.1161/JAHA.124.037633</w:t>
        </w:r>
      </w:hyperlink>
    </w:p>
    <w:bookmarkEnd w:id="142"/>
    <w:bookmarkStart w:id="144" w:name="ref-roy2013EffectModificationTransferrin"/>
    <w:p>
      <w:pPr>
        <w:pStyle w:val="Bibliography"/>
      </w:pPr>
      <w:r>
        <w:t xml:space="preserve">Roy, A., Ettinger, A.S., Hu, H., Bellinger, D., Schwartz, J., Modali, R., Wright, R.O., Palaniappan, K., Balakrishnan, K., 2013. Effect modification by transferrin</w:t>
      </w:r>
      <w:r>
        <w:t xml:space="preserve"> </w:t>
      </w:r>
      <w:r>
        <w:t xml:space="preserve">C2</w:t>
      </w:r>
      <w:r>
        <w:t xml:space="preserve"> </w:t>
      </w:r>
      <w:r>
        <w:t xml:space="preserve">polymorphism on lead exposure, hemoglobin levels, and</w:t>
      </w:r>
      <w:r>
        <w:t xml:space="preserve"> </w:t>
      </w:r>
      <w:r>
        <w:t xml:space="preserve">IQ</w:t>
      </w:r>
      <w:r>
        <w:t xml:space="preserve">. Neurotoxicology 38, 17–22.</w:t>
      </w:r>
      <w:r>
        <w:t xml:space="preserve"> </w:t>
      </w:r>
      <w:hyperlink r:id="rId143">
        <w:r>
          <w:rPr>
            <w:rStyle w:val="Hyperlink"/>
          </w:rPr>
          <w:t xml:space="preserve">https://doi.org/10.1016/j.neuro.2013.05.005</w:t>
        </w:r>
      </w:hyperlink>
    </w:p>
    <w:bookmarkEnd w:id="144"/>
    <w:bookmarkStart w:id="146" w:name="ref-sadeghirad2023TheoryPracticeBayesian"/>
    <w:p>
      <w:pPr>
        <w:pStyle w:val="Bibliography"/>
      </w:pPr>
      <w:r>
        <w:t xml:space="preserve">Sadeghirad, B., Foroutan, F., Zoratti, M.J., Busse, J.W., Brignardello-Petersen, R., Guyatt, G., Thabane, L., 2023. Theory and practice of</w:t>
      </w:r>
      <w:r>
        <w:t xml:space="preserve"> </w:t>
      </w:r>
      <w:r>
        <w:t xml:space="preserve">Bayesian</w:t>
      </w:r>
      <w:r>
        <w:t xml:space="preserve"> </w:t>
      </w:r>
      <w:r>
        <w:t xml:space="preserve">and frequentist frameworks for network meta-analysis. BMJ Evid.-Based Med. 28, 204–209.</w:t>
      </w:r>
      <w:r>
        <w:t xml:space="preserve"> </w:t>
      </w:r>
      <w:hyperlink r:id="rId145">
        <w:r>
          <w:rPr>
            <w:rStyle w:val="Hyperlink"/>
          </w:rPr>
          <w:t xml:space="preserve">https://doi.org/10.1136/bmjebm-2022-111928</w:t>
        </w:r>
      </w:hyperlink>
    </w:p>
    <w:bookmarkEnd w:id="146"/>
    <w:bookmarkStart w:id="148" w:name="Xe38019c88c6d2792bb296bad7dc0a4dd55f1319"/>
    <w:p>
      <w:pPr>
        <w:pStyle w:val="Bibliography"/>
      </w:pPr>
      <w:r>
        <w:t xml:space="preserve">Salamanca-Fernández, E., Peinado, F.M., Esteban-López, M., Puklova, V., Poyatos, R.M., Govarts, E., Laeremans, M., Leermakers, M., Den Hond, E., Schoeters, G., et al., 2025. Sociodemographic determinants and temporal variability of blood lead levels (2003–2019) in a pooled analysis of nine studies in four</w:t>
      </w:r>
      <w:r>
        <w:t xml:space="preserve"> </w:t>
      </w:r>
      <w:r>
        <w:t xml:space="preserve">European</w:t>
      </w:r>
      <w:r>
        <w:t xml:space="preserve"> </w:t>
      </w:r>
      <w:r>
        <w:t xml:space="preserve">countries. Sci. Rep. 15, 34562.</w:t>
      </w:r>
      <w:r>
        <w:t xml:space="preserve"> </w:t>
      </w:r>
      <w:hyperlink r:id="rId147">
        <w:r>
          <w:rPr>
            <w:rStyle w:val="Hyperlink"/>
          </w:rPr>
          <w:t xml:space="preserve">https://doi.org/10.1038/s41598-025-17943-w</w:t>
        </w:r>
      </w:hyperlink>
    </w:p>
    <w:bookmarkEnd w:id="148"/>
    <w:bookmarkStart w:id="150" w:name="Xcf7993c3f58afaabaf73be6238c67f4f63053d9"/>
    <w:p>
      <w:pPr>
        <w:pStyle w:val="Bibliography"/>
      </w:pPr>
      <w:r>
        <w:t xml:space="preserve">Schnaas, L., Rothenberg Stephen, J., Flores, M.-F., Martinez, S., Hernandez, C., Osorio, E., Velasco Silvia, R., Perroni, E., 2006. Reduced</w:t>
      </w:r>
      <w:r>
        <w:t xml:space="preserve"> </w:t>
      </w:r>
      <w:r>
        <w:t xml:space="preserve">Intellectual Development</w:t>
      </w:r>
      <w:r>
        <w:t xml:space="preserve"> </w:t>
      </w:r>
      <w:r>
        <w:t xml:space="preserve">in</w:t>
      </w:r>
      <w:r>
        <w:t xml:space="preserve"> </w:t>
      </w:r>
      <w:r>
        <w:t xml:space="preserve">Children</w:t>
      </w:r>
      <w:r>
        <w:t xml:space="preserve"> </w:t>
      </w:r>
      <w:r>
        <w:t xml:space="preserve">with</w:t>
      </w:r>
      <w:r>
        <w:t xml:space="preserve"> </w:t>
      </w:r>
      <w:r>
        <w:t xml:space="preserve">Prenatal Lead Exposure</w:t>
      </w:r>
      <w:r>
        <w:t xml:space="preserve">. Environ. Health Perspect. 114, 791–797.</w:t>
      </w:r>
      <w:r>
        <w:t xml:space="preserve"> </w:t>
      </w:r>
      <w:hyperlink r:id="rId149">
        <w:r>
          <w:rPr>
            <w:rStyle w:val="Hyperlink"/>
          </w:rPr>
          <w:t xml:space="preserve">https://doi.org/10.1289/ehp.8552</w:t>
        </w:r>
      </w:hyperlink>
    </w:p>
    <w:bookmarkEnd w:id="150"/>
    <w:bookmarkStart w:id="152" w:name="ref-schwartz1994LowLevelLeadExposure"/>
    <w:p>
      <w:pPr>
        <w:pStyle w:val="Bibliography"/>
      </w:pPr>
      <w:r>
        <w:t xml:space="preserve">Schwartz, J., 1994. Low-</w:t>
      </w:r>
      <w:r>
        <w:t xml:space="preserve">Level Lead Exposure</w:t>
      </w:r>
      <w:r>
        <w:t xml:space="preserve"> </w:t>
      </w:r>
      <w:r>
        <w:t xml:space="preserve">and</w:t>
      </w:r>
      <w:r>
        <w:t xml:space="preserve"> </w:t>
      </w:r>
      <w:r>
        <w:t xml:space="preserve">Children</w:t>
      </w:r>
      <m:oMath>
        <m:r>
          <m:rPr>
            <m:sty m:val="p"/>
          </m:rPr>
          <m:t>′</m:t>
        </m:r>
      </m:oMath>
      <w:r>
        <w:t xml:space="preserve">s</w:t>
      </w:r>
      <w:r>
        <w:t xml:space="preserve"> </w:t>
      </w:r>
      <w:r>
        <w:t xml:space="preserve">IQ</w:t>
      </w:r>
      <w:r>
        <w:t xml:space="preserve">:</w:t>
      </w:r>
      <w:r>
        <w:t xml:space="preserve"> </w:t>
      </w:r>
      <w:r>
        <w:t xml:space="preserve">A Metaanalysis</w:t>
      </w:r>
      <w:r>
        <w:t xml:space="preserve"> </w:t>
      </w:r>
      <w:r>
        <w:t xml:space="preserve">and</w:t>
      </w:r>
      <w:r>
        <w:t xml:space="preserve"> </w:t>
      </w:r>
      <w:r>
        <w:t xml:space="preserve">Search</w:t>
      </w:r>
      <w:r>
        <w:t xml:space="preserve"> </w:t>
      </w:r>
      <w:r>
        <w:t xml:space="preserve">for a</w:t>
      </w:r>
      <w:r>
        <w:t xml:space="preserve"> </w:t>
      </w:r>
      <w:r>
        <w:t xml:space="preserve">Threshold</w:t>
      </w:r>
      <w:r>
        <w:t xml:space="preserve">. Environ. Res. 65, 42–55.</w:t>
      </w:r>
      <w:r>
        <w:t xml:space="preserve"> </w:t>
      </w:r>
      <w:hyperlink r:id="rId151">
        <w:r>
          <w:rPr>
            <w:rStyle w:val="Hyperlink"/>
          </w:rPr>
          <w:t xml:space="preserve">https://doi.org/10.1006/enrs.1994.1020</w:t>
        </w:r>
      </w:hyperlink>
    </w:p>
    <w:bookmarkEnd w:id="152"/>
    <w:bookmarkStart w:id="154" w:name="X55ae1a8b757df519e0a47e2002b3acc0b2e73ec"/>
    <w:p>
      <w:pPr>
        <w:pStyle w:val="Bibliography"/>
      </w:pPr>
      <w:r>
        <w:t xml:space="preserve">Seide, S.E., Jensen, K., Kieser, M., 2020. A comparison of</w:t>
      </w:r>
      <w:r>
        <w:t xml:space="preserve"> </w:t>
      </w:r>
      <w:r>
        <w:t xml:space="preserve">Bayesian</w:t>
      </w:r>
      <w:r>
        <w:t xml:space="preserve"> </w:t>
      </w:r>
      <w:r>
        <w:t xml:space="preserve">and frequentist methods in random-effects network meta-analysis of binary data. Res. Synth. Methods 11, 363–378.</w:t>
      </w:r>
      <w:r>
        <w:t xml:space="preserve"> </w:t>
      </w:r>
      <w:hyperlink r:id="rId153">
        <w:r>
          <w:rPr>
            <w:rStyle w:val="Hyperlink"/>
          </w:rPr>
          <w:t xml:space="preserve">https://doi.org/10.1002/jrsm.1397</w:t>
        </w:r>
      </w:hyperlink>
    </w:p>
    <w:bookmarkEnd w:id="154"/>
    <w:bookmarkStart w:id="156" w:name="ref-shaffer2025LeadExposureAntisocial"/>
    <w:p>
      <w:pPr>
        <w:pStyle w:val="Bibliography"/>
      </w:pPr>
      <w:r>
        <w:t xml:space="preserve">Shaffer, R.M., Carlson, L.M., Hester, K., Kim, H., Duffney, P., Forsyth, J.E., Ferraro, G., Till, C., Haddock, A., Strawbridge, J., et al., 2025. Lead exposure and antisocial behavior:</w:t>
      </w:r>
      <w:r>
        <w:t xml:space="preserve"> </w:t>
      </w:r>
      <w:r>
        <w:t xml:space="preserve">A</w:t>
      </w:r>
      <w:r>
        <w:t xml:space="preserve"> </w:t>
      </w:r>
      <w:r>
        <w:t xml:space="preserve">systematic review of human and animal evidence. Environ. Int. 109786.</w:t>
      </w:r>
      <w:r>
        <w:t xml:space="preserve"> </w:t>
      </w:r>
      <w:hyperlink r:id="rId155">
        <w:r>
          <w:rPr>
            <w:rStyle w:val="Hyperlink"/>
          </w:rPr>
          <w:t xml:space="preserve">https://doi.org/10.1016/j.envint.2025.109786</w:t>
        </w:r>
      </w:hyperlink>
    </w:p>
    <w:bookmarkEnd w:id="156"/>
    <w:bookmarkStart w:id="158" w:name="ref-smith2018StepAwayStepwise"/>
    <w:p>
      <w:pPr>
        <w:pStyle w:val="Bibliography"/>
      </w:pPr>
      <w:r>
        <w:t xml:space="preserve">Smith, G., 2018. Step away from stepwise. J. Big Data 5, 32.</w:t>
      </w:r>
      <w:r>
        <w:t xml:space="preserve"> </w:t>
      </w:r>
      <w:hyperlink r:id="rId157">
        <w:r>
          <w:rPr>
            <w:rStyle w:val="Hyperlink"/>
          </w:rPr>
          <w:t xml:space="preserve">https://doi.org/10.1186/s40537-018-0143-6</w:t>
        </w:r>
      </w:hyperlink>
    </w:p>
    <w:bookmarkEnd w:id="158"/>
    <w:bookmarkStart w:id="160" w:name="ref-sy2024AssessmentLongTermExposure"/>
    <w:p>
      <w:pPr>
        <w:pStyle w:val="Bibliography"/>
      </w:pPr>
      <w:r>
        <w:t xml:space="preserve">Sy, M., Eleftheriadou, D., Jung, C., Lindtner, O., Karakitsios, S., Sarigiannis, D., Weber, T., Kolossa-Gehring, M., Greiner, M., 2024. Assessment of the</w:t>
      </w:r>
      <w:r>
        <w:t xml:space="preserve"> </w:t>
      </w:r>
      <w:r>
        <w:t xml:space="preserve">Long-Term Exposure</w:t>
      </w:r>
      <w:r>
        <w:t xml:space="preserve"> </w:t>
      </w:r>
      <w:r>
        <w:t xml:space="preserve">to</w:t>
      </w:r>
      <w:r>
        <w:t xml:space="preserve"> </w:t>
      </w:r>
      <w:r>
        <w:t xml:space="preserve">Lead</w:t>
      </w:r>
      <w:r>
        <w:t xml:space="preserve"> </w:t>
      </w:r>
      <w:r>
        <w:t xml:space="preserve">in</w:t>
      </w:r>
      <w:r>
        <w:t xml:space="preserve"> </w:t>
      </w:r>
      <w:r>
        <w:t xml:space="preserve">Four European Countries Using PBPK Modeling</w:t>
      </w:r>
      <w:r>
        <w:t xml:space="preserve">. Exposure Health 16, 21–39.</w:t>
      </w:r>
      <w:r>
        <w:t xml:space="preserve"> </w:t>
      </w:r>
      <w:hyperlink r:id="rId159">
        <w:r>
          <w:rPr>
            <w:rStyle w:val="Hyperlink"/>
          </w:rPr>
          <w:t xml:space="preserve">https://doi.org/10.1007/s12403-023-00535-2</w:t>
        </w:r>
      </w:hyperlink>
    </w:p>
    <w:bookmarkEnd w:id="160"/>
    <w:bookmarkStart w:id="161" w:name="ref-tamasszigeti2022SubstanceReportLead"/>
    <w:p>
      <w:pPr>
        <w:pStyle w:val="Bibliography"/>
      </w:pPr>
      <w:r>
        <w:t xml:space="preserve">Szigeti, T., Kakucs, R., Vicente, J.L., Beatrice Grosu, 2022. Substance report -</w:t>
      </w:r>
      <w:r>
        <w:t xml:space="preserve"> </w:t>
      </w:r>
      <w:r>
        <w:t xml:space="preserve">Lead</w:t>
      </w:r>
      <w:r>
        <w:t xml:space="preserve">. HBM4EU.</w:t>
      </w:r>
    </w:p>
    <w:bookmarkEnd w:id="161"/>
    <w:bookmarkStart w:id="163" w:name="X99fa6bd9cd2521340285769f289a6c9d4bfe17b"/>
    <w:p>
      <w:pPr>
        <w:pStyle w:val="Bibliography"/>
      </w:pPr>
      <w:r>
        <w:t xml:space="preserve">Thompson, B., 1995. Stepwise</w:t>
      </w:r>
      <w:r>
        <w:t xml:space="preserve"> </w:t>
      </w:r>
      <w:r>
        <w:t xml:space="preserve">Regression</w:t>
      </w:r>
      <w:r>
        <w:t xml:space="preserve"> </w:t>
      </w:r>
      <w:r>
        <w:t xml:space="preserve">and</w:t>
      </w:r>
      <w:r>
        <w:t xml:space="preserve"> </w:t>
      </w:r>
      <w:r>
        <w:t xml:space="preserve">Stepwise Discriminant Analysis Need Not Apply</w:t>
      </w:r>
      <w:r>
        <w:t xml:space="preserve"> </w:t>
      </w:r>
      <w:r>
        <w:t xml:space="preserve">here:</w:t>
      </w:r>
      <w:r>
        <w:t xml:space="preserve"> </w:t>
      </w:r>
      <w:r>
        <w:t xml:space="preserve">A Guidelines Editorial</w:t>
      </w:r>
      <w:r>
        <w:t xml:space="preserve">. Educ. Psychol. Meas. 55, 525–534.</w:t>
      </w:r>
      <w:r>
        <w:t xml:space="preserve"> </w:t>
      </w:r>
      <w:hyperlink r:id="rId162">
        <w:r>
          <w:rPr>
            <w:rStyle w:val="Hyperlink"/>
          </w:rPr>
          <w:t xml:space="preserve">https://doi.org/10.1177/0013164495055004001</w:t>
        </w:r>
      </w:hyperlink>
    </w:p>
    <w:bookmarkEnd w:id="163"/>
    <w:bookmarkStart w:id="165" w:name="X111bb06244f8f2a1a6d0d2f1f41c24b71f248e6"/>
    <w:p>
      <w:pPr>
        <w:pStyle w:val="Bibliography"/>
      </w:pPr>
      <w:r>
        <w:t xml:space="preserve">Viechtbauer, W., 2010. Conducting meta-analyses in</w:t>
      </w:r>
      <w:r>
        <w:t xml:space="preserve"> </w:t>
      </w:r>
      <w:r>
        <w:t xml:space="preserve"> </w:t>
      </w:r>
      <w:r>
        <w:t xml:space="preserve">with the</w:t>
      </w:r>
      <w:r>
        <w:t xml:space="preserve"> </w:t>
      </w:r>
      <w:r>
        <w:t xml:space="preserve">metafor</w:t>
      </w:r>
      <w:r>
        <w:t xml:space="preserve"> </w:t>
      </w:r>
      <w:r>
        <w:t xml:space="preserve">package. Journal of Statistical Software 36, 1–48.</w:t>
      </w:r>
      <w:r>
        <w:t xml:space="preserve"> </w:t>
      </w:r>
      <w:hyperlink r:id="rId164">
        <w:r>
          <w:rPr>
            <w:rStyle w:val="Hyperlink"/>
          </w:rPr>
          <w:t xml:space="preserve">https://doi.org/10.18637/jss.v036.i03</w:t>
        </w:r>
      </w:hyperlink>
    </w:p>
    <w:bookmarkEnd w:id="165"/>
    <w:bookmarkStart w:id="167" w:name="ref-wan2022ChronicLeadExposure"/>
    <w:p>
      <w:pPr>
        <w:pStyle w:val="Bibliography"/>
      </w:pPr>
      <w:r>
        <w:t xml:space="preserve">Wan, H., Wang, Y., Zhang, H., Zhang, K., Chen, Y., Chen, C., Zhang, W., Xia, F., Wang, N., Lu, Y., 2022. Chronic lead exposure induces fatty liver disease associated with the variations of gut microbiota. Ecotoxicol. Environ. Saf. 232, 113257.</w:t>
      </w:r>
      <w:r>
        <w:t xml:space="preserve"> </w:t>
      </w:r>
      <w:hyperlink r:id="rId166">
        <w:r>
          <w:rPr>
            <w:rStyle w:val="Hyperlink"/>
          </w:rPr>
          <w:t xml:space="preserve">https://doi.org/10.1016/j.ecoenv.2022.113257</w:t>
        </w:r>
      </w:hyperlink>
    </w:p>
    <w:bookmarkEnd w:id="167"/>
    <w:bookmarkStart w:id="169" w:name="X946754e67e3c74fad7a8806aa9d2819ed4ec186"/>
    <w:p>
      <w:pPr>
        <w:pStyle w:val="Bibliography"/>
      </w:pPr>
      <w:r>
        <w:t xml:space="preserve">Yao, M., Deng, K., Wang, Y., Mei, F., Zou, K., Li, L., Sun, X., 2025. Random-effects meta-analysis models for pooling rare events data: A comparison between frequentist and bayesian methods. BMC Med. Res. Methodol. 25, 228.</w:t>
      </w:r>
      <w:r>
        <w:t xml:space="preserve"> </w:t>
      </w:r>
      <w:hyperlink r:id="rId168">
        <w:r>
          <w:rPr>
            <w:rStyle w:val="Hyperlink"/>
          </w:rPr>
          <w:t xml:space="preserve">https://doi.org/10.1186/s12874-025-02664-5</w:t>
        </w:r>
      </w:hyperlink>
    </w:p>
    <w:bookmarkEnd w:id="169"/>
    <w:bookmarkEnd w:id="170"/>
    <w:bookmarkEnd w:id="171"/>
    <w:sectPr>
      <w:footerReference r:id="rId3"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footer1.xml" Type="http://schemas.openxmlformats.org/officeDocument/2006/relationships/footer"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130" Target="https://doi.org/10.1001/jama.1990.03440050067035" TargetMode="External" /><Relationship Type="http://schemas.openxmlformats.org/officeDocument/2006/relationships/hyperlink" Id="rId153" Target="https://doi.org/10.1002/jrsm.1397" TargetMode="External" /><Relationship Type="http://schemas.openxmlformats.org/officeDocument/2006/relationships/hyperlink" Id="rId151" Target="https://doi.org/10.1006/enrs.1994.1020" TargetMode="External" /><Relationship Type="http://schemas.openxmlformats.org/officeDocument/2006/relationships/hyperlink" Id="rId95" Target="https://doi.org/10.1007/978-3-319-19425-7" TargetMode="External" /><Relationship Type="http://schemas.openxmlformats.org/officeDocument/2006/relationships/hyperlink" Id="rId72" Target="https://doi.org/10.1007/s11121-023-01601-6" TargetMode="External" /><Relationship Type="http://schemas.openxmlformats.org/officeDocument/2006/relationships/hyperlink" Id="rId159" Target="https://doi.org/10.1007/s12403-023-00535-2" TargetMode="External" /><Relationship Type="http://schemas.openxmlformats.org/officeDocument/2006/relationships/hyperlink" Id="rId107" Target="https://doi.org/10.1007/s13193-025-02314-8" TargetMode="External" /><Relationship Type="http://schemas.openxmlformats.org/officeDocument/2006/relationships/hyperlink" Id="rId97" Target="https://doi.org/10.1016/S0140-6736(25)01637-X" TargetMode="External" /><Relationship Type="http://schemas.openxmlformats.org/officeDocument/2006/relationships/hyperlink" Id="rId117" Target="https://doi.org/10.1016/S2468-2667(18)30025-2" TargetMode="External" /><Relationship Type="http://schemas.openxmlformats.org/officeDocument/2006/relationships/hyperlink" Id="rId119" Target="https://doi.org/10.1016/S2542-5196(23)00166-3" TargetMode="External" /><Relationship Type="http://schemas.openxmlformats.org/officeDocument/2006/relationships/hyperlink" Id="rId111" Target="https://doi.org/10.1016/j.chemosphere.2023.138207" TargetMode="External" /><Relationship Type="http://schemas.openxmlformats.org/officeDocument/2006/relationships/hyperlink" Id="rId166" Target="https://doi.org/10.1016/j.ecoenv.2022.113257" TargetMode="External" /><Relationship Type="http://schemas.openxmlformats.org/officeDocument/2006/relationships/hyperlink" Id="rId70" Target="https://doi.org/10.1016/j.envint.2018.10.043" TargetMode="External" /><Relationship Type="http://schemas.openxmlformats.org/officeDocument/2006/relationships/hyperlink" Id="rId121" Target="https://doi.org/10.1016/j.envint.2021.106798" TargetMode="External" /><Relationship Type="http://schemas.openxmlformats.org/officeDocument/2006/relationships/hyperlink" Id="rId155" Target="https://doi.org/10.1016/j.envint.2025.109786" TargetMode="External" /><Relationship Type="http://schemas.openxmlformats.org/officeDocument/2006/relationships/hyperlink" Id="rId62" Target="https://doi.org/10.1016/j.envres.2005.10.004" TargetMode="External" /><Relationship Type="http://schemas.openxmlformats.org/officeDocument/2006/relationships/hyperlink" Id="rId125" Target="https://doi.org/10.1016/j.envres.2012.08.003" TargetMode="External" /><Relationship Type="http://schemas.openxmlformats.org/officeDocument/2006/relationships/hyperlink" Id="rId60" Target="https://doi.org/10.1016/j.envres.2019.02.023" TargetMode="External" /><Relationship Type="http://schemas.openxmlformats.org/officeDocument/2006/relationships/hyperlink" Id="rId80" Target="https://doi.org/10.1016/j.envres.2024.120013" TargetMode="External" /><Relationship Type="http://schemas.openxmlformats.org/officeDocument/2006/relationships/hyperlink" Id="rId143" Target="https://doi.org/10.1016/j.neuro.2013.05.005" TargetMode="External" /><Relationship Type="http://schemas.openxmlformats.org/officeDocument/2006/relationships/hyperlink" Id="rId68" Target="https://doi.org/10.1016/j.scitotenv.2019.134519" TargetMode="External" /><Relationship Type="http://schemas.openxmlformats.org/officeDocument/2006/relationships/hyperlink" Id="rId91" Target="https://doi.org/10.1038/s41370-022-00450-9" TargetMode="External" /><Relationship Type="http://schemas.openxmlformats.org/officeDocument/2006/relationships/hyperlink" Id="rId109" Target="https://doi.org/10.1038/s41562-021-01177-7" TargetMode="External" /><Relationship Type="http://schemas.openxmlformats.org/officeDocument/2006/relationships/hyperlink" Id="rId147" Target="https://doi.org/10.1038/s41598-025-17943-w" TargetMode="External" /><Relationship Type="http://schemas.openxmlformats.org/officeDocument/2006/relationships/hyperlink" Id="rId93" Target="https://doi.org/10.1053/j.ajkd.2018.02.358" TargetMode="External" /><Relationship Type="http://schemas.openxmlformats.org/officeDocument/2006/relationships/hyperlink" Id="rId48" Target="https://doi.org/10.1056/NEJM199210293271805" TargetMode="External" /><Relationship Type="http://schemas.openxmlformats.org/officeDocument/2006/relationships/hyperlink" Id="rId58" Target="https://doi.org/10.1056/NEJMoa022848" TargetMode="External" /><Relationship Type="http://schemas.openxmlformats.org/officeDocument/2006/relationships/hyperlink" Id="rId127" Target="https://doi.org/10.1073/pnas.2118631119" TargetMode="External" /><Relationship Type="http://schemas.openxmlformats.org/officeDocument/2006/relationships/hyperlink" Id="rId74" Target="https://doi.org/10.1111/ajpy.12096" TargetMode="External" /><Relationship Type="http://schemas.openxmlformats.org/officeDocument/2006/relationships/hyperlink" Id="rId137" Target="https://doi.org/10.1136/bmj.309.6963.1189" TargetMode="External" /><Relationship Type="http://schemas.openxmlformats.org/officeDocument/2006/relationships/hyperlink" Id="rId133" Target="https://doi.org/10.1136/bmj.n71" TargetMode="External" /><Relationship Type="http://schemas.openxmlformats.org/officeDocument/2006/relationships/hyperlink" Id="rId145" Target="https://doi.org/10.1136/bmjebm-2022-111928" TargetMode="External" /><Relationship Type="http://schemas.openxmlformats.org/officeDocument/2006/relationships/hyperlink" Id="rId141" Target="https://doi.org/10.1161/JAHA.124.037633" TargetMode="External" /><Relationship Type="http://schemas.openxmlformats.org/officeDocument/2006/relationships/hyperlink" Id="rId162" Target="https://doi.org/10.1177/0013164495055004001" TargetMode="External" /><Relationship Type="http://schemas.openxmlformats.org/officeDocument/2006/relationships/hyperlink" Id="rId103" Target="https://doi.org/10.1177/0272989X13481110" TargetMode="External" /><Relationship Type="http://schemas.openxmlformats.org/officeDocument/2006/relationships/hyperlink" Id="rId168" Target="https://doi.org/10.1186/s12874-025-02664-5" TargetMode="External" /><Relationship Type="http://schemas.openxmlformats.org/officeDocument/2006/relationships/hyperlink" Id="rId123" Target="https://doi.org/10.1186/s12940-019-0505-3" TargetMode="External" /><Relationship Type="http://schemas.openxmlformats.org/officeDocument/2006/relationships/hyperlink" Id="rId87" Target="https://doi.org/10.1186/s12940-023-01029-z" TargetMode="External" /><Relationship Type="http://schemas.openxmlformats.org/officeDocument/2006/relationships/hyperlink" Id="rId99" Target="https://doi.org/10.1186/s13643-022-01963-y" TargetMode="External" /><Relationship Type="http://schemas.openxmlformats.org/officeDocument/2006/relationships/hyperlink" Id="rId157" Target="https://doi.org/10.1186/s40537-018-0143-6" TargetMode="External" /><Relationship Type="http://schemas.openxmlformats.org/officeDocument/2006/relationships/hyperlink" Id="rId89" Target="https://doi.org/10.1201/9781003375821" TargetMode="External" /><Relationship Type="http://schemas.openxmlformats.org/officeDocument/2006/relationships/hyperlink" Id="rId83" Target="https://doi.org/10.1201/b16018" TargetMode="External" /><Relationship Type="http://schemas.openxmlformats.org/officeDocument/2006/relationships/hyperlink" Id="rId113" Target="https://doi.org/10.1289/EHP5685" TargetMode="External" /><Relationship Type="http://schemas.openxmlformats.org/officeDocument/2006/relationships/hyperlink" Id="rId50" Target="https://doi.org/10.1289/EHP6803" TargetMode="External" /><Relationship Type="http://schemas.openxmlformats.org/officeDocument/2006/relationships/hyperlink" Id="rId105" Target="https://doi.org/10.1289/ehp.1307420" TargetMode="External" /><Relationship Type="http://schemas.openxmlformats.org/officeDocument/2006/relationships/hyperlink" Id="rId64" Target="https://doi.org/10.1289/ehp.7625" TargetMode="External" /><Relationship Type="http://schemas.openxmlformats.org/officeDocument/2006/relationships/hyperlink" Id="rId115" Target="https://doi.org/10.1289/ehp.7688" TargetMode="External" /><Relationship Type="http://schemas.openxmlformats.org/officeDocument/2006/relationships/hyperlink" Id="rId149" Target="https://doi.org/10.1289/ehp.8552" TargetMode="External" /><Relationship Type="http://schemas.openxmlformats.org/officeDocument/2006/relationships/hyperlink" Id="rId52" Target="https://doi.org/10.1542/peds.90.6.855" TargetMode="External" /><Relationship Type="http://schemas.openxmlformats.org/officeDocument/2006/relationships/hyperlink" Id="rId164" Target="https://doi.org/10.18637/jss.v036.i03" TargetMode="External" /><Relationship Type="http://schemas.openxmlformats.org/officeDocument/2006/relationships/hyperlink" Id="rId54" Target="https://doi.org/10.18637/jss.v080.i01" TargetMode="External" /><Relationship Type="http://schemas.openxmlformats.org/officeDocument/2006/relationships/hyperlink" Id="rId78" Target="https://doi.org/10.2903/j.efsa.2010.1570" TargetMode="External" /><Relationship Type="http://schemas.openxmlformats.org/officeDocument/2006/relationships/hyperlink" Id="rId76" Target="https://doi.org/10.2903/j.efsa.2012.2831" TargetMode="External" /><Relationship Type="http://schemas.openxmlformats.org/officeDocument/2006/relationships/hyperlink" Id="rId135" Target="https://doi.org/10.2903/sp.efsa.2024.EN-8925" TargetMode="External" /><Relationship Type="http://schemas.openxmlformats.org/officeDocument/2006/relationships/hyperlink" Id="rId66" Target="https://doi.org/10.3109/10408444.2013.832726" TargetMode="External" /><Relationship Type="http://schemas.openxmlformats.org/officeDocument/2006/relationships/hyperlink" Id="rId101" Target="https://doi.org/10.3758/s13423-013-0572-3" TargetMode="External" /><Relationship Type="http://schemas.openxmlformats.org/officeDocument/2006/relationships/hyperlink" Id="rId56" Target="https://doi.org/10.47102/annals-acadmedsg.2025104" TargetMode="External" /><Relationship Type="http://schemas.openxmlformats.org/officeDocument/2006/relationships/hyperlink" Id="rId85" Target="https://doi.org/10.48550/ARXIV.2011.01808" TargetMode="External" /><Relationship Type="http://schemas.openxmlformats.org/officeDocument/2006/relationships/hyperlink" Id="rId22" Target="https://github.com/PaulinaSell/lead-IQ_meta-analysis" TargetMode="External" /><Relationship Type="http://schemas.openxmlformats.org/officeDocument/2006/relationships/hyperlink" Id="rId17" Target="https://www.eu-parc.eu" TargetMode="External" /><Relationship Type="http://schemas.openxmlformats.org/officeDocument/2006/relationships/hyperlink" Id="rId12"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130" Target="https://doi.org/10.1001/jama.1990.03440050067035" TargetMode="External" /><Relationship Type="http://schemas.openxmlformats.org/officeDocument/2006/relationships/hyperlink" Id="rId153" Target="https://doi.org/10.1002/jrsm.1397" TargetMode="External" /><Relationship Type="http://schemas.openxmlformats.org/officeDocument/2006/relationships/hyperlink" Id="rId151" Target="https://doi.org/10.1006/enrs.1994.1020" TargetMode="External" /><Relationship Type="http://schemas.openxmlformats.org/officeDocument/2006/relationships/hyperlink" Id="rId95" Target="https://doi.org/10.1007/978-3-319-19425-7" TargetMode="External" /><Relationship Type="http://schemas.openxmlformats.org/officeDocument/2006/relationships/hyperlink" Id="rId72" Target="https://doi.org/10.1007/s11121-023-01601-6" TargetMode="External" /><Relationship Type="http://schemas.openxmlformats.org/officeDocument/2006/relationships/hyperlink" Id="rId159" Target="https://doi.org/10.1007/s12403-023-00535-2" TargetMode="External" /><Relationship Type="http://schemas.openxmlformats.org/officeDocument/2006/relationships/hyperlink" Id="rId107" Target="https://doi.org/10.1007/s13193-025-02314-8" TargetMode="External" /><Relationship Type="http://schemas.openxmlformats.org/officeDocument/2006/relationships/hyperlink" Id="rId97" Target="https://doi.org/10.1016/S0140-6736(25)01637-X" TargetMode="External" /><Relationship Type="http://schemas.openxmlformats.org/officeDocument/2006/relationships/hyperlink" Id="rId117" Target="https://doi.org/10.1016/S2468-2667(18)30025-2" TargetMode="External" /><Relationship Type="http://schemas.openxmlformats.org/officeDocument/2006/relationships/hyperlink" Id="rId119" Target="https://doi.org/10.1016/S2542-5196(23)00166-3" TargetMode="External" /><Relationship Type="http://schemas.openxmlformats.org/officeDocument/2006/relationships/hyperlink" Id="rId111" Target="https://doi.org/10.1016/j.chemosphere.2023.138207" TargetMode="External" /><Relationship Type="http://schemas.openxmlformats.org/officeDocument/2006/relationships/hyperlink" Id="rId166" Target="https://doi.org/10.1016/j.ecoenv.2022.113257" TargetMode="External" /><Relationship Type="http://schemas.openxmlformats.org/officeDocument/2006/relationships/hyperlink" Id="rId70" Target="https://doi.org/10.1016/j.envint.2018.10.043" TargetMode="External" /><Relationship Type="http://schemas.openxmlformats.org/officeDocument/2006/relationships/hyperlink" Id="rId121" Target="https://doi.org/10.1016/j.envint.2021.106798" TargetMode="External" /><Relationship Type="http://schemas.openxmlformats.org/officeDocument/2006/relationships/hyperlink" Id="rId155" Target="https://doi.org/10.1016/j.envint.2025.109786" TargetMode="External" /><Relationship Type="http://schemas.openxmlformats.org/officeDocument/2006/relationships/hyperlink" Id="rId62" Target="https://doi.org/10.1016/j.envres.2005.10.004" TargetMode="External" /><Relationship Type="http://schemas.openxmlformats.org/officeDocument/2006/relationships/hyperlink" Id="rId125" Target="https://doi.org/10.1016/j.envres.2012.08.003" TargetMode="External" /><Relationship Type="http://schemas.openxmlformats.org/officeDocument/2006/relationships/hyperlink" Id="rId60" Target="https://doi.org/10.1016/j.envres.2019.02.023" TargetMode="External" /><Relationship Type="http://schemas.openxmlformats.org/officeDocument/2006/relationships/hyperlink" Id="rId80" Target="https://doi.org/10.1016/j.envres.2024.120013" TargetMode="External" /><Relationship Type="http://schemas.openxmlformats.org/officeDocument/2006/relationships/hyperlink" Id="rId143" Target="https://doi.org/10.1016/j.neuro.2013.05.005" TargetMode="External" /><Relationship Type="http://schemas.openxmlformats.org/officeDocument/2006/relationships/hyperlink" Id="rId68" Target="https://doi.org/10.1016/j.scitotenv.2019.134519" TargetMode="External" /><Relationship Type="http://schemas.openxmlformats.org/officeDocument/2006/relationships/hyperlink" Id="rId91" Target="https://doi.org/10.1038/s41370-022-00450-9" TargetMode="External" /><Relationship Type="http://schemas.openxmlformats.org/officeDocument/2006/relationships/hyperlink" Id="rId109" Target="https://doi.org/10.1038/s41562-021-01177-7" TargetMode="External" /><Relationship Type="http://schemas.openxmlformats.org/officeDocument/2006/relationships/hyperlink" Id="rId147" Target="https://doi.org/10.1038/s41598-025-17943-w" TargetMode="External" /><Relationship Type="http://schemas.openxmlformats.org/officeDocument/2006/relationships/hyperlink" Id="rId93" Target="https://doi.org/10.1053/j.ajkd.2018.02.358" TargetMode="External" /><Relationship Type="http://schemas.openxmlformats.org/officeDocument/2006/relationships/hyperlink" Id="rId48" Target="https://doi.org/10.1056/NEJM199210293271805" TargetMode="External" /><Relationship Type="http://schemas.openxmlformats.org/officeDocument/2006/relationships/hyperlink" Id="rId58" Target="https://doi.org/10.1056/NEJMoa022848" TargetMode="External" /><Relationship Type="http://schemas.openxmlformats.org/officeDocument/2006/relationships/hyperlink" Id="rId127" Target="https://doi.org/10.1073/pnas.2118631119" TargetMode="External" /><Relationship Type="http://schemas.openxmlformats.org/officeDocument/2006/relationships/hyperlink" Id="rId74" Target="https://doi.org/10.1111/ajpy.12096" TargetMode="External" /><Relationship Type="http://schemas.openxmlformats.org/officeDocument/2006/relationships/hyperlink" Id="rId137" Target="https://doi.org/10.1136/bmj.309.6963.1189" TargetMode="External" /><Relationship Type="http://schemas.openxmlformats.org/officeDocument/2006/relationships/hyperlink" Id="rId133" Target="https://doi.org/10.1136/bmj.n71" TargetMode="External" /><Relationship Type="http://schemas.openxmlformats.org/officeDocument/2006/relationships/hyperlink" Id="rId145" Target="https://doi.org/10.1136/bmjebm-2022-111928" TargetMode="External" /><Relationship Type="http://schemas.openxmlformats.org/officeDocument/2006/relationships/hyperlink" Id="rId141" Target="https://doi.org/10.1161/JAHA.124.037633" TargetMode="External" /><Relationship Type="http://schemas.openxmlformats.org/officeDocument/2006/relationships/hyperlink" Id="rId162" Target="https://doi.org/10.1177/0013164495055004001" TargetMode="External" /><Relationship Type="http://schemas.openxmlformats.org/officeDocument/2006/relationships/hyperlink" Id="rId103" Target="https://doi.org/10.1177/0272989X13481110" TargetMode="External" /><Relationship Type="http://schemas.openxmlformats.org/officeDocument/2006/relationships/hyperlink" Id="rId168" Target="https://doi.org/10.1186/s12874-025-02664-5" TargetMode="External" /><Relationship Type="http://schemas.openxmlformats.org/officeDocument/2006/relationships/hyperlink" Id="rId123" Target="https://doi.org/10.1186/s12940-019-0505-3" TargetMode="External" /><Relationship Type="http://schemas.openxmlformats.org/officeDocument/2006/relationships/hyperlink" Id="rId87" Target="https://doi.org/10.1186/s12940-023-01029-z" TargetMode="External" /><Relationship Type="http://schemas.openxmlformats.org/officeDocument/2006/relationships/hyperlink" Id="rId99" Target="https://doi.org/10.1186/s13643-022-01963-y" TargetMode="External" /><Relationship Type="http://schemas.openxmlformats.org/officeDocument/2006/relationships/hyperlink" Id="rId157" Target="https://doi.org/10.1186/s40537-018-0143-6" TargetMode="External" /><Relationship Type="http://schemas.openxmlformats.org/officeDocument/2006/relationships/hyperlink" Id="rId89" Target="https://doi.org/10.1201/9781003375821" TargetMode="External" /><Relationship Type="http://schemas.openxmlformats.org/officeDocument/2006/relationships/hyperlink" Id="rId83" Target="https://doi.org/10.1201/b16018" TargetMode="External" /><Relationship Type="http://schemas.openxmlformats.org/officeDocument/2006/relationships/hyperlink" Id="rId113" Target="https://doi.org/10.1289/EHP5685" TargetMode="External" /><Relationship Type="http://schemas.openxmlformats.org/officeDocument/2006/relationships/hyperlink" Id="rId50" Target="https://doi.org/10.1289/EHP6803" TargetMode="External" /><Relationship Type="http://schemas.openxmlformats.org/officeDocument/2006/relationships/hyperlink" Id="rId105" Target="https://doi.org/10.1289/ehp.1307420" TargetMode="External" /><Relationship Type="http://schemas.openxmlformats.org/officeDocument/2006/relationships/hyperlink" Id="rId64" Target="https://doi.org/10.1289/ehp.7625" TargetMode="External" /><Relationship Type="http://schemas.openxmlformats.org/officeDocument/2006/relationships/hyperlink" Id="rId115" Target="https://doi.org/10.1289/ehp.7688" TargetMode="External" /><Relationship Type="http://schemas.openxmlformats.org/officeDocument/2006/relationships/hyperlink" Id="rId149" Target="https://doi.org/10.1289/ehp.8552" TargetMode="External" /><Relationship Type="http://schemas.openxmlformats.org/officeDocument/2006/relationships/hyperlink" Id="rId52" Target="https://doi.org/10.1542/peds.90.6.855" TargetMode="External" /><Relationship Type="http://schemas.openxmlformats.org/officeDocument/2006/relationships/hyperlink" Id="rId164" Target="https://doi.org/10.18637/jss.v036.i03" TargetMode="External" /><Relationship Type="http://schemas.openxmlformats.org/officeDocument/2006/relationships/hyperlink" Id="rId54" Target="https://doi.org/10.18637/jss.v080.i01" TargetMode="External" /><Relationship Type="http://schemas.openxmlformats.org/officeDocument/2006/relationships/hyperlink" Id="rId78" Target="https://doi.org/10.2903/j.efsa.2010.1570" TargetMode="External" /><Relationship Type="http://schemas.openxmlformats.org/officeDocument/2006/relationships/hyperlink" Id="rId76" Target="https://doi.org/10.2903/j.efsa.2012.2831" TargetMode="External" /><Relationship Type="http://schemas.openxmlformats.org/officeDocument/2006/relationships/hyperlink" Id="rId135" Target="https://doi.org/10.2903/sp.efsa.2024.EN-8925" TargetMode="External" /><Relationship Type="http://schemas.openxmlformats.org/officeDocument/2006/relationships/hyperlink" Id="rId66" Target="https://doi.org/10.3109/10408444.2013.832726" TargetMode="External" /><Relationship Type="http://schemas.openxmlformats.org/officeDocument/2006/relationships/hyperlink" Id="rId101" Target="https://doi.org/10.3758/s13423-013-0572-3" TargetMode="External" /><Relationship Type="http://schemas.openxmlformats.org/officeDocument/2006/relationships/hyperlink" Id="rId56" Target="https://doi.org/10.47102/annals-acadmedsg.2025104" TargetMode="External" /><Relationship Type="http://schemas.openxmlformats.org/officeDocument/2006/relationships/hyperlink" Id="rId85" Target="https://doi.org/10.48550/ARXIV.2011.01808" TargetMode="External" /><Relationship Type="http://schemas.openxmlformats.org/officeDocument/2006/relationships/hyperlink" Id="rId22" Target="https://github.com/PaulinaSell/lead-IQ_meta-analysis" TargetMode="External" /><Relationship Type="http://schemas.openxmlformats.org/officeDocument/2006/relationships/hyperlink" Id="rId17" Target="https://www.eu-parc.eu" TargetMode="External" /><Relationship Type="http://schemas.openxmlformats.org/officeDocument/2006/relationships/hyperlink" Id="rId12"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uncertainty: A comparison of Bayesian and frequentist meta-analytic frameworks applied to lead exposure and children’s IQ</dc:title>
  <dc:creator>Paulina Sell1,✉, Margaux Sanchez2, Philippe Palmont2, Simon Steiger3, and Dietrich Plass1</dc:creator>
  <cp:keywords/>
  <dcterms:created xsi:type="dcterms:W3CDTF">2026-04-23T10:20:05Z</dcterms:created>
  <dcterms:modified xsi:type="dcterms:W3CDTF">2026-04-23T10:20:05Z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elsevier-harvard.csl</vt:lpwstr>
  </property>
  <property fmtid="{D5CDD505-2E9C-101B-9397-08002B2CF9AE}" pid="8" name="date-format">
    <vt:lpwstr>D MMMM YYYY</vt:lpwstr>
  </property>
  <property fmtid="{D5CDD505-2E9C-101B-9397-08002B2CF9AE}" pid="9" name="date-modified">
    <vt:lpwstr>23 April 2026</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