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practical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498"/>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498"/>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Background</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We performed frequentist and Bayesian meta-analyses to compare uncertainty quantification and applicability for risk assessment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harmonised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-3.82 to -1.08)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-3.54 to -1.04).</w:t>
      </w:r>
      <w:r>
        <w:t xml:space="preserve"> </w:t>
      </w:r>
      <w:r>
        <w:t xml:space="preserve">Between-study heterogeneity was substantial (frequentist:</w:t>
      </w:r>
      <w:r>
        <w:t xml:space="preserve"> </w:t>
      </w:r>
      <m:oMath>
        <m:sSup>
          <m:e>
            <m:r>
              <m:t>τ</m:t>
            </m:r>
          </m:e>
          <m:sup>
            <m:r>
              <m:t>2</m:t>
            </m:r>
          </m:sup>
        </m:sSup>
      </m:oMath>
      <w:r>
        <w:t xml:space="preserve"> </w:t>
      </w:r>
      <w:r>
        <w:t xml:space="preserve">= 3.32,</w:t>
      </w:r>
      <w:r>
        <w:t xml:space="preserve"> </w:t>
      </w:r>
      <m:oMath>
        <m:sSup>
          <m:e>
            <m:r>
              <m:rPr>
                <m:nor/>
                <m:sty m:val="p"/>
              </m:rPr>
              <m:t>I</m:t>
            </m:r>
          </m:e>
          <m:sup>
            <m:r>
              <m:t>2</m:t>
            </m:r>
          </m:sup>
        </m:sSup>
      </m:oMath>
      <w:r>
        <w:t xml:space="preserve"> </w:t>
      </w:r>
      <w:r>
        <w:t xml:space="preserve">= 85.0%; Bayesian: posterior median</w:t>
      </w:r>
      <w:r>
        <w:t xml:space="preserve"> </w:t>
      </w:r>
      <m:oMath>
        <m:sSup>
          <m:e>
            <m:r>
              <m:t>τ</m:t>
            </m:r>
          </m:e>
          <m:sup>
            <m:r>
              <m:t>2</m:t>
            </m:r>
          </m:sup>
        </m:sSup>
      </m:oMath>
      <w:r>
        <w:t xml:space="preserve"> </w:t>
      </w:r>
      <w:r>
        <w:t xml:space="preserve">= 3.26,</w:t>
      </w:r>
      <w:r>
        <w:t xml:space="preserve"> </w:t>
      </w:r>
      <m:oMath>
        <m:sSup>
          <m:e>
            <m:r>
              <m:rPr>
                <m:nor/>
                <m:sty m:val="p"/>
              </m:rPr>
              <m:t>I</m:t>
            </m:r>
          </m:e>
          <m:sup>
            <m:r>
              <m:t>2</m:t>
            </m:r>
          </m:sup>
        </m:sSup>
      </m:oMath>
      <w:r>
        <w:t xml:space="preserve"> </w:t>
      </w:r>
      <w:r>
        <w:t xml:space="preserve">= 84.7%).</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both frameworks were robust to RoB, and Bayesian estimates were insensitive to tested priors.</w:t>
      </w:r>
      <w:r>
        <w:t xml:space="preserve"> </w:t>
      </w:r>
      <w:r>
        <w:t xml:space="preserve">Depending on the chosen prior configuration, the Bayesian model was less sensitive to studies reporting substantial uncertainty, resulting in a lower pooled effect compared to the frequentist model.</w:t>
      </w:r>
      <w:r>
        <w:t xml:space="preserve"> </w:t>
      </w:r>
      <w:r>
        <w:t xml:space="preserve">This regularisation is particularly valuable in small meta-analyses, where frequentist heterogeneity estimates can be unstable.</w:t>
      </w:r>
    </w:p>
    <w:p>
      <w:pPr>
        <w:pStyle w:val="BodyText"/>
      </w:pPr>
      <w:r>
        <w:rPr>
          <w:b/>
          <w:bCs/>
        </w:rPr>
        <w:t xml:space="preserve">Conclusions</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behaviour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characterise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synthesised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having a 95% probability of containing the unknown parameter</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synthesise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r>
        <w:t xml:space="preserve"> </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Exposure, Comparator, Outcome, Timing of exposure and Setting (Table 1).</w:t>
      </w:r>
    </w:p>
    <w:p>
      <w:pPr>
        <w:pStyle w:val="BodyText"/>
      </w:pPr>
      <w:r>
        <w:t xml:space="preserve">We excluded reviews and background articles that inventoried the literature without quantitatively summarising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harmonised.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categorised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sation-of-effect-estimates"/>
    <w:p>
      <w:pPr>
        <w:pStyle w:val="Heading2"/>
      </w:pPr>
      <w:r>
        <w:t xml:space="preserve">2.3 Harmonisation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harmonised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synthesise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for each</w:t>
      </w:r>
      <w:r>
        <w:t xml:space="preserve"> </w:t>
      </w:r>
      <m:oMath>
        <m:sSup>
          <m:e>
            <m:r>
              <m:t>τ</m:t>
            </m:r>
          </m:e>
          <m:sup>
            <m:r>
              <m:t>2</m:t>
            </m:r>
          </m:sup>
        </m:sSup>
      </m:oMath>
      <w:r>
        <w:t xml:space="preserve"> </w:t>
      </w:r>
      <w:r>
        <w:t xml:space="preserve">posterior sample.</w:t>
      </w:r>
      <w:r>
        <w:t xml:space="preserve"> </w:t>
      </w:r>
      <w:r>
        <w:t xml:space="preserve">Because the posterior distribution of</w:t>
      </w:r>
      <w:r>
        <w:t xml:space="preserve"> </w:t>
      </w:r>
      <m:oMath>
        <m:sSup>
          <m:e>
            <m:r>
              <m:t>τ</m:t>
            </m:r>
          </m:e>
          <m:sup>
            <m:r>
              <m:t>2</m:t>
            </m:r>
          </m:sup>
        </m:sSup>
      </m:oMath>
      <w:r>
        <w:t xml:space="preserve"> </w:t>
      </w:r>
      <w:r>
        <w:t xml:space="preserve">is right-skewed, we summarise</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by their posterior medians rather than their posterior means, as the median represents the typical value more faithfully and keeps the reported point estimates consistent with their credible intervals (for further detail, see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harmonised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centred at -1 with a standard deviation (SD) of 2 was chosen.</w:t>
      </w:r>
      <w:r>
        <w:t xml:space="preserve"> </w:t>
      </w:r>
      <w:r>
        <w:t xml:space="preserve">This reflects the prior belief that the overall pooled effect lies between -4.92 and 2.92 with</w:t>
      </w:r>
      <w:r>
        <w:t xml:space="preserve"> </w:t>
      </w:r>
      <m:oMath>
        <m:r>
          <m:rPr>
            <m:sty m:val="p"/>
          </m:rPr>
          <m:t>∼</m:t>
        </m:r>
      </m:oMath>
      <w:r>
        <w:t xml:space="preserve"> </w:t>
      </w:r>
      <w:r>
        <w:t xml:space="preserve">95% probability.</w:t>
      </w:r>
      <w:r>
        <w:t xml:space="preserve"> </w:t>
      </w:r>
      <w:r>
        <w:t xml:space="preserve">The centre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with a small-sample adjustment, assuming the same multilevel structure as for the Bayesian model (</w:t>
      </w:r>
      <w:hyperlink w:anchor="eq-model">
        <w:r>
          <w:rPr>
            <w:rStyle w:val="Hyperlink"/>
          </w:rPr>
          <w:t xml:space="preserve">Equation 2</w:t>
        </w:r>
      </w:hyperlink>
      <w:r>
        <w:t xml:space="preserve">)</w:t>
      </w:r>
      <w:r>
        <w:t xml:space="preserve"> </w:t>
      </w:r>
      <w:r>
        <w:t xml:space="preserve">[41]</w:t>
      </w:r>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[42]</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alternative sets of priors that we consider to be extreme but still reasonable.</w:t>
      </w:r>
      <w:r>
        <w:t xml:space="preserve"> </w:t>
      </w:r>
      <w:r>
        <w:t xml:space="preserve">One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A second set of priors was less informative (ignorant)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centred around 0, giving equal weight to the probability of a protective and detrimental effect of lead.</w:t>
      </w:r>
      <w:r>
        <w:t xml:space="preserve"> </w:t>
      </w:r>
      <w:r>
        <w:t xml:space="preserve">To be able to discern the individual impact of the prior settings for</w:t>
      </w:r>
      <w:r>
        <w:t xml:space="preserve"> </w:t>
      </w:r>
      <m:oMath>
        <m:r>
          <m:t>μ</m:t>
        </m:r>
      </m:oMath>
      <w:r>
        <w:t xml:space="preserve"> </w:t>
      </w:r>
      <w:r>
        <w:t xml:space="preserve">and</w:t>
      </w:r>
      <w:r>
        <w:t xml:space="preserve"> </w:t>
      </w:r>
      <m:oMath>
        <m:sSup>
          <m:e>
            <m:r>
              <m:t>τ</m:t>
            </m:r>
          </m:e>
          <m:sup>
            <m:r>
              <m:t>2</m:t>
            </m:r>
          </m:sup>
        </m:sSup>
      </m:oMath>
      <w:r>
        <w:t xml:space="preserve">, we varied one of the two parameters while holding the other constant.</w:t>
      </w:r>
      <w:r>
        <w:t xml:space="preserve"> </w:t>
      </w:r>
      <w:r>
        <w:t xml:space="preserve">The location of the</w:t>
      </w:r>
      <w:r>
        <w:t xml:space="preserve"> </w:t>
      </w:r>
      <m:oMath>
        <m:r>
          <m:t>μ</m:t>
        </m:r>
      </m:oMath>
      <w:r>
        <w:t xml:space="preserve"> </w:t>
      </w:r>
      <w:r>
        <w:t xml:space="preserve">prior was varied to values a third and three times that of the default value, while</w:t>
      </w:r>
      <w:r>
        <w:t xml:space="preserve"> </w:t>
      </w:r>
      <m:oMath>
        <m:r>
          <m:t>τ</m:t>
        </m:r>
      </m:oMath>
      <w:r>
        <w:t xml:space="preserve"> </w:t>
      </w:r>
      <w:r>
        <w:t xml:space="preserve">was held 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and the same was done for the scale of the</w:t>
      </w:r>
      <w:r>
        <w:t xml:space="preserve"> </w:t>
      </w:r>
      <m:oMath>
        <m:sSup>
          <m:e>
            <m:r>
              <m:t>τ</m:t>
            </m:r>
          </m:e>
          <m:sup>
            <m:r>
              <m:t>2</m:t>
            </m:r>
          </m:sup>
        </m:sSup>
      </m:oMath>
      <w:r>
        <w:t xml:space="preserve"> </w:t>
      </w:r>
      <w:r>
        <w:t xml:space="preserve">prior 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(Table 4).</w:t>
      </w:r>
      <w:r>
        <w:t xml:space="preserve"> </w:t>
      </w:r>
      <w:r>
        <w:t xml:space="preserve">We decided to hold</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instead of the setting in the main analysis</w:t>
      </w:r>
      <w:r>
        <w:t xml:space="preserve"> </w:t>
      </w:r>
      <m:oMath>
        <m:r>
          <m:rPr>
            <m:scr m:val="script"/>
            <m:sty m:val="p"/>
          </m:rPr>
          <m:t>N</m:t>
        </m:r>
        <m:r>
          <m:rPr>
            <m:sty m:val="p"/>
          </m:rPr>
          <m:t>(</m:t>
        </m:r>
        <m:r>
          <m:rPr>
            <m:sty m:val="p"/>
          </m:rPr>
          <m:t>−</m:t>
        </m:r>
        <m:r>
          <m:t>1</m:t>
        </m:r>
        <m:r>
          <m:rPr>
            <m:sty m:val="p"/>
          </m:rPr>
          <m:t>,</m:t>
        </m:r>
        <m:r>
          <m:t>2</m:t>
        </m:r>
        <m:r>
          <m:rPr>
            <m:sty m:val="p"/>
          </m:rPr>
          <m:t>)</m:t>
        </m:r>
      </m:oMath>
      <w:r>
        <w:t xml:space="preserve"> </w:t>
      </w:r>
      <w:r>
        <w:t xml:space="preserve">because it allowed us to examine if Bayesian and frequentist estimates converge under a very wide</w:t>
      </w:r>
      <w:r>
        <w:t xml:space="preserve"> </w:t>
      </w:r>
      <m:oMath>
        <m:r>
          <m:t>μ</m:t>
        </m:r>
      </m:oMath>
      <w:r>
        <w:t xml:space="preserve"> </w:t>
      </w:r>
      <w:r>
        <w:t xml:space="preserve">prior and weak shrinkage.</w:t>
      </w:r>
    </w:p>
    <w:bookmarkEnd w:id="29"/>
    <w:bookmarkEnd w:id="30"/>
    <w:bookmarkStart w:id="43"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were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pStyle w:val="BodyText"/>
      </w:pPr>
      <w:r>
        <w:t xml:space="preserve">A PRISMA flow diagram summarising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[43]</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[36,44–48]</w:t>
      </w:r>
      <w:r>
        <w:t xml:space="preserve"> </w:t>
      </w:r>
      <w:r>
        <w:t xml:space="preserve">and cohort studies</w:t>
      </w:r>
      <w:r>
        <w:t xml:space="preserve"> </w:t>
      </w:r>
      <w:r>
        <w:t xml:space="preserve">[25,43,49–51]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[43,44,52]</w:t>
      </w:r>
      <w:r>
        <w:t xml:space="preserve">.</w:t>
      </w:r>
      <w:r>
        <w:t xml:space="preserve"> </w:t>
      </w:r>
      <w:r>
        <w:t xml:space="preserve">The study by</w:t>
      </w:r>
      <w:r>
        <w:t xml:space="preserve"> </w:t>
      </w:r>
      <w:r>
        <w:t xml:space="preserve">[48]</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[36,44,45,48–52]</w:t>
      </w:r>
      <w:r>
        <w:t xml:space="preserve">,</w:t>
      </w:r>
      <w:r>
        <w:t xml:space="preserve"> </w:t>
      </w:r>
      <w:r>
        <w:t xml:space="preserve">two with a moderate RoB</w:t>
      </w:r>
      <w:r>
        <w:t xml:space="preserve"> </w:t>
      </w:r>
      <w:r>
        <w:t xml:space="preserve">[46,47]</w:t>
      </w:r>
      <w:r>
        <w:t xml:space="preserve"> </w:t>
      </w:r>
      <w:r>
        <w:t xml:space="preserve">and two studies with a high RoB rating</w:t>
      </w:r>
      <w:r>
        <w:t xml:space="preserve"> </w:t>
      </w:r>
      <w:r>
        <w:t xml:space="preserve">[25,43]</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[53]</w:t>
      </w:r>
      <w:r>
        <w:t xml:space="preserve">.</w:t>
      </w:r>
      <w:r>
        <w:t xml:space="preserve"> </w:t>
      </w:r>
      <w:r>
        <w:t xml:space="preserve">Finally, in the item</w:t>
      </w:r>
      <w:r>
        <w:t xml:space="preserve"> </w:t>
      </w:r>
      <w:r>
        <w:rPr>
          <w:i/>
          <w:iCs/>
        </w:rPr>
        <w:t xml:space="preserve">handling of missing values</w:t>
      </w:r>
      <w:r>
        <w:t xml:space="preserve">, some of the studies contained no information on how missing data was handled, while in other studies they were handled inadequately (3x high RoB, 4x some concerns).</w:t>
      </w:r>
      <w:r>
        <w:t xml:space="preserve"> </w:t>
      </w:r>
      <w:r>
        <w:t xml:space="preserve">Results from the RoB assessment are presented in Table 3.</w:t>
      </w:r>
    </w:p>
    <w:bookmarkEnd w:id="35"/>
    <w:bookmarkStart w:id="39" w:name="meta-analysis-1"/>
    <w:p>
      <w:pPr>
        <w:pStyle w:val="Heading2"/>
      </w:pPr>
      <w:r>
        <w:t xml:space="preserve">3.3 Meta-Analysis</w:t>
      </w:r>
    </w:p>
    <w:p>
      <w:pPr>
        <w:pStyle w:val="FirstParagraph"/>
      </w:pPr>
      <w:r>
        <w:t xml:space="preserve">The prior predictive check indicated that the specified priors were appropriate (additional file 5a).</w:t>
      </w:r>
      <w:r>
        <w:t xml:space="preserve"> </w:t>
      </w:r>
      <w:r>
        <w:t xml:space="preserve">The posterior predictive check showed that the model correctly captured important patterns in the data (additional file 5b).</w:t>
      </w:r>
      <w:r>
        <w:t xml:space="preserve"> </w:t>
      </w:r>
      <m:oMath>
        <m:acc>
          <m:accPr>
            <m:chr m:val="̂"/>
          </m:accPr>
          <m:e>
            <m:r>
              <m:t>R</m:t>
            </m:r>
          </m:e>
        </m:acc>
      </m:oMath>
      <w:r>
        <w:t xml:space="preserve"> </w:t>
      </w:r>
      <w:r>
        <w:t xml:space="preserve">values indicated that all MCMC chains converged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indicated that sampling was efficient and central point estimates and credible intervals could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-3.54 to -1.04) IQ points per log-unit increase in BLL (µg/dL) (see Fig. 2).</w:t>
      </w:r>
      <w:r>
        <w:t xml:space="preserve"> </w:t>
      </w:r>
      <w:r>
        <w:t xml:space="preserve">The frequentist approach produced a comparable pooled estimate of -2.45 (95% confidence interval (CI): -3.82 to -1.08).</w:t>
      </w:r>
      <w:r>
        <w:t xml:space="preserve"> </w:t>
      </w:r>
      <w:r>
        <w:t xml:space="preserve">Substantial between-study heterogeneity was observed under both frameworks.</w:t>
      </w:r>
      <w:r>
        <w:t xml:space="preserve"> </w:t>
      </w:r>
      <w:r>
        <w:t xml:space="preserve">In the Bayesian framework, between-study heterogeneity was estimated as a posterior median</w:t>
      </w:r>
      <w:r>
        <w:t xml:space="preserve"> </w:t>
      </w:r>
      <m:oMath>
        <m:sSup>
          <m:e>
            <m:r>
              <m:t>τ</m:t>
            </m:r>
          </m:e>
          <m:sup>
            <m:r>
              <m:t>2</m:t>
            </m:r>
          </m:sup>
        </m:sSup>
      </m:oMath>
      <w:r>
        <w:t xml:space="preserve"> </w:t>
      </w:r>
      <w:r>
        <w:t xml:space="preserve">of 3.26 (95% CrI: 1.04 to 9.50), corresponding to an</w:t>
      </w:r>
      <w:r>
        <w:t xml:space="preserve"> </w:t>
      </w:r>
      <m:oMath>
        <m:sSup>
          <m:e>
            <m:r>
              <m:rPr>
                <m:nor/>
                <m:sty m:val="p"/>
              </m:rPr>
              <m:t>I</m:t>
            </m:r>
          </m:e>
          <m:sup>
            <m:r>
              <m:t>2</m:t>
            </m:r>
          </m:sup>
        </m:sSup>
      </m:oMath>
      <w:r>
        <w:t xml:space="preserve"> </w:t>
      </w:r>
      <w:r>
        <w:t xml:space="preserve">of 84.7% (95% CrI: 63.9% to 94.2%).</w:t>
      </w:r>
      <w:r>
        <w:t xml:space="preserve"> </w:t>
      </w:r>
      <w:r>
        <w:t xml:space="preserve">The frequentist model estimated a closely comparable</w:t>
      </w:r>
      <w:r>
        <w:t xml:space="preserve"> </w:t>
      </w:r>
      <m:oMath>
        <m:sSup>
          <m:e>
            <m:r>
              <m:t>τ</m:t>
            </m:r>
          </m:e>
          <m:sup>
            <m:r>
              <m:t>2</m:t>
            </m:r>
          </m:sup>
        </m:sSup>
      </m:oMath>
      <w:r>
        <w:t xml:space="preserve"> </w:t>
      </w:r>
      <w:r>
        <w:t xml:space="preserve">= 3.32 (95% CI: 0.99 to 11.67), with</w:t>
      </w:r>
      <w:r>
        <w:t xml:space="preserve"> </w:t>
      </w:r>
      <m:oMath>
        <m:sSup>
          <m:e>
            <m:r>
              <m:rPr>
                <m:nor/>
                <m:sty m:val="p"/>
              </m:rPr>
              <m:t>I</m:t>
            </m:r>
          </m:e>
          <m:sup>
            <m:r>
              <m:t>2</m:t>
            </m:r>
          </m:sup>
        </m:sSup>
      </m:oMath>
      <w:r>
        <w:t xml:space="preserve"> </w:t>
      </w:r>
      <w:r>
        <w:t xml:space="preserve">= 85.0%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between frameworks because Bayesian shrinkage pulls individual study estimates towards the pooled mean, borrowing information from the overall mean.</w:t>
      </w:r>
      <w:r>
        <w:t xml:space="preserve"> </w:t>
      </w:r>
      <w:r>
        <w:t xml:space="preserve">This has no equivalent in the frequentist framework, where the contribution of each study to the pooled effect is determined by inverse-variance weighting.</w:t>
      </w:r>
      <w:r>
        <w:t xml:space="preserve"> </w:t>
      </w:r>
      <w:r>
        <w:t xml:space="preserve">The degree of shrinkage does, however, depend on each study’s precision in a way that parallels inverse-variance weighting: more precise studies are shrunk less (and are also weighted more heavily towards the frequentist pooled estimate), while less precise studies are shrunk more (and weighted less).</w:t>
      </w:r>
    </w:p>
    <w:bookmarkEnd w:id="39"/>
    <w:bookmarkStart w:id="42" w:name="sensitivity-analysis-1"/>
    <w:p>
      <w:pPr>
        <w:pStyle w:val="Heading2"/>
      </w:pPr>
      <w:r>
        <w:t xml:space="preserve">3.4 Sensitivity Analysis</w:t>
      </w:r>
    </w:p>
    <w:bookmarkStart w:id="40" w:name="risk-of-bias-1"/>
    <w:p>
      <w:pPr>
        <w:pStyle w:val="Heading3"/>
      </w:pPr>
      <w:r>
        <w:t xml:space="preserve">3.4.1 Risk of Bias</w:t>
      </w:r>
    </w:p>
    <w:p>
      <w:pPr>
        <w:pStyle w:val="FirstParagraph"/>
      </w:pP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showed that the results were robust to possible individual-study bias (Table 4).</w:t>
      </w:r>
    </w:p>
    <w:bookmarkEnd w:id="40"/>
    <w:bookmarkStart w:id="41" w:name="prior-sensitivity"/>
    <w:p>
      <w:pPr>
        <w:pStyle w:val="Heading3"/>
      </w:pPr>
      <w:r>
        <w:t xml:space="preserve">3.4.2 Prior Sensitivity</w:t>
      </w:r>
    </w:p>
    <w:p>
      <w:pPr>
        <w:pStyle w:val="FirstParagraph"/>
      </w:pP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decreased (Table 4).</w:t>
      </w:r>
      <w:r>
        <w:t xml:space="preserve"> </w:t>
      </w:r>
      <w:r>
        <w:t xml:space="preserve">This is expected, because the narrow</w:t>
      </w:r>
      <w:r>
        <w:t xml:space="preserve"> </w:t>
      </w:r>
      <m:oMath>
        <m:r>
          <m:t>μ</m:t>
        </m:r>
      </m:oMath>
      <w:r>
        <w:t xml:space="preserve"> </w:t>
      </w:r>
      <w:r>
        <w:t xml:space="preserve">prior, together with stronger shrinkage, favours a tighter posterior distribution with effect ranges closer to -1, the mean of</w:t>
      </w:r>
      <w:r>
        <w:t xml:space="preserve"> </w:t>
      </w:r>
      <m:oMath>
        <m:r>
          <m:t>μ</m:t>
        </m:r>
      </m:oMath>
      <w:r>
        <w:t xml:space="preserve">’s prior.</w:t>
      </w:r>
      <w:r>
        <w:t xml:space="preserve"> </w:t>
      </w:r>
      <w:r>
        <w:t xml:space="preserve">When using less informative (ignorant)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increased slightly compared to the main model.</w:t>
      </w:r>
      <w:r>
        <w:t xml:space="preserve"> </w:t>
      </w:r>
      <w:r>
        <w:t xml:space="preserve">This set of priors gives more weight to studies reporting high effects with large uncertainty ranges.</w:t>
      </w:r>
    </w:p>
    <w:p>
      <w:pPr>
        <w:pStyle w:val="BodyText"/>
      </w:pPr>
      <w:r>
        <w:t xml:space="preserve">Varying the prior on the location of</w:t>
      </w:r>
      <w:r>
        <w:t xml:space="preserve"> </w:t>
      </w:r>
      <m:oMath>
        <m:r>
          <m:t>μ</m:t>
        </m:r>
      </m:oMath>
      <w:r>
        <w:t xml:space="preserve"> </w:t>
      </w:r>
      <w:r>
        <w:t xml:space="preserve">while holding</w:t>
      </w:r>
      <w:r>
        <w:t xml:space="preserve"> </w:t>
      </w:r>
      <m:oMath>
        <m:sSup>
          <m:e>
            <m:r>
              <m:t>τ</m:t>
            </m:r>
          </m:e>
          <m:sup>
            <m:r>
              <m:t>2</m:t>
            </m:r>
          </m:sup>
        </m:sSup>
      </m:oMath>
      <w:r>
        <w:t xml:space="preserve"> </w:t>
      </w:r>
      <w:r>
        <w:t xml:space="preserve">at</w:t>
      </w:r>
      <w:r>
        <w:t xml:space="preserve"> </w:t>
      </w:r>
      <m:oMath>
        <m:sSup>
          <m:e>
            <m:r>
              <m:rPr>
                <m:scr m:val="script"/>
                <m:sty m:val="p"/>
              </m:rPr>
              <m:t>N</m:t>
            </m:r>
          </m:e>
          <m:sup>
            <m:r>
              <m:rPr>
                <m:sty m:val="p"/>
              </m:rPr>
              <m:t>+</m:t>
            </m:r>
          </m:sup>
        </m:sSup>
        <m:r>
          <m:rPr>
            <m:sty m:val="p"/>
          </m:rPr>
          <m:t>(</m:t>
        </m:r>
        <m:r>
          <m:t>0</m:t>
        </m:r>
        <m:r>
          <m:rPr>
            <m:sty m:val="p"/>
          </m:rPr>
          <m:t>,</m:t>
        </m:r>
        <m:r>
          <m:t>2</m:t>
        </m:r>
        <m:r>
          <m:rPr>
            <m:sty m:val="p"/>
          </m:rPr>
          <m:t>)</m:t>
        </m:r>
      </m:oMath>
      <w:r>
        <w:t xml:space="preserve">, we found neither skeptical nor enthusiastic priors on the location of</w:t>
      </w:r>
      <w:r>
        <w:t xml:space="preserve"> </w:t>
      </w:r>
      <m:oMath>
        <m:r>
          <m:t>μ</m:t>
        </m:r>
      </m:oMath>
      <w:r>
        <w:t xml:space="preserve"> </w:t>
      </w:r>
      <w:r>
        <w:t xml:space="preserve">substantially altered our conclusions.</w:t>
      </w:r>
      <w:r>
        <w:t xml:space="preserve"> </w:t>
      </w:r>
      <w:r>
        <w:t xml:space="preserve">Varying the strength of shrinkage by decreasing or increasing the scale of</w:t>
      </w:r>
      <w:r>
        <w:t xml:space="preserve"> </w:t>
      </w:r>
      <m:oMath>
        <m:sSup>
          <m:e>
            <m:r>
              <m:t>τ</m:t>
            </m:r>
          </m:e>
          <m:sup>
            <m:r>
              <m:t>2</m:t>
            </m:r>
          </m:sup>
        </m:sSup>
      </m:oMath>
      <w:r>
        <w:t xml:space="preserve"> </w:t>
      </w:r>
      <w:r>
        <w:t xml:space="preserve">while holding</w:t>
      </w:r>
      <w:r>
        <w:t xml:space="preserve"> </w:t>
      </w:r>
      <m:oMath>
        <m:r>
          <m:t>μ</m:t>
        </m:r>
      </m:oMath>
      <w:r>
        <w:t xml:space="preserve"> </w:t>
      </w:r>
      <w:r>
        <w:t xml:space="preserve">at</w:t>
      </w:r>
      <w:r>
        <w:t xml:space="preserve"> </w:t>
      </w:r>
      <m:oMath>
        <m:r>
          <m:rPr>
            <m:scr m:val="script"/>
            <m:sty m:val="p"/>
          </m:rPr>
          <m:t>N</m:t>
        </m:r>
        <m:r>
          <m:rPr>
            <m:sty m:val="p"/>
          </m:rPr>
          <m:t>(</m:t>
        </m:r>
        <m:r>
          <m:t>0</m:t>
        </m:r>
        <m:r>
          <m:rPr>
            <m:sty m:val="p"/>
          </m:rPr>
          <m:t>,</m:t>
        </m:r>
        <m:r>
          <m:t>100</m:t>
        </m:r>
        <m:r>
          <m:rPr>
            <m:sty m:val="p"/>
          </m:rPr>
          <m:t>)</m:t>
        </m:r>
      </m:oMath>
      <w:r>
        <w:t xml:space="preserve"> </w:t>
      </w:r>
      <w:r>
        <w:t xml:space="preserve">also did not substantially alter our conclusions.</w:t>
      </w:r>
      <w:r>
        <w:t xml:space="preserve"> </w:t>
      </w:r>
      <w:r>
        <w:t xml:space="preserve">The estimate for</w:t>
      </w:r>
      <w:r>
        <w:t xml:space="preserve"> </w:t>
      </w:r>
      <m:oMath>
        <m:r>
          <m:t>μ</m:t>
        </m:r>
      </m:oMath>
      <w:r>
        <w:t xml:space="preserve"> </w:t>
      </w:r>
      <w:r>
        <w:t xml:space="preserve">under weak shrinkage matched that of the frequentist analysis, while the estimate under strong shrinkage was notably more conservative.</w:t>
      </w:r>
      <w:r>
        <w:t xml:space="preserve"> </w:t>
      </w:r>
      <w:r>
        <w:t xml:space="preserve">This is because many of the strongly negative coefficients were reported by uncertain studies which are in turn more affected by shrinkage, pulling their estimands closer towards zero.</w:t>
      </w:r>
    </w:p>
    <w:p>
      <w:pPr>
        <w:pStyle w:val="BodyText"/>
      </w:pPr>
      <w:r>
        <w:t xml:space="preserve">For further detail on these analyses, see additional file 5d-f for prior, likelihood and posterior distributions of all prior sensitivity analyses.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4: Results of sensitivity analyses by framework</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Framework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Variant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Estimate (95% UI)</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 (-3.60, -0.43)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(-3.39,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Frequentist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 sample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-2.45 (-3.82, -1.08)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RoB only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(-4.21,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Low/Medium RoB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(-3.68, -0.60)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b w:val="true"/>
              </w:rPr>
              <w:t xml:space="default">Priors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Bayesian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-2.28 (-3.54, -1.04)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Narrow: mu=N(-1, 1), tau=N+(0, 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 (-3.01,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Ignorant: mu=N(0, 6),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-2.46 (-3.97, -1.13)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Skeptical: mu=N(-0.33,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 (-3.46, -0.96)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Enthusiastic: mu=N(-3, 2),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(-3.82, -1.29)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Default shrinkage: mu=N(0,100), tau=N+(0, 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 (-3.90, -1.14)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Strong shrinkage: mu=N(0,100), tau=N+(0, 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(-3.42, -1.20)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Weak shrinkage: mu=N(0,100), tau=N+(0, 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 (-4.04, -1.11)</w:t>
            </w:r>
          </w:p>
        </w:tc>
      </w:tr>
      <w:tr>
        <w:trPr>
          <w:cantSplit/>
        </w:trPr>
        <w:tc>
          <w:tcPr>
            <w:gridSpan w:val="3"/>
          </w:tcPr>
          <w:p>
            <w:pPr>
              <w:spacing w:before="0" w:after="60"/>
              <w:keepNext/>
            </w:pPr>
            <w:r>
              <w:rPr>
                <w:rFonts w:ascii="Calibri" w:hAnsi="Calibri"/>
                <w:sz w:val="20"/>
              </w:rPr>
              <w:t xml:space="default">RoB, risk of bias; UI, uncertainty interval (credible interval for Bayesian and confidence interval for frequentist model results). Rows varying only the effect prior hold the heterogeneity prior at N+(0, 2); rows varying only the heterogeneity prior hold the effect prior at Normal(0, 100), which is effectively flat but not improper. distribution truncated at zero.</w:t>
            </w:r>
          </w:p>
        </w:tc>
      </w:tr>
    </w:tbl>
    <w:bookmarkEnd w:id="41"/>
    <w:bookmarkEnd w:id="42"/>
    <w:bookmarkEnd w:id="43"/>
    <w:bookmarkStart w:id="44"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meta-analytic frameworks, they focus either on evidence-based medicine</w:t>
      </w:r>
      <w:r>
        <w:t xml:space="preserve"> </w:t>
      </w:r>
      <w:r>
        <w:t xml:space="preserve">[54–57]</w:t>
      </w:r>
      <w:r>
        <w:t xml:space="preserve"> </w:t>
      </w:r>
      <w:r>
        <w:t xml:space="preserve">or network meta-analysis</w:t>
      </w:r>
      <w:r>
        <w:t xml:space="preserve"> </w:t>
      </w:r>
      <w:r>
        <w:t xml:space="preserve">[58,59]</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both the prior for the overall effect (</w:t>
      </w:r>
      <m:oMath>
        <m:r>
          <m:t>μ</m:t>
        </m:r>
      </m:oMath>
      <w:r>
        <w:t xml:space="preserve">) and the posterior shrinkage of individual study estimates, influenced by the heterogeneity prior (</w:t>
      </w:r>
      <m:oMath>
        <m:r>
          <m:t>τ</m:t>
        </m:r>
      </m:oMath>
      <w:r>
        <w:t xml:space="preserve">), as illustrated by the sensitivity analyses (Table 4).</w:t>
      </w:r>
      <w:r>
        <w:t xml:space="preserve"> </w:t>
      </w:r>
      <w:r>
        <w:t xml:space="preserve">Importantly, this difference does not relevantly affect the overall interpretation of the association between lead exposure and IQ.</w:t>
      </w:r>
    </w:p>
    <w:p>
      <w:pPr>
        <w:pStyle w:val="BodyText"/>
      </w:pPr>
      <w:r>
        <w:t xml:space="preserve">The two frameworks may differ in how they treat studies reporting substantial uncertainty depending on prior configuration and sample size.</w:t>
      </w:r>
      <w:r>
        <w:t xml:space="preserve"> </w:t>
      </w:r>
      <w:r>
        <w:t xml:space="preserve">Bayesian meta-analysis can be set up such that it is less sensitive to these uncertain studies: a narrower prior distribution for the heterogeneity leads to stronger shrinkage, giving less weight to uncertain studies (Table 4).</w:t>
      </w:r>
      <w:r>
        <w:t xml:space="preserve"> </w:t>
      </w:r>
      <w:r>
        <w:t xml:space="preserve">In contrast, frequentist models rely on inverse-variance weighting that is fully determined by the data – uncertain studies are weighted less, but the degree to which this happens cannot be configured by the researcher.</w:t>
      </w:r>
      <w:r>
        <w:t xml:space="preserve"> </w:t>
      </w:r>
      <w:r>
        <w:t xml:space="preserve">Setting the model up for stronger shrinkage via priors can therefore be particularly relevant in meta-analyses analysing only a small set of studies.</w:t>
      </w:r>
      <w:r>
        <w:t xml:space="preserve"> </w:t>
      </w:r>
      <w:r>
        <w:t xml:space="preserve">Here, the observed heterogeneity may be high simply due to the small sample size, leaving our pooled estimate prone to being disproportionately impacted by a handful of uncertain studies.</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characterise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standardised mean differences</w:t>
      </w:r>
      <w:r>
        <w:t xml:space="preserve"> </w:t>
      </w:r>
      <w:r>
        <w:t xml:space="preserve">[64]</w:t>
      </w:r>
      <w:r>
        <w:t xml:space="preserve">.</w:t>
      </w:r>
    </w:p>
    <w:p>
      <w:pPr>
        <w:pStyle w:val="BodyText"/>
      </w:pPr>
      <w:r>
        <w:t xml:space="preserve">The RoB sensitivity analysis indicated that results were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criticised</w:t>
      </w:r>
      <w:r>
        <w:t xml:space="preserve"> </w:t>
      </w:r>
      <w:r>
        <w:t xml:space="preserve">[53,65,66]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[44,50]</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[52]</w:t>
      </w:r>
      <w:r>
        <w:t xml:space="preserve">.</w:t>
      </w:r>
      <w:r>
        <w:t xml:space="preserve"> </w:t>
      </w:r>
      <w:r>
        <w:t xml:space="preserve">Additionally, studies reporting larger uncertainty tended to report larger effects, suggesting a possible presence of publication bias (additional file 5g).</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The included studies were heterogeneous with respect to covariate adjustment, exposure range, IQ measurement instrument and cohort characteristics, meaning that the coefficients pooled in this study may not represent exactly the same estimand.</w:t>
      </w:r>
      <w:r>
        <w:t xml:space="preserve"> </w:t>
      </w:r>
      <w:r>
        <w:t xml:space="preserve">This limits the generalisability of the pooled estimate and complicates its interpretation for specific populations.</w:t>
      </w:r>
      <w:r>
        <w:t xml:space="preserve"> </w:t>
      </w:r>
      <w:r>
        <w:t xml:space="preserve">Whilst our study illustrates some of the differences of both Bayesian and frequentist approaches in the context of the data analysed here, it should not be taken as a comprehensive comparison of both statistical frameworks.</w:t>
      </w:r>
      <w:r>
        <w:t xml:space="preserve"> </w:t>
      </w:r>
      <w:r>
        <w:t xml:space="preserve">Such a comparison would require setting up a simulation study to systematically modify and quantify differences, which was outside the scope of the present study.</w:t>
      </w:r>
      <w:r>
        <w:t xml:space="preserve"> </w:t>
      </w:r>
      <w:r>
        <w:t xml:space="preserve">Publication bias was assessed through visual inspection only; formal statistical testing, such as Egger’s test, would provide a more rigourous evaluation.</w:t>
      </w:r>
      <w:r>
        <w:t xml:space="preserve"> </w:t>
      </w:r>
      <w:r>
        <w:t xml:space="preserve">The visual assessment suggested the presence of publication bias, which may have led to overestimation of the pooled effect.</w:t>
      </w:r>
      <w:r>
        <w:t xml:space="preserve"> </w:t>
      </w:r>
      <w:r>
        <w:t xml:space="preserve">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provide a direct comparison of a frequentist and a Bayesian random-effects meta-analysis.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rigour in study selection, data extraction, study quality appraisal, and statistical analysis.</w:t>
      </w:r>
    </w:p>
    <w:bookmarkEnd w:id="44"/>
    <w:bookmarkStart w:id="45"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an applied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In the context of our study, comparing both meta-analytic models showed that the Bayesian approach offered distinct advantages for risk assessment and policy-making by fully quantifying uncertainty – 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5"/>
    <w:bookmarkStart w:id="46"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6"/>
    <w:bookmarkStart w:id="47"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harmonisation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7"/>
    <w:bookmarkStart w:id="56" w:name="declarations"/>
    <w:p>
      <w:pPr>
        <w:pStyle w:val="Heading1"/>
      </w:pPr>
      <w:r>
        <w:t xml:space="preserve">Declarations</w:t>
      </w:r>
    </w:p>
    <w:bookmarkStart w:id="48" w:name="Xd182db0490b2de20bd2b4e4cc8698599182035f"/>
    <w:p>
      <w:pPr>
        <w:pStyle w:val="Heading2"/>
      </w:pPr>
      <w:r>
        <w:t xml:space="preserve">Ethics approval and consent to participate</w:t>
      </w:r>
    </w:p>
    <w:p>
      <w:pPr>
        <w:pStyle w:val="FirstParagraph"/>
      </w:pPr>
      <w:r>
        <w:t xml:space="preserve">Not applicable.</w:t>
      </w:r>
    </w:p>
    <w:bookmarkEnd w:id="48"/>
    <w:bookmarkStart w:id="49" w:name="consent-for-publication"/>
    <w:p>
      <w:pPr>
        <w:pStyle w:val="Heading2"/>
      </w:pPr>
      <w:r>
        <w:t xml:space="preserve">Consent for publication</w:t>
      </w:r>
    </w:p>
    <w:p>
      <w:pPr>
        <w:pStyle w:val="FirstParagraph"/>
      </w:pPr>
      <w:r>
        <w:t xml:space="preserve">Not applicable.</w:t>
      </w:r>
    </w:p>
    <w:bookmarkEnd w:id="49"/>
    <w:bookmarkStart w:id="51" w:name="availability-of-data-and-materials"/>
    <w:p>
      <w:pPr>
        <w:pStyle w:val="Heading2"/>
      </w:pPr>
      <w:r>
        <w:t xml:space="preserve">Availability of data and materials</w:t>
      </w:r>
    </w:p>
    <w:p>
      <w:pPr>
        <w:pStyle w:val="FirstParagraph"/>
      </w:pPr>
      <w:r>
        <w:t xml:space="preserve">All data and code needed to reproduce the current study are publicly available on GitHub,</w:t>
      </w:r>
      <w:r>
        <w:t xml:space="preserve"> </w:t>
      </w:r>
      <w:hyperlink r:id="rId50">
        <w:r>
          <w:rPr>
            <w:rStyle w:val="Hyperlink"/>
          </w:rPr>
          <w:t xml:space="preserve">https://github.com/PaulinaSell/lead-IQ_meta-analysis</w:t>
        </w:r>
      </w:hyperlink>
      <w:r>
        <w:t xml:space="preserve"> </w:t>
      </w:r>
      <w:r>
        <w:t xml:space="preserve">[38]</w:t>
      </w:r>
      <w:r>
        <w:t xml:space="preserve">.</w:t>
      </w:r>
    </w:p>
    <w:bookmarkEnd w:id="51"/>
    <w:bookmarkStart w:id="52" w:name="competing-interests"/>
    <w:p>
      <w:pPr>
        <w:pStyle w:val="Heading2"/>
      </w:pPr>
      <w:r>
        <w:t xml:space="preserve">Competing interests</w:t>
      </w:r>
    </w:p>
    <w:p>
      <w:pPr>
        <w:pStyle w:val="FirstParagraph"/>
      </w:pPr>
      <w:r>
        <w:t xml:space="preserve">The authors declare no competing interests.</w:t>
      </w:r>
    </w:p>
    <w:bookmarkEnd w:id="52"/>
    <w:bookmarkStart w:id="53"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3"/>
    <w:bookmarkStart w:id="54"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54"/>
    <w:bookmarkStart w:id="55" w:name="authors-contributions"/>
    <w:p>
      <w:pPr>
        <w:pStyle w:val="Heading2"/>
      </w:pPr>
      <w:r>
        <w:t xml:space="preserve">Authors’ contributions</w:t>
      </w:r>
    </w:p>
    <w:p>
      <w:pPr>
        <w:pStyle w:val="FirstParagraph"/>
      </w:pPr>
      <w:r>
        <w:t xml:space="preserve">PS: Conceptualization, data curation, formal analysis, methodology, writing – original draft, writing – review and editing.</w:t>
      </w:r>
      <w:r>
        <w:t xml:space="preserve"> </w:t>
      </w:r>
      <w:r>
        <w:t xml:space="preserve">MS and PP: Data curation, writing – review and editing.</w:t>
      </w:r>
      <w:r>
        <w:t xml:space="preserve"> </w:t>
      </w:r>
      <w:r>
        <w:t xml:space="preserve">SS: Methodology, writing – review and editing.</w:t>
      </w:r>
      <w:r>
        <w:t xml:space="preserve"> </w:t>
      </w:r>
      <w:r>
        <w:t xml:space="preserve">DP: Supervision, writing – review and editing.</w:t>
      </w:r>
      <w:r>
        <w:t xml:space="preserve"> </w:t>
      </w:r>
      <w:r>
        <w:t xml:space="preserve">All authors read and approved the final manuscript.</w:t>
      </w:r>
    </w:p>
    <w:bookmarkEnd w:id="55"/>
    <w:bookmarkEnd w:id="56"/>
    <w:bookmarkStart w:id="183" w:name="bibliography"/>
    <w:p>
      <w:pPr>
        <w:pStyle w:val="Heading1"/>
      </w:pPr>
      <w:r>
        <w:t xml:space="preserve">References</w:t>
      </w:r>
    </w:p>
    <w:bookmarkStart w:id="182" w:name="refs"/>
    <w:bookmarkStart w:id="58"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7">
        <w:r>
          <w:rPr>
            <w:rStyle w:val="Hyperlink"/>
          </w:rPr>
          <w:t xml:space="preserve">https://doi.org/10.1038/s41598-025-17943-w</w:t>
        </w:r>
      </w:hyperlink>
    </w:p>
    <w:bookmarkEnd w:id="58"/>
    <w:bookmarkStart w:id="60"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9">
        <w:r>
          <w:rPr>
            <w:rStyle w:val="Hyperlink"/>
          </w:rPr>
          <w:t xml:space="preserve">https://doi.org/10.1016/j.chemosphere.2023.138207</w:t>
        </w:r>
      </w:hyperlink>
    </w:p>
    <w:bookmarkEnd w:id="60"/>
    <w:bookmarkStart w:id="62"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61">
        <w:r>
          <w:rPr>
            <w:rStyle w:val="Hyperlink"/>
          </w:rPr>
          <w:t xml:space="preserve">https://doi.org/10.2903/j.efsa.2012.2831</w:t>
        </w:r>
      </w:hyperlink>
    </w:p>
    <w:bookmarkEnd w:id="62"/>
    <w:bookmarkStart w:id="64"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3">
        <w:r>
          <w:rPr>
            <w:rStyle w:val="Hyperlink"/>
          </w:rPr>
          <w:t xml:space="preserve">https://doi.org/10.1007/s12403-023-00535-2</w:t>
        </w:r>
      </w:hyperlink>
    </w:p>
    <w:bookmarkEnd w:id="64"/>
    <w:bookmarkStart w:id="66"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5">
        <w:r>
          <w:rPr>
            <w:rStyle w:val="Hyperlink"/>
          </w:rPr>
          <w:t xml:space="preserve">https://doi.org/10.1016/S0140-6736(25)01637-X</w:t>
        </w:r>
      </w:hyperlink>
    </w:p>
    <w:bookmarkEnd w:id="66"/>
    <w:bookmarkStart w:id="68"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7">
        <w:r>
          <w:rPr>
            <w:rStyle w:val="Hyperlink"/>
          </w:rPr>
          <w:t xml:space="preserve">https://doi.org/10.1053/j.ajkd.2018.02.358</w:t>
        </w:r>
      </w:hyperlink>
    </w:p>
    <w:bookmarkEnd w:id="68"/>
    <w:bookmarkStart w:id="70"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9">
        <w:r>
          <w:rPr>
            <w:rStyle w:val="Hyperlink"/>
          </w:rPr>
          <w:t xml:space="preserve">https://doi.org/10.1016/j.ecoenv.2022.113257</w:t>
        </w:r>
      </w:hyperlink>
    </w:p>
    <w:bookmarkEnd w:id="70"/>
    <w:bookmarkStart w:id="72"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71">
        <w:r>
          <w:rPr>
            <w:rStyle w:val="Hyperlink"/>
          </w:rPr>
          <w:t xml:space="preserve">https://doi.org/10.1161/JAHA.124.037633</w:t>
        </w:r>
      </w:hyperlink>
    </w:p>
    <w:bookmarkEnd w:id="72"/>
    <w:bookmarkStart w:id="74"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3">
        <w:r>
          <w:rPr>
            <w:rStyle w:val="Hyperlink"/>
          </w:rPr>
          <w:t xml:space="preserve">https://doi.org/10.1016/S2468-2667(18)30025-2</w:t>
        </w:r>
      </w:hyperlink>
    </w:p>
    <w:bookmarkEnd w:id="74"/>
    <w:bookmarkStart w:id="76"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5">
        <w:r>
          <w:rPr>
            <w:rStyle w:val="Hyperlink"/>
          </w:rPr>
          <w:t xml:space="preserve">https://doi.org/10.1016/j.envres.2005.10.004</w:t>
        </w:r>
      </w:hyperlink>
    </w:p>
    <w:bookmarkEnd w:id="76"/>
    <w:bookmarkStart w:id="78"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7">
        <w:r>
          <w:rPr>
            <w:rStyle w:val="Hyperlink"/>
          </w:rPr>
          <w:t xml:space="preserve">https://doi.org/10.1007/s11121-023-01601-6</w:t>
        </w:r>
      </w:hyperlink>
    </w:p>
    <w:bookmarkEnd w:id="78"/>
    <w:bookmarkStart w:id="80"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9">
        <w:r>
          <w:rPr>
            <w:rStyle w:val="Hyperlink"/>
          </w:rPr>
          <w:t xml:space="preserve">https://doi.org/10.1016/j.envint.2025.109786</w:t>
        </w:r>
      </w:hyperlink>
    </w:p>
    <w:bookmarkEnd w:id="80"/>
    <w:bookmarkStart w:id="82"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81">
        <w:r>
          <w:rPr>
            <w:rStyle w:val="Hyperlink"/>
          </w:rPr>
          <w:t xml:space="preserve">https://doi.org/10.1056/NEJM199210293271805</w:t>
        </w:r>
      </w:hyperlink>
    </w:p>
    <w:bookmarkEnd w:id="82"/>
    <w:bookmarkStart w:id="84"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3">
        <w:r>
          <w:rPr>
            <w:rStyle w:val="Hyperlink"/>
          </w:rPr>
          <w:t xml:space="preserve">https://doi.org/10.1001/jama.1990.03440050067035</w:t>
        </w:r>
      </w:hyperlink>
    </w:p>
    <w:bookmarkEnd w:id="84"/>
    <w:bookmarkStart w:id="86"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5">
        <w:r>
          <w:rPr>
            <w:rStyle w:val="Hyperlink"/>
          </w:rPr>
          <w:t xml:space="preserve">https://doi.org/10.1542/peds.90.6.855</w:t>
        </w:r>
      </w:hyperlink>
    </w:p>
    <w:bookmarkEnd w:id="86"/>
    <w:bookmarkStart w:id="88"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7">
        <w:r>
          <w:rPr>
            <w:rStyle w:val="Hyperlink"/>
          </w:rPr>
          <w:t xml:space="preserve">https://doi.org/10.1289/ehp.7688</w:t>
        </w:r>
      </w:hyperlink>
    </w:p>
    <w:bookmarkEnd w:id="88"/>
    <w:bookmarkStart w:id="90"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9">
        <w:r>
          <w:rPr>
            <w:rStyle w:val="Hyperlink"/>
          </w:rPr>
          <w:t xml:space="preserve">https://doi.org/10.1016/S2542-5196(23)00166-3</w:t>
        </w:r>
      </w:hyperlink>
    </w:p>
    <w:bookmarkEnd w:id="90"/>
    <w:bookmarkStart w:id="91"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91"/>
    <w:bookmarkStart w:id="93"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2">
        <w:r>
          <w:rPr>
            <w:rStyle w:val="Hyperlink"/>
          </w:rPr>
          <w:t xml:space="preserve">https://doi.org/10.2903/j.efsa.2010.1570</w:t>
        </w:r>
      </w:hyperlink>
    </w:p>
    <w:bookmarkEnd w:id="93"/>
    <w:bookmarkStart w:id="95"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4">
        <w:r>
          <w:rPr>
            <w:rStyle w:val="Hyperlink"/>
          </w:rPr>
          <w:t xml:space="preserve">https://doi.org/10.1006/enrs.1994.1020</w:t>
        </w:r>
      </w:hyperlink>
    </w:p>
    <w:bookmarkEnd w:id="95"/>
    <w:bookmarkStart w:id="97"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6">
        <w:r>
          <w:rPr>
            <w:rStyle w:val="Hyperlink"/>
          </w:rPr>
          <w:t xml:space="preserve">https://doi.org/10.1056/NEJMoa022848</w:t>
        </w:r>
      </w:hyperlink>
    </w:p>
    <w:bookmarkEnd w:id="97"/>
    <w:bookmarkStart w:id="99"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8">
        <w:r>
          <w:rPr>
            <w:rStyle w:val="Hyperlink"/>
          </w:rPr>
          <w:t xml:space="preserve">https://doi.org/10.1016/j.envres.2019.02.023</w:t>
        </w:r>
      </w:hyperlink>
    </w:p>
    <w:bookmarkEnd w:id="99"/>
    <w:bookmarkStart w:id="101"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100">
        <w:r>
          <w:rPr>
            <w:rStyle w:val="Hyperlink"/>
          </w:rPr>
          <w:t xml:space="preserve">https://doi.org/10.1016/j.envres.2024.120013</w:t>
        </w:r>
      </w:hyperlink>
    </w:p>
    <w:bookmarkEnd w:id="101"/>
    <w:bookmarkStart w:id="103"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2">
        <w:r>
          <w:rPr>
            <w:rStyle w:val="Hyperlink"/>
          </w:rPr>
          <w:t xml:space="preserve">https://doi.org/10.1073/pnas.2118631119</w:t>
        </w:r>
      </w:hyperlink>
    </w:p>
    <w:bookmarkEnd w:id="103"/>
    <w:bookmarkStart w:id="105"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4">
        <w:r>
          <w:rPr>
            <w:rStyle w:val="Hyperlink"/>
          </w:rPr>
          <w:t xml:space="preserve">https://doi.org/10.3109/10408444.2013.832726</w:t>
        </w:r>
      </w:hyperlink>
    </w:p>
    <w:bookmarkEnd w:id="105"/>
    <w:bookmarkStart w:id="107"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6">
        <w:r>
          <w:rPr>
            <w:rStyle w:val="Hyperlink"/>
          </w:rPr>
          <w:t xml:space="preserve">https://doi.org/10.1289/EHP5685</w:t>
        </w:r>
      </w:hyperlink>
    </w:p>
    <w:bookmarkEnd w:id="107"/>
    <w:bookmarkStart w:id="109"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8">
        <w:r>
          <w:rPr>
            <w:rStyle w:val="Hyperlink"/>
          </w:rPr>
          <w:t xml:space="preserve">https://doi.org/10.1201/9781003375821</w:t>
        </w:r>
      </w:hyperlink>
    </w:p>
    <w:bookmarkEnd w:id="109"/>
    <w:bookmarkStart w:id="111"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10">
        <w:r>
          <w:rPr>
            <w:rStyle w:val="Hyperlink"/>
          </w:rPr>
          <w:t xml:space="preserve">https://doi.org/10.3758/s13423-013-0572-3</w:t>
        </w:r>
      </w:hyperlink>
    </w:p>
    <w:bookmarkEnd w:id="111"/>
    <w:bookmarkStart w:id="113"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2">
        <w:r>
          <w:rPr>
            <w:rStyle w:val="Hyperlink"/>
          </w:rPr>
          <w:t xml:space="preserve">https://doi.org/10.1136/bmj.n71</w:t>
        </w:r>
      </w:hyperlink>
    </w:p>
    <w:bookmarkEnd w:id="113"/>
    <w:bookmarkStart w:id="115"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4">
        <w:r>
          <w:rPr>
            <w:rStyle w:val="Hyperlink"/>
          </w:rPr>
          <w:t xml:space="preserve">https://doi.org/10.1038/s41562-021-01177-7</w:t>
        </w:r>
      </w:hyperlink>
    </w:p>
    <w:bookmarkEnd w:id="115"/>
    <w:bookmarkStart w:id="117"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6">
        <w:r>
          <w:rPr>
            <w:rStyle w:val="Hyperlink"/>
          </w:rPr>
          <w:t xml:space="preserve">https://www.eu-parc.eu</w:t>
        </w:r>
      </w:hyperlink>
      <w:r>
        <w:t xml:space="preserve">. Accessed 5 June 2026</w:t>
      </w:r>
    </w:p>
    <w:bookmarkEnd w:id="117"/>
    <w:bookmarkStart w:id="118"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8"/>
    <w:bookmarkStart w:id="120"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9">
        <w:r>
          <w:rPr>
            <w:rStyle w:val="Hyperlink"/>
          </w:rPr>
          <w:t xml:space="preserve">https://doi.org/10.2903/sp.efsa.2024.EN-8925</w:t>
        </w:r>
      </w:hyperlink>
    </w:p>
    <w:bookmarkEnd w:id="120"/>
    <w:bookmarkStart w:id="122"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21">
        <w:r>
          <w:rPr>
            <w:rStyle w:val="Hyperlink"/>
          </w:rPr>
          <w:t xml:space="preserve">https://doi.org/10.1038/s41370-022-00450-9</w:t>
        </w:r>
      </w:hyperlink>
    </w:p>
    <w:bookmarkEnd w:id="122"/>
    <w:bookmarkStart w:id="124"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3">
        <w:r>
          <w:rPr>
            <w:rStyle w:val="Hyperlink"/>
          </w:rPr>
          <w:t xml:space="preserve">https://doi.org/10.1289/ehp.7625</w:t>
        </w:r>
      </w:hyperlink>
    </w:p>
    <w:bookmarkEnd w:id="124"/>
    <w:bookmarkStart w:id="126"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5">
        <w:r>
          <w:rPr>
            <w:rStyle w:val="Hyperlink"/>
          </w:rPr>
          <w:t xml:space="preserve">https://doi.org/10.1289/ehp.8552</w:t>
        </w:r>
      </w:hyperlink>
    </w:p>
    <w:bookmarkEnd w:id="126"/>
    <w:bookmarkStart w:id="127"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7"/>
    <w:bookmarkStart w:id="128" w:name="ref-2026GitHub"/>
    <w:p>
      <w:pPr>
        <w:pStyle w:val="Bibliography"/>
      </w:pPr>
      <w:r>
        <w:t xml:space="preserve">38. GitHub repository.</w:t>
      </w:r>
      <w:r>
        <w:t xml:space="preserve"> </w:t>
      </w:r>
      <w:hyperlink r:id="rId50">
        <w:r>
          <w:rPr>
            <w:rStyle w:val="Hyperlink"/>
          </w:rPr>
          <w:t xml:space="preserve">https://github.com/PaulinaSell/lead-IQ_meta-analysis</w:t>
        </w:r>
      </w:hyperlink>
      <w:r>
        <w:t xml:space="preserve">. Accessed 5 June 2026</w:t>
      </w:r>
    </w:p>
    <w:bookmarkEnd w:id="128"/>
    <w:bookmarkStart w:id="130"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9">
        <w:r>
          <w:rPr>
            <w:rStyle w:val="Hyperlink"/>
          </w:rPr>
          <w:t xml:space="preserve">https://doi.org/10.18637/jss.v080.i01</w:t>
        </w:r>
      </w:hyperlink>
    </w:p>
    <w:bookmarkEnd w:id="130"/>
    <w:bookmarkStart w:id="131"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31"/>
    <w:bookmarkStart w:id="133" w:name="ref-hartung2001TestsOverallTreatment"/>
    <w:p>
      <w:pPr>
        <w:pStyle w:val="Bibliography"/>
      </w:pPr>
      <w:r>
        <w:t xml:space="preserve">41. Hartung J, Knapp G. On tests of the overall treatment effect in meta-analysis with normally distributed responses. Stat Med. 2001;20:1771–82.</w:t>
      </w:r>
      <w:r>
        <w:t xml:space="preserve"> </w:t>
      </w:r>
      <w:hyperlink r:id="rId132">
        <w:r>
          <w:rPr>
            <w:rStyle w:val="Hyperlink"/>
          </w:rPr>
          <w:t xml:space="preserve">https://doi.org/10.1002/sim.791</w:t>
        </w:r>
      </w:hyperlink>
    </w:p>
    <w:bookmarkEnd w:id="133"/>
    <w:bookmarkStart w:id="135" w:name="X111bb06244f8f2a1a6d0d2f1f41c24b71f248e6"/>
    <w:p>
      <w:pPr>
        <w:pStyle w:val="Bibliography"/>
      </w:pPr>
      <w:r>
        <w:t xml:space="preserve">42.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4">
        <w:r>
          <w:rPr>
            <w:rStyle w:val="Hyperlink"/>
          </w:rPr>
          <w:t xml:space="preserve">https://doi.org/10.18637/jss.v036.i03</w:t>
        </w:r>
      </w:hyperlink>
    </w:p>
    <w:bookmarkEnd w:id="135"/>
    <w:bookmarkStart w:id="137" w:name="ref-earl2016LowlevelEnvironmentalLead"/>
    <w:p>
      <w:pPr>
        <w:pStyle w:val="Bibliography"/>
      </w:pPr>
      <w:r>
        <w:t xml:space="preserve">43. Earl R, Burns N, Nettelbeck T, Baghurst P. Low-level environmental lead exposure still negatively associated with children’s cognitive abilities. Aust J Psychol. 2016;68:98–106.</w:t>
      </w:r>
      <w:r>
        <w:t xml:space="preserve"> </w:t>
      </w:r>
      <w:hyperlink r:id="rId136">
        <w:r>
          <w:rPr>
            <w:rStyle w:val="Hyperlink"/>
          </w:rPr>
          <w:t xml:space="preserve">https://doi.org/10.1111/ajpy.12096</w:t>
        </w:r>
      </w:hyperlink>
    </w:p>
    <w:bookmarkEnd w:id="137"/>
    <w:bookmarkStart w:id="139" w:name="ref-bauer2020AssociationsMetalMixture"/>
    <w:p>
      <w:pPr>
        <w:pStyle w:val="Bibliography"/>
      </w:pPr>
      <w:r>
        <w:t xml:space="preserve">44.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8">
        <w:r>
          <w:rPr>
            <w:rStyle w:val="Hyperlink"/>
          </w:rPr>
          <w:t xml:space="preserve">https://doi.org/10.1289/EHP6803</w:t>
        </w:r>
      </w:hyperlink>
    </w:p>
    <w:bookmarkEnd w:id="139"/>
    <w:bookmarkStart w:id="141" w:name="ref-hong2015EnvironmentalLeadExposure"/>
    <w:p>
      <w:pPr>
        <w:pStyle w:val="Bibliography"/>
      </w:pPr>
      <w:r>
        <w:t xml:space="preserve">45.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40">
        <w:r>
          <w:rPr>
            <w:rStyle w:val="Hyperlink"/>
          </w:rPr>
          <w:t xml:space="preserve">https://doi.org/10.1289/ehp.1307420</w:t>
        </w:r>
      </w:hyperlink>
    </w:p>
    <w:bookmarkEnd w:id="141"/>
    <w:bookmarkStart w:id="143" w:name="Xb0421be95a139ca5af39ce6040517bf1be79427"/>
    <w:p>
      <w:pPr>
        <w:pStyle w:val="Bibliography"/>
      </w:pPr>
      <w:r>
        <w:t xml:space="preserve">46.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42">
        <w:r>
          <w:rPr>
            <w:rStyle w:val="Hyperlink"/>
          </w:rPr>
          <w:t xml:space="preserve">https://doi.org/10.1016/j.envres.2012.08.003</w:t>
        </w:r>
      </w:hyperlink>
    </w:p>
    <w:bookmarkEnd w:id="143"/>
    <w:bookmarkStart w:id="145" w:name="X716dc31ca13dac7355fea3a0f7dea95779ecabb"/>
    <w:p>
      <w:pPr>
        <w:pStyle w:val="Bibliography"/>
      </w:pPr>
      <w:r>
        <w:t xml:space="preserve">47.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4">
        <w:r>
          <w:rPr>
            <w:rStyle w:val="Hyperlink"/>
          </w:rPr>
          <w:t xml:space="preserve">https://doi.org/10.1186/s12940-019-0505-3</w:t>
        </w:r>
      </w:hyperlink>
    </w:p>
    <w:bookmarkEnd w:id="145"/>
    <w:bookmarkStart w:id="147" w:name="ref-roy2013EffectModificationTransferrin"/>
    <w:p>
      <w:pPr>
        <w:pStyle w:val="Bibliography"/>
      </w:pPr>
      <w:r>
        <w:t xml:space="preserve">48.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6">
        <w:r>
          <w:rPr>
            <w:rStyle w:val="Hyperlink"/>
          </w:rPr>
          <w:t xml:space="preserve">https://doi.org/10.1016/j.neuro.2013.05.005</w:t>
        </w:r>
      </w:hyperlink>
    </w:p>
    <w:bookmarkEnd w:id="147"/>
    <w:bookmarkStart w:id="149" w:name="ref-dantzer2020ComparisonBloodToenails"/>
    <w:p>
      <w:pPr>
        <w:pStyle w:val="Bibliography"/>
      </w:pPr>
      <w:r>
        <w:t xml:space="preserve">49. Dantzer J, Ryan P, Yolton K, Parsons PJ, Palmer CD, Cecil K, et al. A comparison of blood and toenails as biomarkers of children’s exposure to lead and their correlation with cognitive function. Sci Total Environ. 2020;700:134519.</w:t>
      </w:r>
      <w:r>
        <w:t xml:space="preserve"> </w:t>
      </w:r>
      <w:hyperlink r:id="rId148">
        <w:r>
          <w:rPr>
            <w:rStyle w:val="Hyperlink"/>
          </w:rPr>
          <w:t xml:space="preserve">https://doi.org/10.1016/j.scitotenv.2019.134519</w:t>
        </w:r>
      </w:hyperlink>
    </w:p>
    <w:bookmarkEnd w:id="149"/>
    <w:bookmarkStart w:id="151" w:name="X6bc65313eadd1b86059eb4ba10c8cf9d91be17d"/>
    <w:p>
      <w:pPr>
        <w:pStyle w:val="Bibliography"/>
      </w:pPr>
      <w:r>
        <w:t xml:space="preserve">50.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50">
        <w:r>
          <w:rPr>
            <w:rStyle w:val="Hyperlink"/>
          </w:rPr>
          <w:t xml:space="preserve">https://doi.org/10.1016/j.envint.2018.10.043</w:t>
        </w:r>
      </w:hyperlink>
    </w:p>
    <w:bookmarkEnd w:id="151"/>
    <w:bookmarkStart w:id="153" w:name="ref-lee2021PrenatalPostnatalExposures"/>
    <w:p>
      <w:pPr>
        <w:pStyle w:val="Bibliography"/>
      </w:pPr>
      <w:r>
        <w:t xml:space="preserve">51.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52">
        <w:r>
          <w:rPr>
            <w:rStyle w:val="Hyperlink"/>
          </w:rPr>
          <w:t xml:space="preserve">https://doi.org/10.1016/j.envint.2021.106798</w:t>
        </w:r>
      </w:hyperlink>
    </w:p>
    <w:bookmarkEnd w:id="153"/>
    <w:bookmarkStart w:id="154" w:name="X33fe7de6e8b65c86af337dbdb8d7cc8651c48a8"/>
    <w:p>
      <w:pPr>
        <w:pStyle w:val="Bibliography"/>
      </w:pPr>
      <w:r>
        <w:t xml:space="preserve">52.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4"/>
    <w:bookmarkStart w:id="156" w:name="ref-smith2018StepAwayStepwise"/>
    <w:p>
      <w:pPr>
        <w:pStyle w:val="Bibliography"/>
      </w:pPr>
      <w:r>
        <w:t xml:space="preserve">53. Smith G. Step away from stepwise. J Big Data. 2018;5:32.</w:t>
      </w:r>
      <w:r>
        <w:t xml:space="preserve"> </w:t>
      </w:r>
      <w:hyperlink r:id="rId155">
        <w:r>
          <w:rPr>
            <w:rStyle w:val="Hyperlink"/>
          </w:rPr>
          <w:t xml:space="preserve">https://doi.org/10.1186/s40537-018-0143-6</w:t>
        </w:r>
      </w:hyperlink>
    </w:p>
    <w:bookmarkEnd w:id="156"/>
    <w:bookmarkStart w:id="158" w:name="ref-kazi2026PvaluesBayesFactor"/>
    <w:p>
      <w:pPr>
        <w:pStyle w:val="Bibliography"/>
      </w:pPr>
      <w:r>
        <w:t xml:space="preserve">54.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7">
        <w:r>
          <w:rPr>
            <w:rStyle w:val="Hyperlink"/>
          </w:rPr>
          <w:t xml:space="preserve">https://doi.org/10.1007/s13193-025-02314-8</w:t>
        </w:r>
      </w:hyperlink>
    </w:p>
    <w:bookmarkEnd w:id="158"/>
    <w:bookmarkStart w:id="160" w:name="X946754e67e3c74fad7a8806aa9d2819ed4ec186"/>
    <w:p>
      <w:pPr>
        <w:pStyle w:val="Bibliography"/>
      </w:pPr>
      <w:r>
        <w:t xml:space="preserve">55. Yao M, Deng K, Wang Y, Mei F, Zou K, Li L, et al. Random-effects meta-analysis models for pooling rare events data: A comparison between frequentist and bayesian methods. BMC Med Res Methodol. 2025;25:228.</w:t>
      </w:r>
      <w:r>
        <w:t xml:space="preserve"> </w:t>
      </w:r>
      <w:hyperlink r:id="rId159">
        <w:r>
          <w:rPr>
            <w:rStyle w:val="Hyperlink"/>
          </w:rPr>
          <w:t xml:space="preserve">https://doi.org/10.1186/s12874-025-02664-5</w:t>
        </w:r>
      </w:hyperlink>
    </w:p>
    <w:bookmarkEnd w:id="160"/>
    <w:bookmarkStart w:id="162" w:name="ref-ciyer2025BayesianMetaanalysis21st"/>
    <w:p>
      <w:pPr>
        <w:pStyle w:val="Bibliography"/>
      </w:pPr>
      <w:r>
        <w:t xml:space="preserve">56.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61">
        <w:r>
          <w:rPr>
            <w:rStyle w:val="Hyperlink"/>
          </w:rPr>
          <w:t xml:space="preserve">https://doi.org/10.47102/annals-acadmedsg.2025104</w:t>
        </w:r>
      </w:hyperlink>
    </w:p>
    <w:bookmarkEnd w:id="162"/>
    <w:bookmarkStart w:id="164" w:name="ref-hong2013ComparingBayesianFrequentist"/>
    <w:p>
      <w:pPr>
        <w:pStyle w:val="Bibliography"/>
      </w:pPr>
      <w:r>
        <w:t xml:space="preserve">57.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63">
        <w:r>
          <w:rPr>
            <w:rStyle w:val="Hyperlink"/>
          </w:rPr>
          <w:t xml:space="preserve">https://doi.org/10.1177/0272989X13481110</w:t>
        </w:r>
      </w:hyperlink>
    </w:p>
    <w:bookmarkEnd w:id="164"/>
    <w:bookmarkStart w:id="166" w:name="ref-sadeghirad2023TheoryPracticeBayesian"/>
    <w:p>
      <w:pPr>
        <w:pStyle w:val="Bibliography"/>
      </w:pPr>
      <w:r>
        <w:t xml:space="preserve">58.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5">
        <w:r>
          <w:rPr>
            <w:rStyle w:val="Hyperlink"/>
          </w:rPr>
          <w:t xml:space="preserve">https://doi.org/10.1136/bmjebm-2022-111928</w:t>
        </w:r>
      </w:hyperlink>
    </w:p>
    <w:bookmarkEnd w:id="166"/>
    <w:bookmarkStart w:id="168" w:name="X55ae1a8b757df519e0a47e2002b3acc0b2e73ec"/>
    <w:p>
      <w:pPr>
        <w:pStyle w:val="Bibliography"/>
      </w:pPr>
      <w:r>
        <w:t xml:space="preserve">59.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7">
        <w:r>
          <w:rPr>
            <w:rStyle w:val="Hyperlink"/>
          </w:rPr>
          <w:t xml:space="preserve">https://doi.org/10.1002/jrsm.1397</w:t>
        </w:r>
      </w:hyperlink>
    </w:p>
    <w:bookmarkEnd w:id="168"/>
    <w:bookmarkStart w:id="170"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9">
        <w:r>
          <w:rPr>
            <w:rStyle w:val="Hyperlink"/>
          </w:rPr>
          <w:t xml:space="preserve">https://doi.org/10.48550/ARXIV.2011.01808</w:t>
        </w:r>
      </w:hyperlink>
    </w:p>
    <w:bookmarkEnd w:id="170"/>
    <w:bookmarkStart w:id="171"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71"/>
    <w:bookmarkStart w:id="173"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2">
        <w:r>
          <w:rPr>
            <w:rStyle w:val="Hyperlink"/>
          </w:rPr>
          <w:t xml:space="preserve">https://doi.org/10.1186/s12940-023-01029-z</w:t>
        </w:r>
      </w:hyperlink>
    </w:p>
    <w:bookmarkEnd w:id="173"/>
    <w:bookmarkStart w:id="175"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4">
        <w:r>
          <w:rPr>
            <w:rStyle w:val="Hyperlink"/>
          </w:rPr>
          <w:t xml:space="preserve">https://doi.org/10.1136/bmj.309.6963.1189</w:t>
        </w:r>
      </w:hyperlink>
    </w:p>
    <w:bookmarkEnd w:id="175"/>
    <w:bookmarkStart w:id="177"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6">
        <w:r>
          <w:rPr>
            <w:rStyle w:val="Hyperlink"/>
          </w:rPr>
          <w:t xml:space="preserve">https://doi.org/10.1186/s13643-022-01963-y</w:t>
        </w:r>
      </w:hyperlink>
    </w:p>
    <w:bookmarkEnd w:id="177"/>
    <w:bookmarkStart w:id="179"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8">
        <w:r>
          <w:rPr>
            <w:rStyle w:val="Hyperlink"/>
          </w:rPr>
          <w:t xml:space="preserve">https://doi.org/10.1177/0013164495055004001</w:t>
        </w:r>
      </w:hyperlink>
    </w:p>
    <w:bookmarkEnd w:id="179"/>
    <w:bookmarkStart w:id="181"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80">
        <w:r>
          <w:rPr>
            <w:rStyle w:val="Hyperlink"/>
          </w:rPr>
          <w:t xml:space="preserve">https://doi.org/10.1007/978-3-319-19425-7</w:t>
        </w:r>
      </w:hyperlink>
    </w:p>
    <w:bookmarkEnd w:id="181"/>
    <w:bookmarkEnd w:id="182"/>
    <w:bookmarkEnd w:id="183"/>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1990.03440050067035" TargetMode="External" /><Relationship Type="http://schemas.openxmlformats.org/officeDocument/2006/relationships/hyperlink" Id="rId167" Target="https://doi.org/10.1002/jrsm.1397" TargetMode="External" /><Relationship Type="http://schemas.openxmlformats.org/officeDocument/2006/relationships/hyperlink" Id="rId132" Target="https://doi.org/10.1002/sim.791" TargetMode="External" /><Relationship Type="http://schemas.openxmlformats.org/officeDocument/2006/relationships/hyperlink" Id="rId94" Target="https://doi.org/10.1006/enrs.1994.1020" TargetMode="External" /><Relationship Type="http://schemas.openxmlformats.org/officeDocument/2006/relationships/hyperlink" Id="rId180" Target="https://doi.org/10.1007/978-3-319-19425-7" TargetMode="External" /><Relationship Type="http://schemas.openxmlformats.org/officeDocument/2006/relationships/hyperlink" Id="rId77" Target="https://doi.org/10.1007/s11121-023-01601-6" TargetMode="External" /><Relationship Type="http://schemas.openxmlformats.org/officeDocument/2006/relationships/hyperlink" Id="rId63" Target="https://doi.org/10.1007/s12403-023-00535-2" TargetMode="External" /><Relationship Type="http://schemas.openxmlformats.org/officeDocument/2006/relationships/hyperlink" Id="rId157" Target="https://doi.org/10.1007/s13193-025-02314-8" TargetMode="External" /><Relationship Type="http://schemas.openxmlformats.org/officeDocument/2006/relationships/hyperlink" Id="rId65" Target="https://doi.org/10.1016/S0140-6736(25)01637-X" TargetMode="External" /><Relationship Type="http://schemas.openxmlformats.org/officeDocument/2006/relationships/hyperlink" Id="rId73" Target="https://doi.org/10.1016/S2468-2667(18)30025-2" TargetMode="External" /><Relationship Type="http://schemas.openxmlformats.org/officeDocument/2006/relationships/hyperlink" Id="rId89" Target="https://doi.org/10.1016/S2542-5196(23)00166-3" TargetMode="External" /><Relationship Type="http://schemas.openxmlformats.org/officeDocument/2006/relationships/hyperlink" Id="rId59" Target="https://doi.org/10.1016/j.chemosphere.2023.138207" TargetMode="External" /><Relationship Type="http://schemas.openxmlformats.org/officeDocument/2006/relationships/hyperlink" Id="rId69" Target="https://doi.org/10.1016/j.ecoenv.2022.113257" TargetMode="External" /><Relationship Type="http://schemas.openxmlformats.org/officeDocument/2006/relationships/hyperlink" Id="rId150" Target="https://doi.org/10.1016/j.envint.2018.10.043" TargetMode="External" /><Relationship Type="http://schemas.openxmlformats.org/officeDocument/2006/relationships/hyperlink" Id="rId152" Target="https://doi.org/10.1016/j.envint.2021.106798" TargetMode="External" /><Relationship Type="http://schemas.openxmlformats.org/officeDocument/2006/relationships/hyperlink" Id="rId79" Target="https://doi.org/10.1016/j.envint.2025.109786" TargetMode="External" /><Relationship Type="http://schemas.openxmlformats.org/officeDocument/2006/relationships/hyperlink" Id="rId75" Target="https://doi.org/10.1016/j.envres.2005.10.004" TargetMode="External" /><Relationship Type="http://schemas.openxmlformats.org/officeDocument/2006/relationships/hyperlink" Id="rId142" Target="https://doi.org/10.1016/j.envres.2012.08.003" TargetMode="External" /><Relationship Type="http://schemas.openxmlformats.org/officeDocument/2006/relationships/hyperlink" Id="rId98" Target="https://doi.org/10.1016/j.envres.2019.02.023" TargetMode="External" /><Relationship Type="http://schemas.openxmlformats.org/officeDocument/2006/relationships/hyperlink" Id="rId100"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48"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114" Target="https://doi.org/10.1038/s41562-021-01177-7" TargetMode="External" /><Relationship Type="http://schemas.openxmlformats.org/officeDocument/2006/relationships/hyperlink" Id="rId57" Target="https://doi.org/10.1038/s41598-025-17943-w" TargetMode="External" /><Relationship Type="http://schemas.openxmlformats.org/officeDocument/2006/relationships/hyperlink" Id="rId67" Target="https://doi.org/10.1053/j.ajkd.2018.02.358" TargetMode="External" /><Relationship Type="http://schemas.openxmlformats.org/officeDocument/2006/relationships/hyperlink" Id="rId81" Target="https://doi.org/10.1056/NEJM199210293271805" TargetMode="External" /><Relationship Type="http://schemas.openxmlformats.org/officeDocument/2006/relationships/hyperlink" Id="rId96" Target="https://doi.org/10.1056/NEJMoa022848" TargetMode="External" /><Relationship Type="http://schemas.openxmlformats.org/officeDocument/2006/relationships/hyperlink" Id="rId102" Target="https://doi.org/10.1073/pnas.2118631119" TargetMode="External" /><Relationship Type="http://schemas.openxmlformats.org/officeDocument/2006/relationships/hyperlink" Id="rId136" Target="https://doi.org/10.1111/ajpy.12096" TargetMode="External" /><Relationship Type="http://schemas.openxmlformats.org/officeDocument/2006/relationships/hyperlink" Id="rId174" Target="https://doi.org/10.1136/bmj.309.6963.1189" TargetMode="External" /><Relationship Type="http://schemas.openxmlformats.org/officeDocument/2006/relationships/hyperlink" Id="rId112" Target="https://doi.org/10.1136/bmj.n71" TargetMode="External" /><Relationship Type="http://schemas.openxmlformats.org/officeDocument/2006/relationships/hyperlink" Id="rId165" Target="https://doi.org/10.1136/bmjebm-2022-111928" TargetMode="External" /><Relationship Type="http://schemas.openxmlformats.org/officeDocument/2006/relationships/hyperlink" Id="rId71" Target="https://doi.org/10.1161/JAHA.124.037633" TargetMode="External" /><Relationship Type="http://schemas.openxmlformats.org/officeDocument/2006/relationships/hyperlink" Id="rId178" Target="https://doi.org/10.1177/0013164495055004001" TargetMode="External" /><Relationship Type="http://schemas.openxmlformats.org/officeDocument/2006/relationships/hyperlink" Id="rId163" Target="https://doi.org/10.1177/0272989X13481110" TargetMode="External" /><Relationship Type="http://schemas.openxmlformats.org/officeDocument/2006/relationships/hyperlink" Id="rId159" Target="https://doi.org/10.1186/s12874-025-02664-5" TargetMode="External" /><Relationship Type="http://schemas.openxmlformats.org/officeDocument/2006/relationships/hyperlink" Id="rId144" Target="https://doi.org/10.1186/s12940-019-0505-3" TargetMode="External" /><Relationship Type="http://schemas.openxmlformats.org/officeDocument/2006/relationships/hyperlink" Id="rId172" Target="https://doi.org/10.1186/s12940-023-01029-z" TargetMode="External" /><Relationship Type="http://schemas.openxmlformats.org/officeDocument/2006/relationships/hyperlink" Id="rId176" Target="https://doi.org/10.1186/s13643-022-01963-y" TargetMode="External" /><Relationship Type="http://schemas.openxmlformats.org/officeDocument/2006/relationships/hyperlink" Id="rId155" Target="https://doi.org/10.1186/s40537-018-0143-6" TargetMode="External" /><Relationship Type="http://schemas.openxmlformats.org/officeDocument/2006/relationships/hyperlink" Id="rId108" Target="https://doi.org/10.1201/9781003375821" TargetMode="External" /><Relationship Type="http://schemas.openxmlformats.org/officeDocument/2006/relationships/hyperlink" Id="rId106" Target="https://doi.org/10.1289/EHP5685" TargetMode="External" /><Relationship Type="http://schemas.openxmlformats.org/officeDocument/2006/relationships/hyperlink" Id="rId138" Target="https://doi.org/10.1289/EHP6803" TargetMode="External" /><Relationship Type="http://schemas.openxmlformats.org/officeDocument/2006/relationships/hyperlink" Id="rId140" Target="https://doi.org/10.1289/ehp.1307420" TargetMode="External" /><Relationship Type="http://schemas.openxmlformats.org/officeDocument/2006/relationships/hyperlink" Id="rId123" Target="https://doi.org/10.1289/ehp.7625" TargetMode="External" /><Relationship Type="http://schemas.openxmlformats.org/officeDocument/2006/relationships/hyperlink" Id="rId87" Target="https://doi.org/10.1289/ehp.7688" TargetMode="External" /><Relationship Type="http://schemas.openxmlformats.org/officeDocument/2006/relationships/hyperlink" Id="rId125" Target="https://doi.org/10.1289/ehp.8552" TargetMode="External" /><Relationship Type="http://schemas.openxmlformats.org/officeDocument/2006/relationships/hyperlink" Id="rId85" Target="https://doi.org/10.1542/peds.90.6.855" TargetMode="External" /><Relationship Type="http://schemas.openxmlformats.org/officeDocument/2006/relationships/hyperlink" Id="rId134" Target="https://doi.org/10.18637/jss.v036.i03" TargetMode="External" /><Relationship Type="http://schemas.openxmlformats.org/officeDocument/2006/relationships/hyperlink" Id="rId129" Target="https://doi.org/10.18637/jss.v080.i01" TargetMode="External" /><Relationship Type="http://schemas.openxmlformats.org/officeDocument/2006/relationships/hyperlink" Id="rId92" Target="https://doi.org/10.2903/j.efsa.2010.1570" TargetMode="External" /><Relationship Type="http://schemas.openxmlformats.org/officeDocument/2006/relationships/hyperlink" Id="rId61"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4" Target="https://doi.org/10.3109/10408444.2013.832726" TargetMode="External" /><Relationship Type="http://schemas.openxmlformats.org/officeDocument/2006/relationships/hyperlink" Id="rId110" Target="https://doi.org/10.3758/s13423-013-0572-3" TargetMode="External" /><Relationship Type="http://schemas.openxmlformats.org/officeDocument/2006/relationships/hyperlink" Id="rId161" Target="https://doi.org/10.47102/annals-acadmedsg.2025104" TargetMode="External" /><Relationship Type="http://schemas.openxmlformats.org/officeDocument/2006/relationships/hyperlink" Id="rId169" Target="https://doi.org/10.48550/ARXIV.2011.01808" TargetMode="External" /><Relationship Type="http://schemas.openxmlformats.org/officeDocument/2006/relationships/hyperlink" Id="rId50" Target="https://github.com/PaulinaSell/lead-IQ_meta-analysis" TargetMode="External" /><Relationship Type="http://schemas.openxmlformats.org/officeDocument/2006/relationships/hyperlink" Id="rId116"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practical comparison of Bayesian and frequentist meta-analytic frameworks applied to lead exposure and children’s IQ</dc:title>
  <dc:creator>Paulina Sell1,✉, Margaux Sanchez2, Philippe Palmont2, Simon Steiger3, and Dietrich Plass1</dc:creator>
  <cp:keywords/>
  <dcterms:created xsi:type="dcterms:W3CDTF">2026-08-03T12:37:54Z</dcterms:created>
  <dcterms:modified xsi:type="dcterms:W3CDTF">2026-08-03T12:37:54Z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3 August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