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1.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methodological comparison of Bayesian and frequentist meta-analyses of epidemiological studies on lead exposure and children’s intelligence quotient</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Paulina Sell &lt;paulina.sell@uba.de&gt;</w:t>
        </w:r>
      </w:hyperlink>
    </w:p>
    <w:bookmarkStart w:id="29" w:name="notes"/>
    <w:p>
      <w:pPr>
        <w:pStyle w:val="Heading1"/>
      </w:pPr>
      <w:r>
        <w:t xml:space="preserve">Notes</w:t>
      </w:r>
    </w:p>
    <w:p>
      <w:pPr>
        <w:pStyle w:val="Compact"/>
        <w:numPr>
          <w:ilvl w:val="0"/>
          <w:numId w:val="1001"/>
        </w:numPr>
      </w:pPr>
      <w:r>
        <w:t xml:space="preserve">Journal:</w:t>
      </w:r>
    </w:p>
    <w:p>
      <w:pPr>
        <w:pStyle w:val="Compact"/>
        <w:numPr>
          <w:ilvl w:val="0"/>
          <w:numId w:val="1002"/>
        </w:numPr>
      </w:pPr>
      <w:hyperlink r:id="rId21">
        <w:r>
          <w:rPr>
            <w:rStyle w:val="Hyperlink"/>
          </w:rPr>
          <w:t xml:space="preserve">Environment International, Elsevir</w:t>
        </w:r>
      </w:hyperlink>
    </w:p>
    <w:p>
      <w:pPr>
        <w:pStyle w:val="Compact"/>
        <w:numPr>
          <w:ilvl w:val="0"/>
          <w:numId w:val="1003"/>
        </w:numPr>
      </w:pPr>
      <w:r>
        <w:t xml:space="preserve">“Method papers should be concise presentations of an advancement in methodology applied to the type of evidence syntheses Environment International publishes.</w:t>
      </w:r>
    </w:p>
    <w:p>
      <w:pPr>
        <w:pStyle w:val="Compact"/>
        <w:numPr>
          <w:ilvl w:val="0"/>
          <w:numId w:val="1003"/>
        </w:numPr>
      </w:pPr>
      <w:r>
        <w:t xml:space="preserve">These include tools for assessing the validity of research, surveys and</w:t>
      </w:r>
      <w:r>
        <w:t xml:space="preserve"> </w:t>
      </w:r>
      <w:r>
        <w:rPr>
          <w:b/>
          <w:bCs/>
        </w:rPr>
        <w:t xml:space="preserve">analyses of current research practices</w:t>
      </w:r>
      <w:r>
        <w:t xml:space="preserve">, methods for locating literature, support for conduct of individual steps of the</w:t>
      </w:r>
      <w:r>
        <w:t xml:space="preserve"> </w:t>
      </w:r>
      <w:r>
        <w:rPr>
          <w:b/>
          <w:bCs/>
        </w:rPr>
        <w:t xml:space="preserve">evidence synthesis process</w:t>
      </w:r>
      <w:r>
        <w:t xml:space="preserve">,</w:t>
      </w:r>
      <w:r>
        <w:t xml:space="preserve"> </w:t>
      </w:r>
      <w:r>
        <w:rPr>
          <w:b/>
          <w:bCs/>
        </w:rPr>
        <w:t xml:space="preserve">statistical methods</w:t>
      </w:r>
      <w:r>
        <w:t xml:space="preserve">,</w:t>
      </w:r>
      <w:r>
        <w:t xml:space="preserve"> </w:t>
      </w:r>
      <w:r>
        <w:rPr>
          <w:b/>
          <w:bCs/>
        </w:rPr>
        <w:t xml:space="preserve">computational approaches to evidence synthesis</w:t>
      </w:r>
      <w:r>
        <w:t xml:space="preserve">, etc. While there is no formal word limit, most manuscripts would be expected to be</w:t>
      </w:r>
      <w:r>
        <w:t xml:space="preserve"> </w:t>
      </w:r>
      <w:r>
        <w:rPr>
          <w:b/>
          <w:bCs/>
        </w:rPr>
        <w:t xml:space="preserve">2500-4000 words</w:t>
      </w:r>
      <w:r>
        <w:t xml:space="preserve"> </w:t>
      </w:r>
      <w:r>
        <w:t xml:space="preserve">in length depending on the methodology and its validation, with</w:t>
      </w:r>
      <w:r>
        <w:t xml:space="preserve"> </w:t>
      </w:r>
      <w:r>
        <w:rPr>
          <w:b/>
          <w:bCs/>
        </w:rPr>
        <w:t xml:space="preserve">2-5 figures</w:t>
      </w:r>
      <w:r>
        <w:t xml:space="preserve"> </w:t>
      </w:r>
      <w:r>
        <w:t xml:space="preserve">and an appropriate number of citations. In case of doubts, prospective authors are invited to contact the Editors.”</w:t>
      </w:r>
      <w:r>
        <w:br/>
      </w:r>
    </w:p>
    <w:p>
      <w:pPr>
        <w:pStyle w:val="Compact"/>
        <w:numPr>
          <w:ilvl w:val="0"/>
          <w:numId w:val="1003"/>
        </w:numPr>
      </w:pPr>
      <w:r>
        <w:t xml:space="preserve">“The corresponding author of a review article must list, in the cover letter, at least 5 relevant research papers on which they also served as the corresponding author.”</w:t>
      </w:r>
      <w:r>
        <w:t xml:space="preserve"> </w:t>
      </w:r>
      <w:r>
        <w:t xml:space="preserve">(https://www.sciencedirect.com/journal/environment-international/publish/guide-for-authors)</w:t>
      </w:r>
    </w:p>
    <w:p>
      <w:pPr>
        <w:pStyle w:val="Compact"/>
        <w:numPr>
          <w:ilvl w:val="0"/>
          <w:numId w:val="1003"/>
        </w:numPr>
      </w:pPr>
      <w:r>
        <w:t xml:space="preserve">2,500 - 4,000 words approximately. 4,500 words atm</w:t>
      </w:r>
    </w:p>
    <w:p>
      <w:pPr>
        <w:pStyle w:val="Compact"/>
        <w:numPr>
          <w:ilvl w:val="0"/>
          <w:numId w:val="1004"/>
        </w:numPr>
      </w:pPr>
      <w:hyperlink r:id="rId22">
        <w:r>
          <w:rPr>
            <w:rStyle w:val="Hyperlink"/>
          </w:rPr>
          <w:t xml:space="preserve">Environmental Health, BMC</w:t>
        </w:r>
      </w:hyperlink>
    </w:p>
    <w:p>
      <w:pPr>
        <w:pStyle w:val="Compact"/>
        <w:numPr>
          <w:ilvl w:val="0"/>
          <w:numId w:val="1005"/>
        </w:numPr>
      </w:pPr>
      <w:r>
        <w:t xml:space="preserve">Has Review, Methodology (only accepts</w:t>
      </w:r>
      <w:r>
        <w:t xml:space="preserve"> </w:t>
      </w:r>
      <w:r>
        <w:rPr>
          <w:i/>
          <w:iCs/>
        </w:rPr>
        <w:t xml:space="preserve">new</w:t>
      </w:r>
      <w:r>
        <w:t xml:space="preserve"> </w:t>
      </w:r>
      <w:r>
        <w:t xml:space="preserve">methodology) and original Research article types</w:t>
      </w:r>
    </w:p>
    <w:p>
      <w:pPr>
        <w:pStyle w:val="Compact"/>
        <w:numPr>
          <w:ilvl w:val="0"/>
          <w:numId w:val="1006"/>
        </w:numPr>
      </w:pPr>
      <w:hyperlink r:id="rId23">
        <w:r>
          <w:rPr>
            <w:rStyle w:val="Hyperlink"/>
          </w:rPr>
          <w:t xml:space="preserve">Environmental Epidemiology, ISEE</w:t>
        </w:r>
      </w:hyperlink>
      <w:r>
        <w:t xml:space="preserve"> </w:t>
      </w:r>
      <w:r>
        <w:t xml:space="preserve">lower IF (3.3) but open to methodological papers</w:t>
      </w:r>
    </w:p>
    <w:p>
      <w:pPr>
        <w:pStyle w:val="Compact"/>
        <w:numPr>
          <w:ilvl w:val="0"/>
          <w:numId w:val="1006"/>
        </w:numPr>
      </w:pPr>
      <w:hyperlink r:id="rId24">
        <w:r>
          <w:rPr>
            <w:rStyle w:val="Hyperlink"/>
          </w:rPr>
          <w:t xml:space="preserve">International Journal of Hygiene and Environmental Health, Elsevir</w:t>
        </w:r>
      </w:hyperlink>
      <w:r>
        <w:t xml:space="preserve"> </w:t>
      </w:r>
      <w:r>
        <w:t xml:space="preserve">scope doesn’t fit methods character</w:t>
      </w:r>
    </w:p>
    <w:p>
      <w:pPr>
        <w:pStyle w:val="Compact"/>
        <w:numPr>
          <w:ilvl w:val="0"/>
          <w:numId w:val="1006"/>
        </w:numPr>
      </w:pPr>
      <w:hyperlink r:id="rId25">
        <w:r>
          <w:rPr>
            <w:rStyle w:val="Hyperlink"/>
          </w:rPr>
          <w:t xml:space="preserve">Environmental Research, Elsevir</w:t>
        </w:r>
      </w:hyperlink>
      <w:r>
        <w:t xml:space="preserve"> </w:t>
      </w:r>
      <w:r>
        <w:t xml:space="preserve">scope doesn’t fit methods character</w:t>
      </w:r>
    </w:p>
    <w:p>
      <w:pPr>
        <w:pStyle w:val="Compact"/>
        <w:numPr>
          <w:ilvl w:val="0"/>
          <w:numId w:val="1007"/>
        </w:numPr>
      </w:pPr>
      <w:r>
        <w:t xml:space="preserve">Environmental Health Perspectives is not open-access (Horizon funding requires this)</w:t>
      </w:r>
    </w:p>
    <w:p>
      <w:pPr>
        <w:pStyle w:val="Compact"/>
        <w:numPr>
          <w:ilvl w:val="0"/>
          <w:numId w:val="1007"/>
        </w:numPr>
      </w:pPr>
      <w:hyperlink r:id="rId26">
        <w:r>
          <w:rPr>
            <w:rStyle w:val="Hyperlink"/>
          </w:rPr>
          <w:t xml:space="preserve">PRISMA 2020 checklist</w:t>
        </w:r>
      </w:hyperlink>
      <w:r>
        <w:t xml:space="preserve"> </w:t>
      </w:r>
      <w:r>
        <w:t xml:space="preserve">for structure</w:t>
      </w:r>
    </w:p>
    <w:p>
      <w:pPr>
        <w:pStyle w:val="Compact"/>
        <w:numPr>
          <w:ilvl w:val="0"/>
          <w:numId w:val="1007"/>
        </w:numPr>
      </w:pPr>
      <w:hyperlink r:id="rId27">
        <w:r>
          <w:rPr>
            <w:rStyle w:val="Hyperlink"/>
          </w:rPr>
          <w:t xml:space="preserve">Bayesian Analysis Reporting Guidelines, BARG</w:t>
        </w:r>
      </w:hyperlink>
      <w:r>
        <w:t xml:space="preserve"> </w:t>
      </w:r>
      <w:r>
        <w:t xml:space="preserve">for reporting Bayesian model</w:t>
      </w:r>
    </w:p>
    <w:p>
      <w:pPr>
        <w:pStyle w:val="Compact"/>
        <w:numPr>
          <w:ilvl w:val="0"/>
          <w:numId w:val="1007"/>
        </w:numPr>
      </w:pPr>
      <w:hyperlink r:id="rId28">
        <w:r>
          <w:rPr>
            <w:rStyle w:val="Hyperlink"/>
          </w:rPr>
          <w:t xml:space="preserve">raRoB tool</w:t>
        </w:r>
      </w:hyperlink>
      <w:r>
        <w:t xml:space="preserve"> </w:t>
      </w:r>
      <w:r>
        <w:t xml:space="preserve">for Risk of Bias Assessment</w:t>
      </w:r>
    </w:p>
    <w:bookmarkEnd w:id="29"/>
    <w:bookmarkStart w:id="30" w:name="abstract"/>
    <w:p>
      <w:pPr>
        <w:pStyle w:val="Heading1"/>
      </w:pPr>
      <w:r>
        <w:t xml:space="preserve">Abstract</w:t>
      </w:r>
    </w:p>
    <w:p>
      <w:pPr>
        <w:pStyle w:val="FirstParagraph"/>
      </w:pPr>
      <w:r>
        <w:t xml:space="preserve">(250 words limit in Environment International)</w:t>
      </w:r>
    </w:p>
    <w:p>
      <w:pPr>
        <w:pStyle w:val="BodyText"/>
      </w:pPr>
      <w:r>
        <w:rPr>
          <w:b/>
          <w:bCs/>
        </w:rPr>
        <w:t xml:space="preserve">Objective</w:t>
      </w:r>
      <w:r>
        <w:t xml:space="preserve">: Quantifying uncertainty is crucial for risk assessment and policy-making but current meta-analytic approaches fall short in this regard.</w:t>
      </w:r>
      <w:r>
        <w:t xml:space="preserve"> </w:t>
      </w:r>
      <w:r>
        <w:t xml:space="preserve">Bayesian meta-analysis provides probabilistic uncertainty quantification.</w:t>
      </w:r>
      <w:r>
        <w:t xml:space="preserve"> </w:t>
      </w:r>
      <w:r>
        <w:t xml:space="preserve">To evaluate differences in uncertainty quantification and applicability for risk assessment, we compared frequentist and Bayesian frameworks, using lead exposure and children’s intelligence quotient (IQ) as a case study.</w:t>
      </w:r>
    </w:p>
    <w:p>
      <w:pPr>
        <w:pStyle w:val="BodyText"/>
      </w:pPr>
      <w:r>
        <w:rPr>
          <w:b/>
          <w:bCs/>
        </w:rPr>
        <w:t xml:space="preserve">Methods</w:t>
      </w:r>
      <w:r>
        <w:t xml:space="preserve">: We systematically searched PubMed and Scopus for epidemiological studies on blood lead level (BLL) and IQ score in children.</w:t>
      </w:r>
      <w:r>
        <w:t xml:space="preserve"> </w:t>
      </w:r>
      <w:r>
        <w:t xml:space="preserve">Risk of bias (RoB) was assessed and regression coefficients were harmonized to the</w:t>
      </w:r>
      <w:r>
        <w:t xml:space="preserve"> </w:t>
      </w:r>
      <m:oMath>
        <m:sSub>
          <m:e>
            <m:r>
              <m:rPr>
                <m:sty m:val="p"/>
              </m:rPr>
              <m:t>log</m:t>
            </m:r>
          </m:e>
          <m:sub>
            <m:r>
              <m:t>e</m:t>
            </m:r>
          </m:sub>
        </m:sSub>
      </m:oMath>
      <w:r>
        <w:t xml:space="preserve">​ scale.</w:t>
      </w:r>
      <w:r>
        <w:t xml:space="preserve"> </w:t>
      </w:r>
      <w:r>
        <w:t xml:space="preserve">In both meta-analyses, we assumed a multilevel structure, used random-effects models and included the same effect estimates.</w:t>
      </w:r>
      <w:r>
        <w:t xml:space="preserve"> </w:t>
      </w:r>
      <w:r>
        <w:t xml:space="preserve">The frequentist approach used restricted maximum-likelihood estimation.</w:t>
      </w:r>
      <w:r>
        <w:t xml:space="preserve"> </w:t>
      </w:r>
      <w:r>
        <w:t xml:space="preserve">The Bayesian meta-analysis employed a hierarchical model with weakly-informative priors.</w:t>
      </w:r>
      <w:r>
        <w:t xml:space="preserve"> </w:t>
      </w:r>
      <w:r>
        <w:t xml:space="preserve">Sensitivity analyses examined robustness to RoB and prior specification.</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were estimated as measures of between-study heterogeneity.</w:t>
      </w:r>
    </w:p>
    <w:p>
      <w:pPr>
        <w:pStyle w:val="BodyText"/>
      </w:pPr>
      <w:r>
        <w:rPr>
          <w:b/>
          <w:bCs/>
        </w:rPr>
        <w:t xml:space="preserve">Results</w:t>
      </w:r>
      <w:r>
        <w:t xml:space="preserve">: Twelve studies were included after screening.</w:t>
      </w:r>
      <w:r>
        <w:t xml:space="preserve"> </w:t>
      </w:r>
      <w:r>
        <w:t xml:space="preserve">The frequentist approach yielded a pooled estimate of -2.45 (95% confidence interval (CI): -3.7; -1.2) IQ points per unit increase in</w:t>
      </w:r>
      <w:r>
        <w:t xml:space="preserve"> </w:t>
      </w:r>
      <m:oMath>
        <m:sSub>
          <m:e>
            <m:r>
              <m:rPr>
                <m:sty m:val="p"/>
              </m:rPr>
              <m:t>log</m:t>
            </m:r>
          </m:e>
          <m:sub>
            <m:r>
              <m:t>e</m:t>
            </m:r>
          </m:sub>
        </m:sSub>
      </m:oMath>
      <w:r>
        <w:t xml:space="preserve">-transformed BLL (µg/dL).</w:t>
      </w:r>
      <w:r>
        <w:t xml:space="preserve"> </w:t>
      </w:r>
      <w:r>
        <w:t xml:space="preserve">The Bayesian model yielded a mean pooled estimate of -2.28 (95% credible interval (CrI): -3.56; -1.06).</w:t>
      </w:r>
      <w:r>
        <w:t xml:space="preserve"> </w:t>
      </w:r>
      <w:r>
        <w:t xml:space="preserve">Between-study heterogeneity was substantial (frequentist:</w:t>
      </w:r>
      <w:r>
        <w:t xml:space="preserve"> </w:t>
      </w:r>
      <m:oMath>
        <m:sSup>
          <m:e>
            <m:r>
              <m:t>τ</m:t>
            </m:r>
          </m:e>
          <m:sup>
            <m:r>
              <m:t>2</m:t>
            </m:r>
          </m:sup>
        </m:sSup>
      </m:oMath>
      <w:r>
        <w:t xml:space="preserve"> </w:t>
      </w:r>
      <w:r>
        <w:t xml:space="preserve">= 3.3,</w:t>
      </w:r>
      <w:r>
        <w:t xml:space="preserve"> </w:t>
      </w:r>
      <m:oMath>
        <m:sSup>
          <m:e>
            <m:r>
              <m:rPr>
                <m:nor/>
                <m:sty m:val="p"/>
              </m:rPr>
              <m:t>I</m:t>
            </m:r>
          </m:e>
          <m:sup>
            <m:r>
              <m:t>2</m:t>
            </m:r>
          </m:sup>
        </m:sSup>
      </m:oMath>
      <w:r>
        <w:t xml:space="preserve"> </w:t>
      </w:r>
      <w:r>
        <w:t xml:space="preserve">= 85%; Bayesian:</w:t>
      </w:r>
      <w:r>
        <w:t xml:space="preserve"> </w:t>
      </w:r>
      <m:oMath>
        <m:sSup>
          <m:e>
            <m:r>
              <m:t>τ</m:t>
            </m:r>
          </m:e>
          <m:sup>
            <m:r>
              <m:t>2</m:t>
            </m:r>
          </m:sup>
        </m:sSup>
      </m:oMath>
      <w:r>
        <w:t xml:space="preserve"> </w:t>
      </w:r>
      <w:r>
        <w:t xml:space="preserve">= 3.8,</w:t>
      </w:r>
      <w:r>
        <w:t xml:space="preserve"> </w:t>
      </w:r>
      <m:oMath>
        <m:sSup>
          <m:e>
            <m:r>
              <m:rPr>
                <m:nor/>
                <m:sty m:val="p"/>
              </m:rPr>
              <m:t>I</m:t>
            </m:r>
          </m:e>
          <m:sup>
            <m:r>
              <m:t>2</m:t>
            </m:r>
          </m:sup>
        </m:sSup>
      </m:oMath>
      <w:r>
        <w:t xml:space="preserve"> </w:t>
      </w:r>
      <w:r>
        <w:t xml:space="preserve">= 83.3%).</w:t>
      </w:r>
      <w:r>
        <w:t xml:space="preserve"> </w:t>
      </w:r>
      <w:r>
        <w:t xml:space="preserve">The Bayesian approach provided a posterior distribution for heterogeneity, quantifying uncertainty from between-study variation.</w:t>
      </w:r>
      <w:r>
        <w:t xml:space="preserve"> </w:t>
      </w:r>
      <w:r>
        <w:t xml:space="preserve">Sensitivity analyses showed robustness to RoB and prior specification.</w:t>
      </w:r>
      <w:r>
        <w:t xml:space="preserve"> </w:t>
      </w:r>
      <w:r>
        <w:t xml:space="preserve">The Bayesian approach was less sensitive to outlier studies, resulting in a lower pooled effect.</w:t>
      </w:r>
    </w:p>
    <w:p>
      <w:pPr>
        <w:pStyle w:val="BodyText"/>
      </w:pPr>
      <w:r>
        <w:rPr>
          <w:b/>
          <w:bCs/>
        </w:rPr>
        <w:t xml:space="preserve">Conclusion</w:t>
      </w:r>
      <w:r>
        <w:t xml:space="preserve">: We provide updated pooled estimates for the effect of lead exposure on children’s IQ.</w:t>
      </w:r>
      <w:r>
        <w:t xml:space="preserve"> </w:t>
      </w:r>
      <w:r>
        <w:t xml:space="preserve">The Bayesian approach provides posterior distributions, enabling direct probability statements, for example about exceeding risk thresholds, and comparative assessments across pollutants.</w:t>
      </w:r>
      <w:r>
        <w:t xml:space="preserve"> </w:t>
      </w:r>
      <w:r>
        <w:t xml:space="preserve">These features are of particular value regarding risk assessment and policy-making.</w:t>
      </w:r>
    </w:p>
    <w:p>
      <w:r>
        <w:br w:type="page"/>
      </w:r>
    </w:p>
    <w:bookmarkEnd w:id="30"/>
    <w:bookmarkStart w:id="31"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human blood</w:t>
      </w:r>
      <w:r>
        <w:t xml:space="preserve"> </w:t>
      </w:r>
      <w:r>
        <w:t xml:space="preserve">(1,2)</w:t>
      </w:r>
      <w:r>
        <w:t xml:space="preserve">.</w:t>
      </w:r>
      <w:r>
        <w:t xml:space="preserve"> </w:t>
      </w:r>
      <w:r>
        <w:t xml:space="preserve">In Europe, primary exposure sources include dietary products, drinking water, and indoor dust</w:t>
      </w:r>
      <w:r>
        <w:t xml:space="preserve"> </w:t>
      </w:r>
      <w:r>
        <w:t xml:space="preserve">(3,4)</w:t>
      </w:r>
      <w:r>
        <w:t xml:space="preserve">.</w:t>
      </w:r>
      <w:r>
        <w:t xml:space="preserve"> </w:t>
      </w:r>
      <w:r>
        <w:t xml:space="preserve">The most recent Global Burden of Disease study estimated that in 2023, 3.4 million (95% uncertainty interval (UI): 2.7; 4.0 million) Disability-Adjusted Life Years (DALYs) were attributable to lead exposure in the European Union (EU)</w:t>
      </w:r>
      <w:r>
        <w:t xml:space="preserve"> </w:t>
      </w:r>
      <w:r>
        <w:t xml:space="preserve">(5)</w:t>
      </w:r>
      <w:r>
        <w:t xml:space="preserve">.</w:t>
      </w:r>
      <w:r>
        <w:t xml:space="preserve"> </w:t>
      </w:r>
      <w:r>
        <w:t xml:space="preserve">This highlights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(6)</w:t>
      </w:r>
      <w:r>
        <w:t xml:space="preserve">,</w:t>
      </w:r>
      <w:r>
        <w:t xml:space="preserve"> </w:t>
      </w:r>
      <w:r>
        <w:t xml:space="preserve">liver disease</w:t>
      </w:r>
      <w:r>
        <w:t xml:space="preserve"> </w:t>
      </w:r>
      <w:r>
        <w:t xml:space="preserve">(7)</w:t>
      </w:r>
      <w:r>
        <w:t xml:space="preserve">,</w:t>
      </w:r>
      <w:r>
        <w:t xml:space="preserve"> </w:t>
      </w:r>
      <w:r>
        <w:t xml:space="preserve">coronary artery atherosclerosis</w:t>
      </w:r>
      <w:r>
        <w:t xml:space="preserve"> </w:t>
      </w:r>
      <w:r>
        <w:t xml:space="preserve">(8)</w:t>
      </w:r>
      <w:r>
        <w:t xml:space="preserve">,</w:t>
      </w:r>
      <w:r>
        <w:t xml:space="preserve"> </w:t>
      </w:r>
      <w:r>
        <w:t xml:space="preserve">cardiovascular mortality</w:t>
      </w:r>
      <w:r>
        <w:t xml:space="preserve"> </w:t>
      </w:r>
      <w:r>
        <w:t xml:space="preserve">(9)</w:t>
      </w:r>
      <w:r>
        <w:t xml:space="preserve">,</w:t>
      </w:r>
      <w:r>
        <w:t xml:space="preserve"> </w:t>
      </w:r>
      <w:r>
        <w:t xml:space="preserve">infertility in women</w:t>
      </w:r>
      <w:r>
        <w:t xml:space="preserve"> </w:t>
      </w:r>
      <w:r>
        <w:t xml:space="preserve">(10)</w:t>
      </w:r>
      <w:r>
        <w:t xml:space="preserve">,</w:t>
      </w:r>
      <w:r>
        <w:t xml:space="preserve"> </w:t>
      </w:r>
      <w:r>
        <w:t xml:space="preserve">attention-deficit/hyperactivity disorder in children</w:t>
      </w:r>
      <w:r>
        <w:t xml:space="preserve"> </w:t>
      </w:r>
      <w:r>
        <w:t xml:space="preserve">(11)</w:t>
      </w:r>
      <w:r>
        <w:t xml:space="preserve">, and</w:t>
      </w:r>
      <w:r>
        <w:t xml:space="preserve"> </w:t>
      </w:r>
      <w:r>
        <w:t xml:space="preserve">antisocial behavior</w:t>
      </w:r>
      <w:r>
        <w:t xml:space="preserve"> </w:t>
      </w:r>
      <w:r>
        <w:t xml:space="preserve">(12)</w:t>
      </w:r>
      <w:r>
        <w:t xml:space="preserve">.</w:t>
      </w:r>
      <w:r>
        <w:t xml:space="preserve"> </w:t>
      </w:r>
      <w:r>
        <w:t xml:space="preserve">Among these endpoints, impaired cognitive development in children — manifested as reduced IQ scores —</w:t>
      </w:r>
      <w:r>
        <w:t xml:space="preserve"> </w:t>
      </w:r>
      <w:r>
        <w:t xml:space="preserve">(13–16)</w:t>
      </w:r>
      <w:r>
        <w:t xml:space="preserve"> </w:t>
      </w:r>
      <w:r>
        <w:t xml:space="preserve">represents a particularly critical endpoint for public health policy.</w:t>
      </w:r>
      <w:r>
        <w:t xml:space="preserve"> </w:t>
      </w:r>
      <w:r>
        <w:t xml:space="preserve">Children are especially vulnerable to lead’s neurotoxic effects due to their developing nervous systems and relatively high exposure per body mass.</w:t>
      </w:r>
      <w:r>
        <w:t xml:space="preserve"> </w:t>
      </w:r>
      <w:r>
        <w:t xml:space="preserve">Because lead-associated IQ decrements are irreversible and persist throughout life, they lead to substantial and enduring societal costs</w:t>
      </w:r>
      <w:r>
        <w:t xml:space="preserve"> </w:t>
      </w:r>
      <w:r>
        <w:t xml:space="preserve">(17)</w:t>
      </w:r>
      <w:r>
        <w:t xml:space="preserve">, making continued efforts to accurately characterize the exposure-response relationship important for evidence-based policy.</w:t>
      </w:r>
    </w:p>
    <w:p>
      <w:pPr>
        <w:pStyle w:val="BodyText"/>
      </w:pPr>
      <w:r>
        <w:t xml:space="preserve">Contemporary blood lead levels (BLL) in the EU have declined markedly and now predominantly fall below 5 µg/dL</w:t>
      </w:r>
      <w:r>
        <w:t xml:space="preserve"> </w:t>
      </w:r>
      <w:r>
        <w:t xml:space="preserve">(18)</w:t>
      </w:r>
      <w:r>
        <w:t xml:space="preserve">, well below the concentrations examined in many earlier studies (&lt;10 µg/dL).</w:t>
      </w:r>
      <w:r>
        <w:t xml:space="preserve"> </w:t>
      </w:r>
      <w:r>
        <w:t xml:space="preserve">Importantly, there is no evidence for a threshold concentration below which the effects of lead on the IQ can be assumed to be negligible</w:t>
      </w:r>
      <w:r>
        <w:t xml:space="preserve"> </w:t>
      </w:r>
      <w:r>
        <w:t xml:space="preserve">(19,20)</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(16,21)</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(5,17,22–24)</w:t>
      </w:r>
      <w:r>
        <w:t xml:space="preserve"> </w:t>
      </w:r>
      <w:r>
        <w:t xml:space="preserve">have predominantly relied on the foundational study by Lanphear et al. (2005), a pooled analysis of seven cohort-studies, or subsequent re-analyses of the same data</w:t>
      </w:r>
      <w:r>
        <w:t xml:space="preserve"> </w:t>
      </w:r>
      <w:r>
        <w:t xml:space="preserve">(16,25)</w:t>
      </w:r>
      <w:r>
        <w:t xml:space="preserve">.</w:t>
      </w:r>
      <w:r>
        <w:t xml:space="preserve"> </w:t>
      </w:r>
      <w:r>
        <w:t xml:space="preserve">While this landmark studies have substantially shaped research and policy on childhood lead exposure, methodological issues and errors have been raised</w:t>
      </w:r>
      <w:r>
        <w:t xml:space="preserve"> </w:t>
      </w:r>
      <w:r>
        <w:t xml:space="preserve">(25,26)</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for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(27)</w:t>
      </w:r>
      <w:r>
        <w:t xml:space="preserve">.</w:t>
      </w:r>
      <w:r>
        <w:t xml:space="preserve"> </w:t>
      </w:r>
      <w:r>
        <w:t xml:space="preserve">Unlike frequentist confidence intervals, which are often misinterpreted as probabilistic</w:t>
      </w:r>
      <w:r>
        <w:t xml:space="preserve"> </w:t>
      </w:r>
      <w:r>
        <w:t xml:space="preserve">(28)</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will explore how inferential framework and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blood lead levels and IQ scores in children; and second, to conduct both a frequentist and Bayesian meta-analyses, comparing how these analytical frameworks influence exposure-response estimates, uncertainty characterization, and applicability to burden of disease and risk assessment.</w:t>
      </w:r>
    </w:p>
    <w:bookmarkEnd w:id="31"/>
    <w:bookmarkStart w:id="45" w:name="methods"/>
    <w:p>
      <w:pPr>
        <w:pStyle w:val="Heading1"/>
      </w:pPr>
      <w:r>
        <w:t xml:space="preserve">2. Methods</w:t>
      </w:r>
    </w:p>
    <w:bookmarkStart w:id="33"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(29)</w:t>
      </w:r>
      <w:r>
        <w:t xml:space="preserve">.</w:t>
      </w:r>
      <w:r>
        <w:t xml:space="preserve"> </w:t>
      </w:r>
      <w:r>
        <w:t xml:space="preserve">The checklist can be found in the supplementary file 1.</w:t>
      </w:r>
      <w:r>
        <w:t xml:space="preserve"> </w:t>
      </w:r>
      <w:r>
        <w:t xml:space="preserve">The reporting of the Bayesian methods and their results was guided by the Bayesian Analysis Reporting Guidelines (BARG)</w:t>
      </w:r>
      <w:r>
        <w:t xml:space="preserve"> </w:t>
      </w:r>
      <w:r>
        <w:t xml:space="preserve">(30)</w:t>
      </w:r>
      <w:r>
        <w:t xml:space="preserve">.</w:t>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 (</w:t>
      </w:r>
      <w:hyperlink r:id="rId32">
        <w:r>
          <w:rPr>
            <w:rStyle w:val="Hyperlink"/>
            <w:i/>
            <w:iCs/>
          </w:rPr>
          <w:t xml:space="preserve">PARC</w:t>
        </w:r>
      </w:hyperlink>
      <w:r>
        <w:rPr>
          <w:i/>
          <w:iCs/>
        </w:rPr>
        <w:t xml:space="preserve">)</w:t>
      </w:r>
      <w:r>
        <w:t xml:space="preserve">.</w:t>
      </w:r>
      <w:r>
        <w:t xml:space="preserve"> </w:t>
      </w:r>
      <w:r>
        <w:t xml:space="preserve">The literature review presented here was used in multiple studies within PARC, including one on the association of (methyl)mercury and lead on IQ loss for multiple exposure timeframes.</w:t>
      </w:r>
      <w:r>
        <w:t xml:space="preserve"> </w:t>
      </w:r>
      <w:r>
        <w:t xml:space="preserve">Here, we will only report results for concurrent lead exposure and IQ loss, but the figures and tables documenting the literature review do contain parts of the search for other associations and exposure timeframes.</w:t>
      </w:r>
      <w:r>
        <w:br/>
      </w:r>
      <w:r>
        <w:t xml:space="preserve">We searched for articles published between January 2005 and July 2023.</w:t>
      </w:r>
      <w:r>
        <w:t xml:space="preserve"> </w:t>
      </w:r>
      <w:r>
        <w:t xml:space="preserve">The year 2005 was chosen because, as described in the background section, burden of disease studies predominantely used a study published in 2005</w:t>
      </w:r>
      <w:r>
        <w:t xml:space="preserve"> </w:t>
      </w:r>
      <w:r>
        <w:t xml:space="preserve">(16)</w:t>
      </w:r>
      <w:r>
        <w:t xml:space="preserve"> </w:t>
      </w:r>
      <w:r>
        <w:t xml:space="preserve">and we aimed at updating the evidence base with recently published studies.</w:t>
      </w:r>
      <w:r>
        <w:t xml:space="preserve"> </w:t>
      </w:r>
      <w:r>
        <w:t xml:space="preserve">Also, lead concentrations have decreased significantly in the past decades and we aimed at identifying epidemiological studies conducted in populations with currently relevant exposure levels.</w:t>
      </w:r>
      <w:r>
        <w:br/>
      </w:r>
      <w:r>
        <w:t xml:space="preserve">Search queries in Pubmed and Scopus included the following terms:</w:t>
      </w:r>
      <w:r>
        <w:t xml:space="preserve"> </w:t>
      </w:r>
      <w:r>
        <w:t xml:space="preserve">substance (Pb - including Mesh terms), outcome (IQ and neurodevelopment), population (children) and results (association, ERF) (Tab. 1).</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Fulltexts were then assessed by one reviewer.</w:t>
      </w:r>
      <w:r>
        <w:t xml:space="preserve"> </w:t>
      </w:r>
      <w:r>
        <w:t xml:space="preserve">Publications were considered relevant according to predefined PECOTS – Population (children aged 0 to 11), Exposure (biological measures of Pb from all matrices), Comparator (no exposure or lower levels of exposure), Outcome (IQ), Timing of exposure (no restriction) and Setting (no restriction) (Table 2).</w:t>
      </w:r>
      <w:r>
        <w:t xml:space="preserve"> </w:t>
      </w:r>
      <w:r>
        <w:t xml:space="preserve">We excluded reviews and background articles that inventoried the literature with no new results.</w:t>
      </w:r>
      <w:r>
        <w:t xml:space="preserve"> </w:t>
      </w:r>
      <w:r>
        <w:t xml:space="preserve">We also excluded references written in languages other than English.</w:t>
      </w:r>
      <w:r>
        <w:br/>
      </w:r>
      <w:r>
        <w:t xml:space="preserve">As described above, the literature review was conducted with as the basis for multiple studies and thus had a larger scope.</w:t>
      </w:r>
      <w:r>
        <w:t xml:space="preserve"> </w:t>
      </w:r>
      <w:r>
        <w:t xml:space="preserve">For this study, only studies that used a continuous, log-transformed BLL scale were included, so that effect estimates could be harmonized.</w:t>
      </w:r>
      <w:r>
        <w:t xml:space="preserve"> </w:t>
      </w:r>
      <w:r>
        <w:t xml:space="preserve">The exposure timeframe for this study was restricted to concurrent, meaning that IQ and BLL measurement must have been conducted at the same time.</w:t>
      </w:r>
      <w:r>
        <w:t xml:space="preserve"> </w:t>
      </w:r>
      <w:r>
        <w:t xml:space="preserve">Descriptive study data was extracted using a grid based on the one proposed by the Office of Health Assessment and Translation within the US National Toxicology Program (NTP OHAT)</w:t>
      </w:r>
      <w:r>
        <w:t xml:space="preserve"> </w:t>
      </w:r>
      <w:r>
        <w:t xml:space="preserve">(31)</w:t>
      </w:r>
      <w:r>
        <w:t xml:space="preserve">.</w:t>
      </w:r>
      <w:r>
        <w:t xml:space="preserve"> </w:t>
      </w:r>
      <w:r>
        <w:t xml:space="preserve">For all included studies, effect estimates from the most-adjusted model were extracted and the adjustment set was recorded.</w:t>
      </w:r>
    </w:p>
    <w:bookmarkEnd w:id="33"/>
    <w:bookmarkStart w:id="34"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(32)</w:t>
      </w:r>
      <w:r>
        <w:t xml:space="preserve">.</w:t>
      </w:r>
      <w:r>
        <w:t xml:space="preserve"> </w:t>
      </w:r>
      <w:r>
        <w:t xml:space="preserve">Each included publication was assessed for RoB in the domains selection, exposure, outcome, confounding, follow-up, analysis, and selective reporting.</w:t>
      </w:r>
      <w:r>
        <w:t xml:space="preserve"> </w:t>
      </w:r>
      <w:r>
        <w:t xml:space="preserve">In total, each study was evaluated using 15 items.</w:t>
      </w:r>
      <w:r>
        <w:t xml:space="preserve"> </w:t>
      </w:r>
      <w:r>
        <w:t xml:space="preserve">The overall RoB for each individual study was then categorized by one researcher as either low, moderate or high, following two different summary metrics provided by the RoB tool.</w:t>
      </w:r>
      <w:r>
        <w:t xml:space="preserve"> </w:t>
      </w:r>
      <w:r>
        <w:t xml:space="preserve">Each publication was first assessed by one researcher.</w:t>
      </w:r>
      <w:r>
        <w:t xml:space="preserve"> </w:t>
      </w:r>
      <w:r>
        <w:t xml:space="preserve">Subsequently, consensus with the large language model (LLM) Claude Sonnet 4.6 (Anthropic) was sought.</w:t>
      </w:r>
      <w:r>
        <w:t xml:space="preserve"> </w:t>
      </w:r>
      <w:r>
        <w:t xml:space="preserve">This was done by uploading the list of all raRoB items along with the respective publication.</w:t>
      </w:r>
      <w:r>
        <w:t xml:space="preserve"> </w:t>
      </w:r>
      <w:r>
        <w:t xml:space="preserve">Then, the LLM was prompted to assess the study, using the raRoB items.</w:t>
      </w:r>
      <w:r>
        <w:t xml:space="preserve"> </w:t>
      </w:r>
      <w:r>
        <w:t xml:space="preserve">If there were any deviations in the judgement of the researcher and the LLM, the respective item was revisited by the researcher and they made the final decision.</w:t>
      </w:r>
    </w:p>
    <w:bookmarkEnd w:id="34"/>
    <w:bookmarkStart w:id="36" w:name="harmonization-of-effect-estimates"/>
    <w:p>
      <w:pPr>
        <w:pStyle w:val="Heading2"/>
      </w:pPr>
      <w:r>
        <w:t xml:space="preserve">2.3 Harmonization of Effect Estimates</w:t>
      </w:r>
    </w:p>
    <w:p>
      <w:pPr>
        <w:pStyle w:val="FirstParagraph"/>
      </w:pPr>
      <w:r>
        <w:t xml:space="preserve">Studies investigating the association between lead exposure and IQ in children have made different assumptions regarding the shape of the exposure-response relationship.</w:t>
      </w:r>
      <w:r>
        <w:t xml:space="preserve"> </w:t>
      </w:r>
      <w:r>
        <w:t xml:space="preserve">While some studies assume a linear relationship</w:t>
      </w:r>
      <w:r>
        <w:t xml:space="preserve"> </w:t>
      </w:r>
      <w:r>
        <w:t xml:space="preserve">(33,34)</w:t>
      </w:r>
      <w:r>
        <w:t xml:space="preserve">, this assumption may only be valid at very low concentrations</w:t>
      </w:r>
      <w:r>
        <w:t xml:space="preserve"> </w:t>
      </w:r>
      <w:r>
        <w:t xml:space="preserve">(25)</w:t>
      </w:r>
      <w:r>
        <w:t xml:space="preserve">.</w:t>
      </w:r>
      <w:r>
        <w:t xml:space="preserve"> </w:t>
      </w:r>
      <w:r>
        <w:t xml:space="preserve">Studies that tested multiple shapes of the exposure-response function have concluded that a log-linear relationship, where BLL are logarithmically transformed, provides a more appropriate model</w:t>
      </w:r>
      <w:r>
        <w:t xml:space="preserve"> </w:t>
      </w:r>
      <w:r>
        <w:t xml:space="preserve">(25,35)</w:t>
      </w:r>
      <w:r>
        <w:t xml:space="preserve">.</w:t>
      </w:r>
    </w:p>
    <w:p>
      <w:pPr>
        <w:pStyle w:val="BodyText"/>
      </w:pPr>
      <w:r>
        <w:t xml:space="preserve">The general form of regression model used for a log-linear association is:</w:t>
      </w:r>
    </w:p>
    <w:p>
      <w:pPr>
        <w:pStyle w:val="BodyText"/>
      </w:pPr>
      <w:bookmarkStart w:id="35" w:name="eq-regression-model"/>
      <m:oMathPara>
        <m:oMathParaPr>
          <m:jc m:val="center"/>
        </m:oMathParaPr>
        <m:oMath>
          <m:r>
            <m:t>y</m:t>
          </m:r>
          <m:r>
            <m:rPr>
              <m:sty m:val="p"/>
            </m:rPr>
            <m:t>=</m:t>
          </m:r>
          <m:r>
            <m:t>α</m:t>
          </m:r>
          <m:r>
            <m:rPr>
              <m:sty m:val="p"/>
            </m:rPr>
            <m:t>+</m:t>
          </m:r>
          <m:r>
            <m:t>β</m:t>
          </m:r>
          <m:r>
            <m:rPr>
              <m:sty m:val="p"/>
            </m:rPr>
            <m:t>⋅</m:t>
          </m:r>
          <m:r>
            <m:t>l</m:t>
          </m:r>
          <m:r>
            <m:t>o</m:t>
          </m:r>
          <m:sSub>
            <m:e>
              <m:r>
                <m:t>g</m:t>
              </m:r>
            </m:e>
            <m:sub>
              <m:r>
                <m:t>b</m:t>
              </m:r>
            </m:sub>
          </m:sSub>
          <m:d>
            <m:dPr>
              <m:begChr m:val="("/>
              <m:sepChr m:val=""/>
              <m:endChr m:val=")"/>
              <m:grow/>
            </m:dPr>
            <m:e>
              <m:r>
                <m:t>X</m:t>
              </m:r>
            </m:e>
          </m:d>
          <m:r>
            <m:rPr>
              <m:sty m:val="p"/>
            </m:rPr>
            <m:t>+</m:t>
          </m:r>
          <m:r>
            <m:t>ε</m:t>
          </m:r>
          <m:r>
            <m:t>  </m:t>
          </m:r>
          <m:d>
            <m:dPr>
              <m:begChr m:val="("/>
              <m:sepChr m:val=""/>
              <m:endChr m:val=")"/>
              <m:grow/>
            </m:dPr>
            <m:e>
              <m:r>
                <m:t>1</m:t>
              </m:r>
            </m:e>
          </m:d>
        </m:oMath>
      </m:oMathPara>
      <w:bookmarkEnd w:id="35"/>
    </w:p>
    <w:p>
      <w:pPr>
        <w:pStyle w:val="FirstParagraph"/>
      </w:pPr>
      <w:r>
        <w:t xml:space="preserve">Where</w:t>
      </w:r>
      <w:r>
        <w:t xml:space="preserve"> </w:t>
      </w:r>
      <m:oMath>
        <m:r>
          <m:t>y</m:t>
        </m:r>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including the natural logarithm (</w:t>
      </w:r>
      <m:oMath>
        <m:sSub>
          <m:e>
            <m:r>
              <m:rPr>
                <m:sty m:val="p"/>
              </m:rPr>
              <m:t>log</m:t>
            </m:r>
          </m:e>
          <m:sub>
            <m:r>
              <m:t>e</m:t>
            </m:r>
          </m:sub>
        </m:sSub>
      </m:oMath>
      <w:r>
        <w:t xml:space="preserve">,​ where</w:t>
      </w:r>
      <w:r>
        <w:t xml:space="preserve"> </w:t>
      </w:r>
      <m:oMath>
        <m:r>
          <m:t>e</m:t>
        </m:r>
        <m:r>
          <m:rPr>
            <m:sty m:val="p"/>
          </m:rPr>
          <m:t>≈</m:t>
        </m:r>
        <m:r>
          <m:t>2.718</m:t>
        </m:r>
      </m:oMath>
      <w:r>
        <w:t xml:space="preserve">), base 2, and base 10.</w:t>
      </w:r>
      <w:r>
        <w:t xml:space="preserve"> </w:t>
      </w:r>
      <w:r>
        <w:t xml:space="preserve">To enable pooling of the effect estimates, we harmonized all regression coefficients and their standard error (SE) to the natural logarithm scale (</w:t>
      </w:r>
      <m:oMath>
        <m:sSub>
          <m:e>
            <m:r>
              <m:rPr>
                <m:sty m:val="p"/>
              </m:rPr>
              <m:t>log</m:t>
            </m:r>
          </m:e>
          <m:sub>
            <m:r>
              <m:t>e</m:t>
            </m:r>
          </m:sub>
        </m:sSub>
      </m:oMath>
      <w:r>
        <w:t xml:space="preserve">).</w:t>
      </w:r>
      <w:r>
        <w:t xml:space="preserve"> </w:t>
      </w:r>
      <w:r>
        <w:t xml:space="preserve">The calculations are documented in suppl. file 2.</w:t>
      </w:r>
      <w:r>
        <w:br/>
      </w:r>
      <w:r>
        <w:t xml:space="preserve">In some publications, the BLL scale was left untransformed, so on a linear scale.</w:t>
      </w:r>
      <w:r>
        <w:t xml:space="preserve"> </w:t>
      </w:r>
      <w:r>
        <w:t xml:space="preserve">These were excluded from the meta-analysis, as transformation of effect estimates for linear BLL to log-linear could not be justified based on visual inspection (include plots in supplement?).</w:t>
      </w:r>
    </w:p>
    <w:bookmarkEnd w:id="36"/>
    <w:bookmarkStart w:id="43" w:name="meta-analysis-methodology"/>
    <w:p>
      <w:pPr>
        <w:pStyle w:val="Heading2"/>
      </w:pPr>
      <w:r>
        <w:t xml:space="preserve">2.4 Meta-Analysis Methodology</w:t>
      </w:r>
    </w:p>
    <w:p>
      <w:pPr>
        <w:pStyle w:val="FirstParagraph"/>
      </w:pPr>
      <w:r>
        <w:t xml:space="preserve">In order to quantitatively synthesize the available epidemiological literature on the association of children’s blood lead levels and IQ, we conducted a meta-analysis of the results, comparing a Bayesian to a frequentist approach.</w:t>
      </w:r>
      <w:r>
        <w:br/>
      </w:r>
      <w:r>
        <w:t xml:space="preserve">The same effect estimates from the identified publications were included in both approaches, and analogous models were chosen to enable comparison of the results.</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BLL (µg/dL).</w:t>
      </w:r>
      <w:r>
        <w:br/>
      </w:r>
      <w:r>
        <w:t xml:space="preserve">R version 4.4.2 (2024-10-31)</w:t>
      </w:r>
      <w:r>
        <w:t xml:space="preserve"> </w:t>
      </w:r>
      <w:r>
        <w:t xml:space="preserve">(36)</w:t>
      </w:r>
      <w:r>
        <w:t xml:space="preserve"> </w:t>
      </w:r>
      <w:r>
        <w:t xml:space="preserve">was used for all computations.</w:t>
      </w:r>
      <w:r>
        <w:t xml:space="preserve"> </w:t>
      </w:r>
      <w:r>
        <w:t xml:space="preserve">All computational code for this study is publicly available on</w:t>
      </w:r>
      <w:r>
        <w:t xml:space="preserve"> </w:t>
      </w:r>
      <w:hyperlink r:id="rId37">
        <w:r>
          <w:rPr>
            <w:rStyle w:val="Hyperlink"/>
          </w:rPr>
          <w:t xml:space="preserve">GitHub</w:t>
        </w:r>
      </w:hyperlink>
      <w:r>
        <w:t xml:space="preserve">.</w:t>
      </w:r>
    </w:p>
    <w:bookmarkStart w:id="39" w:name="bayesian-meta-analysis"/>
    <w:p>
      <w:pPr>
        <w:pStyle w:val="Heading3"/>
      </w:pPr>
      <w:r>
        <w:t xml:space="preserve">2.4.1 Bayesian Meta-Analysis</w:t>
      </w:r>
    </w:p>
    <w:p>
      <w:pPr>
        <w:pStyle w:val="FirstParagraph"/>
      </w:pPr>
      <w:r>
        <w:t xml:space="preserve">For the Bayesian approach, we employed a random-effects meta-analysis model with two hierarchical levels.</w:t>
      </w:r>
      <w:r>
        <w:t xml:space="preserve"> </w:t>
      </w:r>
      <w:r>
        <w:t xml:space="preserve">At the first level, the observed effect size from each study</w:t>
      </w:r>
      <w:r>
        <w:t xml:space="preserve"> </w:t>
      </w:r>
      <m:oMath>
        <m:sSub>
          <m:e>
            <m:acc>
              <m:accPr>
                <m:chr m:val="̂"/>
              </m:accPr>
              <m:e>
                <m:r>
                  <m:t>θ</m:t>
                </m:r>
              </m:e>
            </m:acc>
          </m:e>
          <m:sub>
            <m:r>
              <m:t>k</m:t>
            </m:r>
          </m:sub>
        </m:sSub>
      </m:oMath>
      <w:r>
        <w:t xml:space="preserve"> </w:t>
      </w:r>
      <w:r>
        <w:t xml:space="preserve">is modeled as an estimate of that study’s true underlying effect</w:t>
      </w:r>
      <w:r>
        <w:t xml:space="preserve"> </w:t>
      </w:r>
      <m:oMath>
        <m:sSub>
          <m:e>
            <m:r>
              <m:t>θ</m:t>
            </m:r>
          </m:e>
          <m:sub>
            <m:r>
              <m:t>k</m:t>
            </m:r>
          </m:sub>
        </m:sSub>
      </m:oMath>
      <w:r>
        <w:t xml:space="preserve">, with deviation from the true effect determined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At the second level, these study-specific true effects are themselves assumed to vary across studies following a normal distribution, characterized by an overall pooled effect</w:t>
      </w:r>
      <w:r>
        <w:t xml:space="preserve"> </w:t>
      </w:r>
      <m:oMath>
        <m:r>
          <m:t>μ</m:t>
        </m:r>
      </m:oMath>
      <w:r>
        <w:t xml:space="preserve"> </w:t>
      </w:r>
      <w:r>
        <w:t xml:space="preserve">and between-study standard deviation (heterogeneity)</w:t>
      </w:r>
      <w:r>
        <w:t xml:space="preserve"> </w:t>
      </w:r>
      <m:oMath>
        <m:r>
          <m:t>τ</m:t>
        </m:r>
      </m:oMath>
      <w:r>
        <w:t xml:space="preserve">.</w:t>
      </w:r>
    </w:p>
    <w:p>
      <w:pPr>
        <w:pStyle w:val="BodyText"/>
      </w:pPr>
      <w:bookmarkStart w:id="38" w:name="eq-model"/>
      <m:oMathPara>
        <m:oMathParaPr>
          <m:jc m:val="center"/>
        </m:oMathParaPr>
        <m:oMath>
          <m:m>
            <m:mPr>
              <m:baseJc m:val="center"/>
              <m:plcHide m:val="on"/>
              <m:mcs>
                <m:mc>
                  <m:mcPr>
                    <m:mcJc m:val="right"/>
                    <m:count m:val="1"/>
                  </m:mcPr>
                </m:mc>
                <m:mc>
                  <m:mcPr>
                    <m:mcJc m:val="left"/>
                    <m:count m:val="1"/>
                  </m:mcPr>
                </m:mc>
              </m:mcs>
            </m:mPr>
            <m:mr>
              <m:e>
                <m:sSub>
                  <m:e>
                    <m:acc>
                      <m:accPr>
                        <m:chr m:val="̂"/>
                      </m:accPr>
                      <m:e>
                        <m:r>
                          <m:t>θ</m:t>
                        </m:r>
                      </m:e>
                    </m:acc>
                  </m:e>
                  <m:sub>
                    <m:r>
                      <m:t>k</m:t>
                    </m:r>
                  </m:sub>
                </m:sSub>
              </m:e>
              <m:e>
                <m:r>
                  <m:rPr>
                    <m:sty m:val="p"/>
                  </m:rPr>
                  <m:t>∼</m:t>
                </m:r>
                <m:r>
                  <m:rPr>
                    <m:sty m:val="p"/>
                    <m:scr m:val="script"/>
                  </m:rPr>
                  <m:t>N</m:t>
                </m:r>
                <m:d>
                  <m:dPr>
                    <m:begChr m:val="("/>
                    <m:sepChr m:val=""/>
                    <m:endChr m:val=")"/>
                    <m:grow/>
                  </m:dPr>
                  <m:e>
                    <m:sSub>
                      <m:e>
                        <m:r>
                          <m:t>θ</m:t>
                        </m:r>
                      </m:e>
                      <m:sub>
                        <m:r>
                          <m:t>k</m:t>
                        </m:r>
                      </m:sub>
                    </m:sSub>
                    <m:r>
                      <m:rPr>
                        <m:sty m:val="p"/>
                      </m:rPr>
                      <m:t>,</m:t>
                    </m:r>
                    <m:sSub>
                      <m:e>
                        <m:r>
                          <m:t>σ</m:t>
                        </m:r>
                      </m:e>
                      <m:sub>
                        <m:r>
                          <m:t>k</m:t>
                        </m:r>
                      </m:sub>
                    </m:sSub>
                  </m:e>
                </m:d>
              </m:e>
            </m:mr>
            <m:mr>
              <m:e>
                <m:sSub>
                  <m:e>
                    <m:r>
                      <m:t>θ</m:t>
                    </m:r>
                  </m:e>
                  <m:sub>
                    <m:r>
                      <m:t>k</m:t>
                    </m:r>
                  </m:sub>
                </m:sSub>
              </m:e>
              <m:e>
                <m:r>
                  <m:rPr>
                    <m:sty m:val="p"/>
                  </m:rPr>
                  <m:t>∼</m:t>
                </m:r>
                <m:r>
                  <m:rPr>
                    <m:sty m:val="p"/>
                    <m:scr m:val="script"/>
                  </m:rPr>
                  <m:t>N</m:t>
                </m:r>
                <m:d>
                  <m:dPr>
                    <m:begChr m:val="("/>
                    <m:sepChr m:val=""/>
                    <m:endChr m:val=")"/>
                    <m:grow/>
                  </m:dPr>
                  <m:e>
                    <m:r>
                      <m:t>μ</m:t>
                    </m:r>
                    <m:r>
                      <m:rPr>
                        <m:sty m:val="p"/>
                      </m:rPr>
                      <m:t>,</m:t>
                    </m:r>
                    <m:r>
                      <m:t>τ</m:t>
                    </m:r>
                  </m:e>
                </m:d>
              </m:e>
            </m:mr>
            <m:mr>
              <m:e/>
            </m:mr>
          </m:m>
          <m:r>
            <m:t>  </m:t>
          </m:r>
          <m:d>
            <m:dPr>
              <m:begChr m:val="("/>
              <m:sepChr m:val=""/>
              <m:endChr m:val=")"/>
              <m:grow/>
            </m:dPr>
            <m:e>
              <m:r>
                <m:t>2</m:t>
              </m:r>
            </m:e>
          </m:d>
        </m:oMath>
      </m:oMathPara>
      <w:bookmarkEnd w:id="38"/>
    </w:p>
    <w:p>
      <w:pPr>
        <w:pStyle w:val="FirstParagraph"/>
      </w:pPr>
      <w:r>
        <w:t xml:space="preserve">Where:</w:t>
      </w:r>
      <w:r>
        <w:br/>
      </w:r>
      <m:oMath>
        <m:sSub>
          <m:e>
            <m:acc>
              <m:accPr>
                <m:chr m:val="̂"/>
              </m:accPr>
              <m:e>
                <m:r>
                  <m:t>θ</m:t>
                </m:r>
              </m:e>
            </m:acc>
          </m:e>
          <m:sub>
            <m:r>
              <m:t>k</m:t>
            </m:r>
          </m:sub>
        </m:sSub>
      </m:oMath>
      <w:r>
        <w:t xml:space="preserve"> </w:t>
      </w:r>
      <w:r>
        <w:t xml:space="preserve">= Observed effect size for study</w:t>
      </w:r>
      <w:r>
        <w:t xml:space="preserve"> </w:t>
      </w:r>
      <m:oMath>
        <m:r>
          <m:t>k</m:t>
        </m:r>
      </m:oMath>
      <w:r>
        <w:br/>
      </w:r>
      <m:oMath>
        <m:sSub>
          <m:e>
            <m:r>
              <m:t>σ</m:t>
            </m:r>
          </m:e>
          <m:sub>
            <m:r>
              <m:t>k</m:t>
            </m:r>
          </m:sub>
        </m:sSub>
      </m:oMath>
      <w:r>
        <w:t xml:space="preserve"> </w:t>
      </w:r>
      <w:r>
        <w:t xml:space="preserve">= Within-study sampling standard deviation for study</w:t>
      </w:r>
      <w:r>
        <w:t xml:space="preserve"> </w:t>
      </w:r>
      <m:oMath>
        <m:r>
          <m:t>k</m:t>
        </m:r>
      </m:oMath>
      <w:r>
        <w:br/>
      </w:r>
      <m:oMath>
        <m:sSub>
          <m:e>
            <m:r>
              <m:t>θ</m:t>
            </m:r>
          </m:e>
          <m:sub>
            <m:r>
              <m:t>k</m:t>
            </m:r>
          </m:sub>
        </m:sSub>
      </m:oMath>
      <w:r>
        <w:t xml:space="preserve"> </w:t>
      </w:r>
      <w:r>
        <w:t xml:space="preserve">= True underlying effect for study</w:t>
      </w:r>
      <w:r>
        <w:t xml:space="preserve"> </w:t>
      </w:r>
      <m:oMath>
        <m:r>
          <m:t>k</m:t>
        </m:r>
      </m:oMath>
      <w:r>
        <w:br/>
      </w:r>
      <m:oMath>
        <m:r>
          <m:t>μ</m:t>
        </m:r>
      </m:oMath>
      <w:r>
        <w:t xml:space="preserve"> </w:t>
      </w:r>
      <w:r>
        <w:t xml:space="preserve">= Overall pooled effect</w:t>
      </w:r>
      <w:r>
        <w:br/>
      </w:r>
      <m:oMath>
        <m:r>
          <m:t>τ</m:t>
        </m:r>
      </m:oMath>
      <w:r>
        <w:t xml:space="preserve"> </w:t>
      </w:r>
      <w:r>
        <w:t xml:space="preserve">= Between-study standard deviation (heterogeneity)</w:t>
      </w:r>
      <w:r>
        <w:br/>
      </w:r>
    </w:p>
    <w:p>
      <w:pPr>
        <w:pStyle w:val="BodyText"/>
      </w:pPr>
      <w:r>
        <w:t xml:space="preserve">The Bayesian model was fit using the R package</w:t>
      </w:r>
      <w:r>
        <w:t xml:space="preserve"> </w:t>
      </w:r>
      <w:r>
        <w:rPr>
          <w:rStyle w:val="VerbatimChar"/>
        </w:rPr>
        <w:t xml:space="preserve">brms</w:t>
      </w:r>
      <w:r>
        <w:t xml:space="preserve"> </w:t>
      </w:r>
      <w:r>
        <w:t xml:space="preserve">(37)</w:t>
      </w:r>
      <w:r>
        <w:t xml:space="preserve"> </w:t>
      </w:r>
      <w:r>
        <w:t xml:space="preserve">version 2.22.0.</w:t>
      </w:r>
      <w:r>
        <w:t xml:space="preserve"> </w:t>
      </w:r>
      <w:r>
        <w:t xml:space="preserve">Posterior draws were sampled using Markov chain Monte Carlo (MCMC) and the No-U-Turn sampler (NUTS)</w:t>
      </w:r>
      <w:r>
        <w:t xml:space="preserve"> </w:t>
      </w:r>
      <w:r>
        <w:t xml:space="preserve">(38)</w:t>
      </w:r>
      <w:r>
        <w:t xml:space="preserve">.</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the Gelman-Rubin statistic (</w:t>
      </w:r>
      <m:oMath>
        <m:acc>
          <m:accPr>
            <m:chr m:val="̂"/>
          </m:accPr>
          <m:e>
            <m:r>
              <m:t>R</m:t>
            </m:r>
          </m:e>
        </m:acc>
      </m:oMath>
      <w:r>
        <w:t xml:space="preserve">) and chain resolution was assessed using the effective sample size (ESS).</w:t>
      </w:r>
      <w:r>
        <w:br/>
      </w:r>
      <w:r>
        <w:t xml:space="preserve">Heterogeneity</w:t>
      </w:r>
      <w:r>
        <w:t xml:space="preserve"> </w:t>
      </w:r>
      <m:oMath>
        <m:r>
          <m:t>τ</m:t>
        </m:r>
      </m:oMath>
      <w:r>
        <w:t xml:space="preserve"> </w:t>
      </w:r>
      <w:r>
        <w:t xml:space="preserve">was directly modelled as a parameter (</w:t>
      </w:r>
      <w:hyperlink w:anchor="eq-model">
        <w:r>
          <w:rPr>
            <w:rStyle w:val="Hyperlink"/>
          </w:rPr>
          <w:t xml:space="preserve">Equation 2</w:t>
        </w:r>
      </w:hyperlink>
      <w:r>
        <w:t xml:space="preserve">).</w:t>
      </w:r>
      <w:r>
        <w:t xml:space="preserve"> </w:t>
      </w:r>
      <m:oMath>
        <m:sSup>
          <m:e>
            <m:r>
              <m:t>I</m:t>
            </m:r>
          </m:e>
          <m:sup>
            <m:r>
              <m:t>2</m:t>
            </m:r>
          </m:sup>
        </m:sSup>
      </m:oMath>
      <w:r>
        <w:t xml:space="preserve"> </w:t>
      </w:r>
      <w:r>
        <w:t xml:space="preserve">was calculated using the typical within-study variance calculated with</w:t>
      </w:r>
      <w:r>
        <w:t xml:space="preserve"> </w:t>
      </w:r>
      <w:r>
        <w:rPr>
          <w:rStyle w:val="VerbatimChar"/>
        </w:rPr>
        <w:t xml:space="preserve">metafor</w:t>
      </w:r>
      <w:r>
        <w:t xml:space="preserve"> </w:t>
      </w:r>
      <w:r>
        <w:t xml:space="preserve">(frequentist approach) so that both</w:t>
      </w:r>
      <w:r>
        <w:t xml:space="preserve"> </w:t>
      </w:r>
      <m:oMath>
        <m:sSup>
          <m:e>
            <m:r>
              <m:t>I</m:t>
            </m:r>
          </m:e>
          <m:sup>
            <m:r>
              <m:t>2</m:t>
            </m:r>
          </m:sup>
        </m:sSup>
      </m:oMath>
      <w:r>
        <w:t xml:space="preserve"> </w:t>
      </w:r>
      <w:r>
        <w:t xml:space="preserve">results are comparable.</w:t>
      </w:r>
    </w:p>
    <w:bookmarkEnd w:id="39"/>
    <w:bookmarkStart w:id="41" w:name="priors"/>
    <w:p>
      <w:pPr>
        <w:pStyle w:val="Heading3"/>
      </w:pPr>
      <w:r>
        <w:t xml:space="preserve">2.4.2 Priors</w:t>
      </w:r>
    </w:p>
    <w:p>
      <w:pPr>
        <w:pStyle w:val="FirstParagraph"/>
      </w:pPr>
      <w:r>
        <w:t xml:space="preserve">In Bayesian statistics, prior knowledge or assumptions from previously published studies, domain knowledge or beliefs are updated by the newly observed data and together result in a posterior distribution.</w:t>
      </w:r>
      <w:r>
        <w:t xml:space="preserve"> </w:t>
      </w:r>
      <w:r>
        <w:t xml:space="preserve">Prior distributions are specified for all parameters to be estimated, which in this study are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(conservative) priors were chosen so that the posterior distributions are softly being bounded to realistic ranges of results.</w:t>
      </w:r>
      <w:r>
        <w:t xml:space="preserve"> </w:t>
      </w:r>
      <w:r>
        <w:t xml:space="preserve">Because the unit scale of the included effect estimates was harmonized to IQ shift per unit increase in</w:t>
      </w:r>
      <w:r>
        <w:t xml:space="preserve"> </w:t>
      </w:r>
      <m:oMath>
        <m:sSub>
          <m:e>
            <m:r>
              <m:rPr>
                <m:sty m:val="p"/>
              </m:rPr>
              <m:t>log</m:t>
            </m:r>
          </m:e>
          <m:sub>
            <m:r>
              <m:t>e</m:t>
            </m:r>
          </m:sub>
        </m:sSub>
      </m:oMath>
      <w:r>
        <w:t xml:space="preserve">-transformed blood lead concentration (µg/dL), the priors will be specified on the same scale.</w:t>
      </w:r>
    </w:p>
    <w:p>
      <w:pPr>
        <w:pStyle w:val="BodyText"/>
      </w:pPr>
      <w:r>
        <w:t xml:space="preserve">For the overall pooled effect</w:t>
      </w:r>
      <w:r>
        <w:t xml:space="preserve"> </w:t>
      </w:r>
      <m:oMath>
        <m:r>
          <m:t>μ</m:t>
        </m:r>
      </m:oMath>
      <w:r>
        <w:t xml:space="preserve">, a normally distributed prior centered at -1 with a standard deviation (SD) of 2 was chosen.</w:t>
      </w:r>
      <w:r>
        <w:t xml:space="preserve"> </w:t>
      </w:r>
      <w:r>
        <w:t xml:space="preserve">This translates to the assumption that the overall pooled effect lies between -5 and 3 with $</w:t>
      </w:r>
      <w:r>
        <w:t xml:space="preserve">$95% probability.</w:t>
      </w:r>
      <w:r>
        <w:t xml:space="preserve"> </w:t>
      </w:r>
      <w:r>
        <w:t xml:space="preserve">The center point of the prior was chosen to be -1 because the negative effects of lead on the developing nervous system and its toxicological mechanisms of action are well established</w:t>
      </w:r>
      <w:r>
        <w:t xml:space="preserve"> </w:t>
      </w:r>
      <w:r>
        <w:t xml:space="preserve">(19)</w:t>
      </w:r>
      <w:r>
        <w:t xml:space="preserve">.</w:t>
      </w:r>
      <w:r>
        <w:br/>
      </w:r>
      <w:r>
        <w:t xml:space="preserve">Since between-study standard deviation (heterogeneity)</w:t>
      </w:r>
      <w:r>
        <w:t xml:space="preserve"> </w:t>
      </w:r>
      <m:oMath>
        <m:r>
          <m:t>τ</m:t>
        </m:r>
      </m:oMath>
      <w:r>
        <w:t xml:space="preserve"> </w:t>
      </w:r>
      <w:r>
        <w:t xml:space="preserve">must be positive, a truncated normal distribution centered at 0 with a SD of 2 was specified.</w:t>
      </w:r>
      <w:r>
        <w:t xml:space="preserve"> </w:t>
      </w:r>
      <w:r>
        <w:t xml:space="preserve">This translates to the assumption that</w:t>
      </w:r>
      <w:r>
        <w:t xml:space="preserve"> </w:t>
      </w:r>
      <m:oMath>
        <m:r>
          <m:t>τ</m:t>
        </m:r>
      </m:oMath>
      <w:r>
        <w:t xml:space="preserve"> </w:t>
      </w:r>
      <w:r>
        <w:t xml:space="preserve">is small, but due to its wide SD, the prior is still vague and thus weakly-informative.</w:t>
      </w:r>
      <w:r>
        <w:t xml:space="preserve"> </w:t>
      </w:r>
      <w:r>
        <w:t xml:space="preserve">In summary, the following priors were specified for the Bayesian model:</w:t>
      </w:r>
    </w:p>
    <w:p>
      <w:pPr>
        <w:pStyle w:val="BodyText"/>
      </w:pPr>
      <w:bookmarkStart w:id="40" w:name="eq-priors"/>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rPr>
                        <m:sty m:val="p"/>
                      </m:rPr>
                      <m:t>−</m:t>
                    </m:r>
                    <m:r>
                      <m:t>1</m:t>
                    </m:r>
                    <m:r>
                      <m:rPr>
                        <m:sty m:val="p"/>
                      </m:rPr>
                      <m:t>,</m:t>
                    </m:r>
                    <m:r>
                      <m:t>2</m:t>
                    </m:r>
                  </m:e>
                </m:d>
              </m:e>
            </m:mr>
            <m:mr>
              <m:e>
                <m:r>
                  <m:t>τ</m:t>
                </m:r>
              </m:e>
              <m:e>
                <m:r>
                  <m:rPr>
                    <m:sty m:val="p"/>
                  </m:rPr>
                  <m:t>∼</m:t>
                </m:r>
                <m:sSup>
                  <m:e>
                    <m:r>
                      <m:rPr>
                        <m:sty m:val="p"/>
                        <m:scr m:val="script"/>
                      </m:rPr>
                      <m:t>N</m:t>
                    </m:r>
                  </m:e>
                  <m:sup>
                    <m:r>
                      <m:rPr>
                        <m:sty m:val="p"/>
                        <m:scr m:val="script"/>
                      </m:rPr>
                      <m:t>+</m:t>
                    </m:r>
                  </m:sup>
                </m:sSup>
                <m:d>
                  <m:dPr>
                    <m:begChr m:val="("/>
                    <m:sepChr m:val=""/>
                    <m:endChr m:val=")"/>
                    <m:grow/>
                  </m:dPr>
                  <m:e>
                    <m:r>
                      <m:t>0</m:t>
                    </m:r>
                    <m:r>
                      <m:rPr>
                        <m:sty m:val="p"/>
                      </m:rPr>
                      <m:t>,</m:t>
                    </m:r>
                    <m:r>
                      <m:t>2</m:t>
                    </m:r>
                  </m:e>
                </m:d>
              </m:e>
            </m:mr>
          </m:m>
          <m:r>
            <m:t>  </m:t>
          </m:r>
          <m:d>
            <m:dPr>
              <m:begChr m:val="("/>
              <m:sepChr m:val=""/>
              <m:endChr m:val=")"/>
              <m:grow/>
            </m:dPr>
            <m:e>
              <m:r>
                <m:t>3</m:t>
              </m:r>
            </m:e>
          </m:d>
        </m:oMath>
      </m:oMathPara>
      <w:bookmarkEnd w:id="40"/>
    </w:p>
    <w:p>
      <w:pPr>
        <w:pStyle w:val="FirstParagraph"/>
      </w:pPr>
      <w:r>
        <w:t xml:space="preserve">Prior and posterior predictive checks were conducted using the</w:t>
      </w:r>
      <w:r>
        <w:t xml:space="preserve"> </w:t>
      </w:r>
      <w:r>
        <w:rPr>
          <w:rStyle w:val="VerbatimChar"/>
        </w:rPr>
        <w:t xml:space="preserve">bayesplot</w:t>
      </w:r>
      <w:r>
        <w:t xml:space="preserve"> </w:t>
      </w:r>
      <w:r>
        <w:t xml:space="preserve">package</w:t>
      </w:r>
      <w:r>
        <w:t xml:space="preserve"> </w:t>
      </w:r>
      <w:r>
        <w:t xml:space="preserve">(39)</w:t>
      </w:r>
      <w:r>
        <w:t xml:space="preserve"> </w:t>
      </w:r>
      <w:r>
        <w:t xml:space="preserve">to assess the appropriateness of the specified priors.</w:t>
      </w:r>
      <w:r>
        <w:t xml:space="preserve"> </w:t>
      </w:r>
      <w:r>
        <w:t xml:space="preserve">Additionally, a sensitivity analysis with alternative priors was conduced, as described below.</w:t>
      </w:r>
    </w:p>
    <w:bookmarkEnd w:id="41"/>
    <w:bookmarkStart w:id="42" w:name="frequentist-meta-analysis"/>
    <w:p>
      <w:pPr>
        <w:pStyle w:val="Heading3"/>
      </w:pPr>
      <w:r>
        <w:t xml:space="preserve">2.4.3 Frequentist Meta-Analysis</w:t>
      </w:r>
    </w:p>
    <w:p>
      <w:pPr>
        <w:pStyle w:val="FirstParagraph"/>
      </w:pPr>
      <w:r>
        <w:t xml:space="preserve">For the frequentist meta-analysis we employed a random-effects model, assuming the same multilevel structure as for the Bayesian model (</w:t>
      </w:r>
      <w:hyperlink w:anchor="eq-model">
        <w:r>
          <w:rPr>
            <w:rStyle w:val="Hyperlink"/>
          </w:rPr>
          <w:t xml:space="preserve">Equation 2</w:t>
        </w:r>
      </w:hyperlink>
      <w:r>
        <w:t xml:space="preserve">).</w:t>
      </w:r>
      <w:r>
        <w:t xml:space="preserve"> </w:t>
      </w:r>
      <w:r>
        <w:t xml:space="preserve">Parameters were estimated via the restricted maximum-likelihood (REML) estimation from the R package</w:t>
      </w:r>
      <w:r>
        <w:t xml:space="preserve"> </w:t>
      </w:r>
      <w:r>
        <w:rPr>
          <w:rStyle w:val="VerbatimChar"/>
        </w:rPr>
        <w:t xml:space="preserve">metafor</w:t>
      </w:r>
      <w:r>
        <w:t xml:space="preserve"> </w:t>
      </w:r>
      <w:r>
        <w:t xml:space="preserve">version 4.8-0</w:t>
      </w:r>
      <w:r>
        <w:t xml:space="preserve"> </w:t>
      </w:r>
      <w:r>
        <w:t xml:space="preserve">(40)</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42"/>
    <w:bookmarkEnd w:id="43"/>
    <w:bookmarkStart w:id="44" w:name="sensitivity-analysis"/>
    <w:p>
      <w:pPr>
        <w:pStyle w:val="Heading2"/>
      </w:pPr>
      <w:r>
        <w:t xml:space="preserve">2.5 Sensitivity Analysis</w:t>
      </w:r>
    </w:p>
    <w:p>
      <w:pPr>
        <w:pStyle w:val="FirstParagraph"/>
      </w:pPr>
      <w:r>
        <w:t xml:space="preserve">We conducted two sets of sensitivity analyses.</w:t>
      </w:r>
      <w:r>
        <w:br/>
      </w:r>
      <w:r>
        <w:t xml:space="preserve">To examine the sensitivity of the results to possibly biased study estimates, we ran both the frequentist and Bayesian models again twice, excluding (1) studies with a high RoB and (2) with a high or medium RoB.</w:t>
      </w:r>
    </w:p>
    <w:p>
      <w:pPr>
        <w:pStyle w:val="BodyText"/>
      </w:pPr>
      <w:r>
        <w:t xml:space="preserve">To examine the sensitivity of the results to the choice of prior distributions, we fit the Bayesian model again twice, with alternative priors for both the main effect (</w:t>
      </w:r>
      <m:oMath>
        <m:r>
          <m:t>μ</m:t>
        </m:r>
      </m:oMath>
      <w:r>
        <w:t xml:space="preserve">) and heterogeneity (</w:t>
      </w:r>
      <m:oMath>
        <m:r>
          <m:t>τ</m:t>
        </m:r>
      </m:oMath>
      <w:r>
        <w:t xml:space="preserve">).</w:t>
      </w:r>
      <w:r>
        <w:t xml:space="preserve"> </w:t>
      </w:r>
      <w:r>
        <w:t xml:space="preserve">The first set of priors was more informative (more narrow) than the main priors, with</w:t>
      </w:r>
      <w:r>
        <w:t xml:space="preserve">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w:t>
      </w:r>
      <w:r>
        <w:t xml:space="preserve"> </w:t>
      </w:r>
      <w:r>
        <w:t xml:space="preserve">The second set of priors was less informative (or broader) with</w:t>
      </w:r>
      <w:r>
        <w:t xml:space="preserve"> </w:t>
      </w:r>
      <m:oMath>
        <m:r>
          <m:t>μ</m:t>
        </m:r>
        <m:r>
          <m:rPr>
            <m:sty m:val="p"/>
          </m:rPr>
          <m:t>∼</m:t>
        </m:r>
        <m:r>
          <m:rPr>
            <m:sty m:val="p"/>
            <m:scr m:val="script"/>
          </m:rPr>
          <m:t>N</m:t>
        </m:r>
        <m:d>
          <m:dPr>
            <m:begChr m:val="("/>
            <m:sepChr m:val=""/>
            <m:endChr m:val=")"/>
            <m:grow/>
          </m:dPr>
          <m:e>
            <m:r>
              <m:t>0</m:t>
            </m:r>
            <m:r>
              <m:rPr>
                <m:sty m:val="p"/>
              </m:rPr>
              <m:t>,</m:t>
            </m:r>
            <m:r>
              <m:t>6</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w:t>
      </w:r>
      <w:r>
        <w:t xml:space="preserve"> </w:t>
      </w:r>
      <w:r>
        <w:t xml:space="preserve">Notice that for the main effect, we centered the broader prior around 0, giving equal weight to the probability of a protective and detrimental effect of lead.</w:t>
      </w:r>
    </w:p>
    <w:bookmarkEnd w:id="44"/>
    <w:bookmarkEnd w:id="45"/>
    <w:bookmarkStart w:id="56" w:name="results"/>
    <w:p>
      <w:pPr>
        <w:pStyle w:val="Heading1"/>
      </w:pPr>
      <w:r>
        <w:t xml:space="preserve">3. Results</w:t>
      </w:r>
    </w:p>
    <w:bookmarkStart w:id="49" w:name="literature-review-1"/>
    <w:p>
      <w:pPr>
        <w:pStyle w:val="Heading2"/>
      </w:pPr>
      <w:r>
        <w:t xml:space="preserve">3.1 Literature Review</w:t>
      </w:r>
    </w:p>
    <w:p>
      <w:pPr>
        <w:pStyle w:val="FirstParagraph"/>
      </w:pPr>
      <w:r>
        <w:t xml:space="preserve">As described in the methods, the systematic review was conducted with a larger scope and was used as a basis for multiple studies, which is why it includes another substance (mercury, Hg).</w:t>
      </w:r>
      <w:r>
        <w:t xml:space="preserve"> </w:t>
      </w:r>
      <w:r>
        <w:t xml:space="preserve">The systematic search in PubMed and Scopus yielded 1,073 records for lead.</w:t>
      </w:r>
      <w:r>
        <w:t xml:space="preserve"> </w:t>
      </w:r>
      <w:r>
        <w:t xml:space="preserve">After duplicate removal, 974 records (Pb &amp; Hg) were screened in abstract and title, which left 149 records (Pb &amp; Hg) to be screened in fulltext.</w:t>
      </w:r>
      <w:r>
        <w:t xml:space="preserve"> </w:t>
      </w:r>
      <w:r>
        <w:t xml:space="preserve">After fulltext screening, 36 records remained for Pb.</w:t>
      </w:r>
      <w:r>
        <w:t xml:space="preserve"> </w:t>
      </w:r>
      <w:r>
        <w:t xml:space="preserve">These were then assessed for their eligibility for the meta-analysis.</w:t>
      </w:r>
      <w:r>
        <w:t xml:space="preserve"> </w:t>
      </w:r>
      <w:r>
        <w:t xml:space="preserve">12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included in the study were already included in another study and would have been duplicates.</w:t>
      </w:r>
      <w:r>
        <w:t xml:space="preserve"> </w:t>
      </w:r>
      <w:r>
        <w:t xml:space="preserve">Four additional studies were excluded because they either solely reported effects of chemical mixtures, because they used non-linear models or failed to report essential statistics.</w:t>
      </w:r>
      <w:r>
        <w:t xml:space="preserve"> </w:t>
      </w:r>
      <w:r>
        <w:t xml:space="preserve">Finally, twelve studies were included in the meta-analysis.</w:t>
      </w:r>
      <w:r>
        <w:t xml:space="preserve"> </w:t>
      </w:r>
      <w:r>
        <w:t xml:space="preserve">Study characteristics and regression coefficients are shown in Tab. 2.</w:t>
      </w:r>
    </w:p>
    <w:p>
      <w:pPr>
        <w:pStyle w:val="BodyText"/>
      </w:pPr>
      <w:r>
        <w:t xml:space="preserve">A PRISMA flow diagram</w:t>
      </w:r>
      <w:r>
        <w:t xml:space="preserve"> </w:t>
      </w:r>
      <w:r>
        <w:t xml:space="preserve">(29)</w:t>
      </w:r>
      <w:r>
        <w:t xml:space="preserve"> </w:t>
      </w:r>
      <w:r>
        <w:t xml:space="preserve">summarizing the review process is shown in Fig. 1.</w:t>
      </w:r>
      <w:r>
        <w:t xml:space="preserve"> </w:t>
      </w:r>
      <w:r>
        <w:t xml:space="preserve">A file containing detailed information on the screening process and exclusion reasons can be found in suppl. file 2.</w:t>
      </w:r>
    </w:p>
    <w:p>
      <w:pPr>
        <w:pStyle w:val="CaptionedFigure"/>
      </w:pPr>
      <w:r>
        <w:drawing>
          <wp:inline>
            <wp:extent cx="3566160" cy="4059018"/>
            <wp:effectExtent b="0" l="0" r="0" t="0"/>
            <wp:docPr descr="Fig. 1: PRISMA flow diagram" title="" id="47" name="Picture"/>
            <a:graphic>
              <a:graphicData uri="http://schemas.openxmlformats.org/drawingml/2006/picture">
                <pic:pic>
                  <pic:nvPicPr>
                    <pic:cNvPr descr="tables_figures/main/figure1.png" id="48" name="Picture"/>
                    <pic:cNvPicPr>
                      <a:picLocks noChangeArrowheads="1" noChangeAspect="1"/>
                    </pic:cNvPicPr>
                  </pic:nvPicPr>
                  <pic:blipFill>
                    <a:blip r:embed="rId46"/>
                    <a:stretch>
                      <a:fillRect/>
                    </a:stretch>
                  </pic:blipFill>
                  <pic:spPr bwMode="auto">
                    <a:xfrm>
                      <a:off x="0" y="0"/>
                      <a:ext cx="3566160" cy="4059018"/>
                    </a:xfrm>
                    <a:prstGeom prst="rect">
                      <a:avLst/>
                    </a:prstGeom>
                    <a:noFill/>
                    <a:ln w="9525">
                      <a:noFill/>
                      <a:headEnd/>
                      <a:tailEnd/>
                    </a:ln>
                  </pic:spPr>
                </pic:pic>
              </a:graphicData>
            </a:graphic>
          </wp:inline>
        </w:drawing>
      </w:r>
    </w:p>
    <w:p>
      <w:pPr>
        <w:pStyle w:val="ImageCaption"/>
      </w:pPr>
      <w:r>
        <w:t xml:space="preserve">Fig. 1: PRISMA flow diagram</w:t>
      </w:r>
    </w:p>
    <w:bookmarkEnd w:id="49"/>
    <w:bookmarkStart w:id="50" w:name="risk-of-bias"/>
    <w:p>
      <w:pPr>
        <w:pStyle w:val="Heading2"/>
      </w:pPr>
      <w:r>
        <w:t xml:space="preserve">3.2 Risk of Bias</w:t>
      </w:r>
    </w:p>
    <w:p>
      <w:pPr>
        <w:pStyle w:val="FirstParagraph"/>
      </w:pPr>
      <w:r>
        <w:t xml:space="preserve">The rapid RoB assessment resulted in eight studies with a low risk</w:t>
      </w:r>
      <w:r>
        <w:t xml:space="preserve"> </w:t>
      </w:r>
      <w:r>
        <w:t xml:space="preserve">(35,41–47)</w:t>
      </w:r>
      <w:r>
        <w:t xml:space="preserve">,</w:t>
      </w:r>
      <w:r>
        <w:t xml:space="preserve"> </w:t>
      </w:r>
      <w:r>
        <w:t xml:space="preserve">two with a moderate risk</w:t>
      </w:r>
      <w:r>
        <w:t xml:space="preserve"> </w:t>
      </w:r>
      <w:r>
        <w:t xml:space="preserve">(48,49)</w:t>
      </w:r>
      <w:r>
        <w:t xml:space="preserve"> </w:t>
      </w:r>
      <w:r>
        <w:t xml:space="preserve">and two studies with a high RoB</w:t>
      </w:r>
      <w:r>
        <w:t xml:space="preserve"> </w:t>
      </w:r>
      <w:r>
        <w:t xml:space="preserve">(25,50)</w:t>
      </w:r>
      <w:r>
        <w:t xml:space="preserve">.</w:t>
      </w:r>
      <w:r>
        <w:br/>
      </w:r>
      <w:r>
        <w:t xml:space="preserve">Domains with a higher overall RoB in the included studies were</w:t>
      </w:r>
      <w:r>
        <w:t xml:space="preserve"> </w:t>
      </w:r>
      <w:r>
        <w:rPr>
          <w:i/>
          <w:iCs/>
        </w:rPr>
        <w:t xml:space="preserve">non-response rate</w:t>
      </w:r>
      <w:r>
        <w:t xml:space="preserve"> </w:t>
      </w:r>
      <w:r>
        <w:t xml:space="preserve">(Selection), where many of the studies did not report the non-response rate or did not discuss wether non-responding individuals might systematically differ from participants in the studies, leading to selection bias.</w:t>
      </w:r>
      <w:r>
        <w:t xml:space="preserve"> </w:t>
      </w:r>
      <w:r>
        <w:t xml:space="preserve">Another domain with overall higher RoB was</w:t>
      </w:r>
      <w:r>
        <w:t xml:space="preserve"> </w:t>
      </w:r>
      <w:r>
        <w:rPr>
          <w:i/>
          <w:iCs/>
        </w:rPr>
        <w:t xml:space="preserve">accounting for confounding</w:t>
      </w:r>
      <w:r>
        <w:t xml:space="preserve"> </w:t>
      </w:r>
      <w:r>
        <w:t xml:space="preserve">(Confounding), where important confounders like maternal IQ were left out or the authors used a data-driven selection approach for covariate selection, when a theory-driven approach is preferable</w:t>
      </w:r>
      <w:r>
        <w:t xml:space="preserve"> </w:t>
      </w:r>
      <w:r>
        <w:t xml:space="preserve">(51)</w:t>
      </w:r>
      <w:r>
        <w:t xml:space="preserve">.</w:t>
      </w:r>
      <w:r>
        <w:t xml:space="preserve"> </w:t>
      </w:r>
      <w:r>
        <w:t xml:space="preserve">Finally, in the domain</w:t>
      </w:r>
      <w:r>
        <w:t xml:space="preserve"> </w:t>
      </w:r>
      <w:r>
        <w:rPr>
          <w:i/>
          <w:iCs/>
        </w:rPr>
        <w:t xml:space="preserve">handling of missing values</w:t>
      </w:r>
      <w:r>
        <w:t xml:space="preserve"> </w:t>
      </w:r>
      <w:r>
        <w:t xml:space="preserve">(Analysis), some of the studies gave no information on how they handeled missing values and others handeled them inadequately.</w:t>
      </w:r>
      <w:r>
        <w:t xml:space="preserve"> </w:t>
      </w:r>
      <w:r>
        <w:t xml:space="preserve">Results from the RoB assessment is presented in Tab. 3.</w:t>
      </w:r>
    </w:p>
    <w:bookmarkEnd w:id="50"/>
    <w:bookmarkStart w:id="54" w:name="meta-analysis-results"/>
    <w:p>
      <w:pPr>
        <w:pStyle w:val="Heading2"/>
      </w:pPr>
      <w:r>
        <w:t xml:space="preserve">3.3 Meta Analysis Results</w:t>
      </w:r>
    </w:p>
    <w:p>
      <w:pPr>
        <w:pStyle w:val="FirstParagraph"/>
      </w:pPr>
      <w:r>
        <w:t xml:space="preserve">The prior predictive check indicated that the specified priors are appropriate (suppl. file 3).</w:t>
      </w:r>
      <w:r>
        <w:t xml:space="preserve"> </w:t>
      </w:r>
      <w:r>
        <w:t xml:space="preserve">The posterior predictive check suggested appropriate model specification (suppl. file 4).</w:t>
      </w:r>
      <w:r>
        <w:t xml:space="preserve"> </w:t>
      </w:r>
      <m:oMath>
        <m:acc>
          <m:accPr>
            <m:chr m:val="̂"/>
          </m:accPr>
          <m:e>
            <m:r>
              <m:t>R</m:t>
            </m:r>
          </m:e>
        </m:acc>
      </m:oMath>
      <w:r>
        <w:t xml:space="preserve"> </w:t>
      </w:r>
      <w:r>
        <w:t xml:space="preserve">values indicate well converged MCMC chains (1.00 for both</w:t>
      </w:r>
      <w:r>
        <w:t xml:space="preserve"> </w:t>
      </w:r>
      <m:oMath>
        <m:r>
          <m:t>μ</m:t>
        </m:r>
      </m:oMath>
      <w:r>
        <w:t xml:space="preserve"> </w:t>
      </w:r>
      <w:r>
        <w:t xml:space="preserve">and</w:t>
      </w:r>
      <w:r>
        <w:t xml:space="preserve"> </w:t>
      </w:r>
      <m:oMath>
        <m:r>
          <m:t>τ</m:t>
        </m:r>
      </m:oMath>
      <w:r>
        <w:t xml:space="preserve">).</w:t>
      </w:r>
      <w:r>
        <w:t xml:space="preserve"> </w:t>
      </w:r>
      <w:r>
        <w:t xml:space="preserve">MCMC trace plots suggest well-mixed chains and good convergence (suppl. file 5).</w:t>
      </w:r>
      <w:r>
        <w:t xml:space="preserve"> </w:t>
      </w:r>
      <w:r>
        <w:t xml:space="preserve">ESS for the central part of the posterior distribution for</w:t>
      </w:r>
      <w:r>
        <w:t xml:space="preserve"> </w:t>
      </w:r>
      <m:oMath>
        <m:r>
          <m:t>μ</m:t>
        </m:r>
      </m:oMath>
      <w:r>
        <w:t xml:space="preserve"> </w:t>
      </w:r>
      <w:r>
        <w:t xml:space="preserve">is 1,796 and 2,504 for the tails of the distribution.</w:t>
      </w:r>
      <w:r>
        <w:t xml:space="preserve"> </w:t>
      </w:r>
      <w:r>
        <w:t xml:space="preserve">This corresponds to 22.5% and 31.3% of total samples respectively, indicating efficiently sampled posterior distribution of</w:t>
      </w:r>
      <w:r>
        <w:t xml:space="preserve"> </w:t>
      </w:r>
      <m:oMath>
        <m:r>
          <m:t>μ</m:t>
        </m:r>
      </m:oMath>
      <w:r>
        <w:t xml:space="preserve"> </w:t>
      </w:r>
      <w:r>
        <w:t xml:space="preserve">across both its central tendency and tail regions, and that central point estimates and credible intervals can be interpreted with confidence.</w:t>
      </w:r>
    </w:p>
    <w:p>
      <w:pPr>
        <w:pStyle w:val="BodyText"/>
      </w:pPr>
      <w:r>
        <w:t xml:space="preserve">The Bayesian random-effects meta-analysis yielded a posterior mean pooled estimate of -2.28 (95% credible interval (CrI): -3.56; -1.06) IQ points per log-unit increase in BLL (µg/dL).</w:t>
      </w:r>
      <w:r>
        <w:t xml:space="preserve"> </w:t>
      </w:r>
      <w:r>
        <w:t xml:space="preserve">The frequentist approach produced a comparable pooled estimate of -2.45 (95% confidence interval (CI): -3.7; -1.2).</w:t>
      </w:r>
      <w:r>
        <w:br/>
      </w:r>
      <w:r>
        <w:t xml:space="preserve">Substantial between-study heterogeneity was observed under both frameworks.</w:t>
      </w:r>
      <w:r>
        <w:t xml:space="preserve"> </w:t>
      </w:r>
      <w:r>
        <w:t xml:space="preserve">In the Bayesian model, between-study heterogeneity was estimated as</w:t>
      </w:r>
      <w:r>
        <w:t xml:space="preserve"> </w:t>
      </w:r>
      <m:oMath>
        <m:sSup>
          <m:e>
            <m:r>
              <m:t>τ</m:t>
            </m:r>
          </m:e>
          <m:sup>
            <m:r>
              <m:t>2</m:t>
            </m:r>
          </m:sup>
        </m:sSup>
      </m:oMath>
      <w:r>
        <w:t xml:space="preserve"> </w:t>
      </w:r>
      <w:r>
        <w:t xml:space="preserve">= 3.8 (95% CrI: 1; 9.5), corresponding to an</w:t>
      </w:r>
      <w:r>
        <w:t xml:space="preserve"> </w:t>
      </w:r>
      <m:oMath>
        <m:sSup>
          <m:e>
            <m:r>
              <m:rPr>
                <m:nor/>
                <m:sty m:val="p"/>
              </m:rPr>
              <m:t>I</m:t>
            </m:r>
          </m:e>
          <m:sup>
            <m:r>
              <m:t>2</m:t>
            </m:r>
          </m:sup>
        </m:sSup>
      </m:oMath>
      <w:r>
        <w:t xml:space="preserve"> </w:t>
      </w:r>
      <w:r>
        <w:t xml:space="preserve">of 83.3% (95% CrI: 63.9%; 94.2%).</w:t>
      </w:r>
      <w:r>
        <w:t xml:space="preserve"> </w:t>
      </w:r>
      <w:r>
        <w:t xml:space="preserve">Similarly, the frequentist model estimated</w:t>
      </w:r>
      <w:r>
        <w:t xml:space="preserve"> </w:t>
      </w:r>
      <m:oMath>
        <m:sSup>
          <m:e>
            <m:r>
              <m:t>τ</m:t>
            </m:r>
          </m:e>
          <m:sup>
            <m:r>
              <m:t>2</m:t>
            </m:r>
          </m:sup>
        </m:sSup>
      </m:oMath>
      <w:r>
        <w:t xml:space="preserve"> </w:t>
      </w:r>
      <w:r>
        <w:t xml:space="preserve">= 3.3 (95% CI: 1; 3.3), with</w:t>
      </w:r>
      <w:r>
        <w:t xml:space="preserve"> </w:t>
      </w:r>
      <m:oMath>
        <m:sSup>
          <m:e>
            <m:r>
              <m:rPr>
                <m:nor/>
                <m:sty m:val="p"/>
              </m:rPr>
              <m:t>I</m:t>
            </m:r>
          </m:e>
          <m:sup>
            <m:r>
              <m:t>2</m:t>
            </m:r>
          </m:sup>
        </m:sSup>
      </m:oMath>
      <w:r>
        <w:t xml:space="preserve"> </w:t>
      </w:r>
      <w:r>
        <w:t xml:space="preserve">= 85% (95% CI: 62.7; 95.2%).</w:t>
      </w:r>
    </w:p>
    <w:p>
      <w:pPr>
        <w:pStyle w:val="BodyText"/>
      </w:pPr>
      <w:r>
        <w:t xml:space="preserve">Forest plots of both approaches are shown in Fig. 2:</w:t>
      </w:r>
    </w:p>
    <w:p>
      <w:pPr>
        <w:pStyle w:val="CaptionedFigure"/>
      </w:pPr>
      <w:r>
        <w:drawing>
          <wp:inline>
            <wp:extent cx="5943600" cy="2228220"/>
            <wp:effectExtent b="0" l="0" r="0" t="0"/>
            <wp:docPr descr="Fig. 2: Forest plots" title="" id="52" name="Picture"/>
            <a:graphic>
              <a:graphicData uri="http://schemas.openxmlformats.org/drawingml/2006/picture">
                <pic:pic>
                  <pic:nvPicPr>
                    <pic:cNvPr descr="./tables_figures/main/combined_forest_plots.png" id="53" name="Picture"/>
                    <pic:cNvPicPr>
                      <a:picLocks noChangeArrowheads="1" noChangeAspect="1"/>
                    </pic:cNvPicPr>
                  </pic:nvPicPr>
                  <pic:blipFill>
                    <a:blip r:embed="rId51"/>
                    <a:stretch>
                      <a:fillRect/>
                    </a:stretch>
                  </pic:blipFill>
                  <pic:spPr bwMode="auto">
                    <a:xfrm>
                      <a:off x="0" y="0"/>
                      <a:ext cx="5943600" cy="2228220"/>
                    </a:xfrm>
                    <a:prstGeom prst="rect">
                      <a:avLst/>
                    </a:prstGeom>
                    <a:noFill/>
                    <a:ln w="9525">
                      <a:noFill/>
                      <a:headEnd/>
                      <a:tailEnd/>
                    </a:ln>
                  </pic:spPr>
                </pic:pic>
              </a:graphicData>
            </a:graphic>
          </wp:inline>
        </w:drawing>
      </w:r>
    </w:p>
    <w:p>
      <w:pPr>
        <w:pStyle w:val="ImageCaption"/>
      </w:pPr>
      <w:r>
        <w:t xml:space="preserve">Fig. 2: Forest plots</w:t>
      </w:r>
    </w:p>
    <w:p>
      <w:pPr>
        <w:pStyle w:val="BodyText"/>
      </w:pPr>
      <w:r>
        <w:t xml:space="preserve">The single study estimates depicted in Fig. 2 are not the same in both approaches because the Bayesian model estimates a posterior distribution for every individual study, which is displayed in the forest plot.</w:t>
      </w:r>
      <w:r>
        <w:t xml:space="preserve"> </w:t>
      </w:r>
      <w:r>
        <w:t xml:space="preserve">The posterior distributions are influenced by all other included studies as well as the specified priors.</w:t>
      </w:r>
      <w:r>
        <w:t xml:space="preserve"> </w:t>
      </w:r>
      <w:r>
        <w:t xml:space="preserve">This leads to a shrinkage of the posterior means towards the pooled effect and is comparable to the inverse-variance weighting in frequentist meta-analyses.</w:t>
      </w:r>
    </w:p>
    <w:bookmarkEnd w:id="54"/>
    <w:bookmarkStart w:id="55" w:name="sensitivity-analysis-results"/>
    <w:p>
      <w:pPr>
        <w:pStyle w:val="Heading2"/>
      </w:pPr>
      <w:r>
        <w:t xml:space="preserve">3.4 Sensitivity Analysis Results</w:t>
      </w:r>
    </w:p>
    <w:p>
      <w:pPr>
        <w:pStyle w:val="FirstParagraph"/>
      </w:pPr>
      <w:r>
        <w:t xml:space="preserve">We conducted two sets of sensitivity analyses, which the results are shown for in Tab. 4.</w:t>
      </w:r>
      <w:r>
        <w:t xml:space="preserve"> </w:t>
      </w:r>
      <w:r>
        <w:t xml:space="preserve">First, in order to test the sensitivity of the results to possibly biased study estimates, we excluded (1) studies with high RoB and (2) with high or medium RoB.</w:t>
      </w:r>
      <w:r>
        <w:t xml:space="preserve"> </w:t>
      </w:r>
      <w:r>
        <w:t xml:space="preserve">For both the frequentist and Bayesian models, the strength of the mean effect decreased after removing studies with high risk of bias and slightly increased again after removing high and medium RoB studies.</w:t>
      </w:r>
      <w:r>
        <w:t xml:space="preserve"> </w:t>
      </w:r>
      <w:r>
        <w:t xml:space="preserve">Because the margin of shift in effects are small and the effects shifted in both directions, we concluded that the results are generally robust to possible individual-study bias.</w:t>
      </w:r>
    </w:p>
    <w:p>
      <w:pPr>
        <w:pStyle w:val="BodyText"/>
      </w:pPr>
      <w:r>
        <w:t xml:space="preserve">The second set of sensitivity analyses examined the sensitivity of the results of the Bayesian meta-analysis to prior specification.</w:t>
      </w:r>
      <w:r>
        <w:t xml:space="preserve"> </w:t>
      </w:r>
      <w:r>
        <w:t xml:space="preserve">With more informative (narrower) priors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 the posterior mean of</w:t>
      </w:r>
      <w:r>
        <w:t xml:space="preserve"> </w:t>
      </w:r>
      <m:oMath>
        <m:r>
          <m:t>μ</m:t>
        </m:r>
      </m:oMath>
      <w:r>
        <w:t xml:space="preserve"> </w:t>
      </w:r>
      <w:r>
        <w:t xml:space="preserve">decreases.</w:t>
      </w:r>
      <w:r>
        <w:t xml:space="preserve"> </w:t>
      </w:r>
      <w:r>
        <w:t xml:space="preserve">This is expected, because the narrow prior restricts the posterior distribution to lower effect ranges.</w:t>
      </w:r>
      <w:r>
        <w:br/>
      </w:r>
      <w:r>
        <w:t xml:space="preserve">When using less informative (broader) priors (</w:t>
      </w:r>
      <m:oMath>
        <m:r>
          <m:t>μ</m:t>
        </m:r>
        <m:r>
          <m:rPr>
            <m:sty m:val="p"/>
          </m:rPr>
          <m:t>∼</m:t>
        </m:r>
        <m:r>
          <m:rPr>
            <m:sty m:val="p"/>
            <m:scr m:val="script"/>
          </m:rPr>
          <m:t>N</m:t>
        </m:r>
        <m:d>
          <m:dPr>
            <m:begChr m:val="("/>
            <m:sepChr m:val=""/>
            <m:endChr m:val=")"/>
            <m:grow/>
          </m:dPr>
          <m:e>
            <m:r>
              <m:t>0</m:t>
            </m:r>
            <m:r>
              <m:rPr>
                <m:sty m:val="p"/>
              </m:rPr>
              <m:t>,</m:t>
            </m:r>
            <m:r>
              <m:t>6</m:t>
            </m:r>
          </m:e>
        </m:d>
      </m:oMath>
      <w:r>
        <w:t xml:space="preserve">,</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 the posterior mean of</w:t>
      </w:r>
      <w:r>
        <w:t xml:space="preserve"> </w:t>
      </w:r>
      <m:oMath>
        <m:r>
          <m:t>μ</m:t>
        </m:r>
      </m:oMath>
      <w:r>
        <w:t xml:space="preserve"> </w:t>
      </w:r>
      <w:r>
        <w:t xml:space="preserve">increases slightly compared to the main model.</w:t>
      </w:r>
      <w:r>
        <w:t xml:space="preserve"> </w:t>
      </w:r>
      <w:r>
        <w:t xml:space="preserve">Using this set of priors, more weight is given to studies reporting high effects with large uncertainty ranges.</w:t>
      </w:r>
      <w:r>
        <w:t xml:space="preserve"> </w:t>
      </w:r>
      <w:r>
        <w:t xml:space="preserve">The results of the prior sensitivity analysis support the specified set of priors in the main analysis.</w:t>
      </w:r>
      <w:r>
        <w:t xml:space="preserve"> </w:t>
      </w:r>
      <w:r>
        <w:t xml:space="preserve">Suppl. file 6 shows prior, observed data and posterior distributions of all three prior specifications.</w:t>
      </w:r>
    </w:p>
    <w:bookmarkEnd w:id="55"/>
    <w:bookmarkEnd w:id="56"/>
    <w:bookmarkStart w:id="57" w:name="discussion"/>
    <w:p>
      <w:pPr>
        <w:pStyle w:val="Heading1"/>
      </w:pPr>
      <w:r>
        <w:t xml:space="preserve">4. Discussion</w:t>
      </w:r>
    </w:p>
    <w:p>
      <w:pPr>
        <w:pStyle w:val="FirstParagraph"/>
      </w:pPr>
      <w:r>
        <w:t xml:space="preserve">In this study, we provide updated pooled effect estimates for the association of children’s lead exposure on their IQ.</w:t>
      </w:r>
      <w:r>
        <w:t xml:space="preserve"> </w:t>
      </w:r>
      <w:r>
        <w:t xml:space="preserve">Our results are in line with previous toxicological and epidemiological studies</w:t>
      </w:r>
      <w:r>
        <w:t xml:space="preserve"> </w:t>
      </w:r>
      <w:r>
        <w:t xml:space="preserve">(13,15,16,19)</w:t>
      </w:r>
      <w:r>
        <w:t xml:space="preserve"> </w:t>
      </w:r>
      <w:r>
        <w:t xml:space="preserve">and previous meta-analyses.</w:t>
      </w:r>
      <w:r>
        <w:t xml:space="preserve"> </w:t>
      </w:r>
      <w:r>
        <w:t xml:space="preserve">However, because of methodological differences, the magnitude of the pooled effect cannot be directly compared to previous meta-analyses.</w:t>
      </w:r>
      <w:r>
        <w:t xml:space="preserve"> </w:t>
      </w:r>
      <w:r>
        <w:t xml:space="preserve">For example, in previous studies, the effect of lead has been estimated for increases in exposure categories</w:t>
      </w:r>
      <w:r>
        <w:t xml:space="preserve"> </w:t>
      </w:r>
      <w:r>
        <w:t xml:space="preserve">(20,52,53)</w:t>
      </w:r>
      <w:r>
        <w:t xml:space="preserve">.</w:t>
      </w:r>
      <w:r>
        <w:t xml:space="preserve"> </w:t>
      </w:r>
      <w:r>
        <w:t xml:space="preserve">Also, different coefficients like partial</w:t>
      </w:r>
      <w:r>
        <w:t xml:space="preserve"> </w:t>
      </w:r>
      <m:oMath>
        <m:r>
          <m:rPr>
            <m:nor/>
            <m:sty m:val="p"/>
          </m:rPr>
          <m:t>r</m:t>
        </m:r>
      </m:oMath>
      <w:r>
        <w:t xml:space="preserve"> </w:t>
      </w:r>
      <w:r>
        <w:t xml:space="preserve">(14)</w:t>
      </w:r>
      <w:r>
        <w:t xml:space="preserve"> </w:t>
      </w:r>
      <w:r>
        <w:t xml:space="preserve">or standardized differences in mean</w:t>
      </w:r>
      <w:r>
        <w:t xml:space="preserve"> </w:t>
      </w:r>
      <w:r>
        <w:t xml:space="preserve">(54)</w:t>
      </w:r>
      <w:r>
        <w:t xml:space="preserve"> </w:t>
      </w:r>
      <w:r>
        <w:t xml:space="preserve">have been estimated in previous meta-analyses on the association of lead exposure on children’s IQ.</w:t>
      </w:r>
    </w:p>
    <w:p>
      <w:pPr>
        <w:pStyle w:val="BodyText"/>
      </w:pPr>
      <w:r>
        <w:t xml:space="preserve">We estimated substantial heterogeneity in this meta-analysis.</w:t>
      </w:r>
      <w:r>
        <w:t xml:space="preserve"> </w:t>
      </w:r>
      <w:r>
        <w:t xml:space="preserve">Differences in study population (size, location, age, exposure range) and statistical methods, especially the covariates included in the statistical models (adjustment set) might explain the estimated between-study heterogeneity (see Tab. 2).</w:t>
      </w:r>
      <w:r>
        <w:t xml:space="preserve"> </w:t>
      </w:r>
      <w:r>
        <w:t xml:space="preserve">For example, two of the studies reporting very low effects have been conducted in a relatively low-exposed population</w:t>
      </w:r>
      <w:r>
        <w:t xml:space="preserve"> </w:t>
      </w:r>
      <w:r>
        <w:t xml:space="preserve">(41,43)</w:t>
      </w:r>
      <w:r>
        <w:t xml:space="preserve">.</w:t>
      </w:r>
      <w:r>
        <w:t xml:space="preserve"> </w:t>
      </w:r>
      <w:r>
        <w:t xml:space="preserve">Missing variation in the exposure variable limits the detectability of an effect and might result in very low reported effects.</w:t>
      </w:r>
      <w:r>
        <w:br/>
      </w:r>
      <w:r>
        <w:t xml:space="preserve">The included studies have been conducted in multiple different regions of the world (North America: 4, South America: 1, Europe: 3, Asia: 3, Australia: 1) and some populations have been sampled in hotspot regions with presumably higher lead concentrations</w:t>
      </w:r>
      <w:r>
        <w:t xml:space="preserve"> </w:t>
      </w:r>
      <w:r>
        <w:t xml:space="preserve">(41,46,50)</w:t>
      </w:r>
      <w:r>
        <w:t xml:space="preserve">.</w:t>
      </w:r>
      <w:r>
        <w:t xml:space="preserve"> </w:t>
      </w:r>
      <w:r>
        <w:t xml:space="preserve">This limits the generalizability of our findings and may be another explanation for the observed heterogeneity.</w:t>
      </w:r>
      <w:r>
        <w:br/>
      </w:r>
      <w:r>
        <w:t xml:space="preserve">Using an IQ test that has not been adapted to the population it is used for may result in underestimated IQ scores.</w:t>
      </w:r>
      <w:r>
        <w:t xml:space="preserve"> </w:t>
      </w:r>
      <w:r>
        <w:t xml:space="preserve">This might be the case in</w:t>
      </w:r>
      <w:r>
        <w:t xml:space="preserve"> </w:t>
      </w:r>
      <w:r>
        <w:t xml:space="preserve">(46)</w:t>
      </w:r>
      <w:r>
        <w:t xml:space="preserve">.</w:t>
      </w:r>
      <w:r>
        <w:br/>
      </w:r>
      <w:r>
        <w:t xml:space="preserve">Furthermore, studies that reported a larger standard error of the regression coefficient also tended to reported larger effects.</w:t>
      </w:r>
      <w:r>
        <w:t xml:space="preserve"> </w:t>
      </w:r>
      <w:r>
        <w:t xml:space="preserve">This might indicate publication bias and is one explanation for the substantial heterogeneity in this meta-analysis.</w:t>
      </w:r>
      <w:r>
        <w:br/>
      </w:r>
      <w:r>
        <w:t xml:space="preserve">By specifying conservative priors and thus weighing such studies down, Bayesian models are less sensitive to such outliers, especially when pooling a small number of studies.</w:t>
      </w:r>
      <w:r>
        <w:br/>
      </w:r>
    </w:p>
    <w:p>
      <w:pPr>
        <w:pStyle w:val="BodyText"/>
      </w:pPr>
      <w:r>
        <w:t xml:space="preserve">The RoB sensitivity analysis suggested that the results are generally robust to possible individual-study bias.</w:t>
      </w:r>
      <w:r>
        <w:t xml:space="preserve"> </w:t>
      </w:r>
      <w:r>
        <w:t xml:space="preserve">Importantly, the study published by Crump et al. (2013)</w:t>
      </w:r>
      <w:r>
        <w:t xml:space="preserve"> </w:t>
      </w:r>
      <w:r>
        <w:t xml:space="preserve">(25)</w:t>
      </w:r>
      <w:r>
        <w:t xml:space="preserve">, which is a re-analysis of the landmark study by Lanphear et al (2005)</w:t>
      </w:r>
      <w:r>
        <w:t xml:space="preserve"> </w:t>
      </w:r>
      <w:r>
        <w:t xml:space="preserve">(16)</w:t>
      </w:r>
      <w:r>
        <w:t xml:space="preserve"> </w:t>
      </w:r>
      <w:r>
        <w:t xml:space="preserve">received a high RoB rating in our assessment.</w:t>
      </w:r>
      <w:r>
        <w:t xml:space="preserve"> </w:t>
      </w:r>
      <w:r>
        <w:t xml:space="preserve">The results of this study have been used in multiple down-stream analyses, including in the most recent Global Burden of Disease study</w:t>
      </w:r>
      <w:r>
        <w:t xml:space="preserve"> </w:t>
      </w:r>
      <w:r>
        <w:t xml:space="preserve">(5)</w:t>
      </w:r>
      <w:r>
        <w:t xml:space="preserve">, that estimated the burden of disease in 204 countries and for several health risks, including lead exposure.</w:t>
      </w:r>
      <w:r>
        <w:t xml:space="preserve"> </w:t>
      </w:r>
      <w:r>
        <w:t xml:space="preserve">The main driver for the high RoB identified in the analysis of Crump et al. is the stepwise backward-elimination regression approach, which is central to their findings and has received substantial criticism</w:t>
      </w:r>
      <w:r>
        <w:t xml:space="preserve"> </w:t>
      </w:r>
      <w:r>
        <w:t xml:space="preserve">(51,55,56)</w:t>
      </w:r>
      <w:r>
        <w:t xml:space="preserve">.</w:t>
      </w:r>
      <w:r>
        <w:t xml:space="preserve"> </w:t>
      </w:r>
      <w:r>
        <w:t xml:space="preserve">This highlights the need for an updated evidence synthesis which we provide in this study.</w:t>
      </w:r>
    </w:p>
    <w:p>
      <w:pPr>
        <w:pStyle w:val="BodyText"/>
      </w:pPr>
      <w:r>
        <w:t xml:space="preserve">We do not only provide an updated effect measure for the association of lead and IQ, but additionally compare a more conventional, frequentist approach to meta-analysis to a Bayesian approach that is less used in the field of environmental epidemiology to date.</w:t>
      </w:r>
      <w:r>
        <w:t xml:space="preserve"> </w:t>
      </w:r>
      <w:r>
        <w:t xml:space="preserve">Pooled effects and measures of heterogeneity were largely consistent in both approaches.</w:t>
      </w:r>
      <w:r>
        <w:t xml:space="preserve"> </w:t>
      </w:r>
      <w:r>
        <w:t xml:space="preserve">Slightly lower mean pooled effects were estimated by the Bayesian model.</w:t>
      </w:r>
      <w:r>
        <w:t xml:space="preserve"> </w:t>
      </w:r>
      <w:r>
        <w:t xml:space="preserve">The prior sensitivity analyses shows that this is caused by posterior shrinkage of the study-level estimates, comparable to inverse-variance weighting in frequentist meta-analysis, together with the regularizing effect of the specified priors.</w:t>
      </w:r>
      <w:r>
        <w:t xml:space="preserve"> </w:t>
      </w:r>
      <w:r>
        <w:t xml:space="preserve">Importantly, this difference does not materially affect the overall interpretation of the association between lead exposure and IQ.</w:t>
      </w:r>
      <w:r>
        <w:t xml:space="preserve"> </w:t>
      </w:r>
      <w:r>
        <w:t xml:space="preserve">However, it illustrates that Bayesian meta-analysis can be less sensitive to outlier studies reporting large effects with substantial uncertainty, if priors (more specifically the prior for heterogeneity) reflecting plausible domain knowledge or expectations are specified.</w:t>
      </w:r>
      <w:r>
        <w:t xml:space="preserve"> </w:t>
      </w:r>
      <w:r>
        <w:t xml:space="preserve">In contrast, frequentist meta-analytic models implicitly rely on flat or non-informative priors, which result in greater sensitivity to outliers</w:t>
      </w:r>
      <w:r>
        <w:t xml:space="preserve"> </w:t>
      </w:r>
      <w:r>
        <w:t xml:space="preserve">(57)</w:t>
      </w:r>
      <w:r>
        <w:t xml:space="preserve">.</w:t>
      </w:r>
      <w:r>
        <w:br/>
      </w:r>
      <w:r>
        <w:t xml:space="preserve">Conducting a Bayesian meta-analysis can be laborious compared to frequentist approaches, as it requires more statistical knowledge, explicit consideration of modelling assumptions, and in practice often more programming effort</w:t>
      </w:r>
      <w:r>
        <w:t xml:space="preserve"> </w:t>
      </w:r>
      <w:r>
        <w:t xml:space="preserve">(58)</w:t>
      </w:r>
      <w:r>
        <w:t xml:space="preserve">.</w:t>
      </w:r>
      <w:r>
        <w:t xml:space="preserve"> </w:t>
      </w:r>
      <w:r>
        <w:t xml:space="preserve">While these might initially appear as disadvantages, they can equally be understood as methodological safeguards:</w:t>
      </w:r>
      <w:r>
        <w:t xml:space="preserve"> </w:t>
      </w:r>
      <w:r>
        <w:t xml:space="preserve">by requiring researchers to state their assumptions explicitly rather than accepting defaults embedded in software, the Bayesian approach encourages engagement with the data and the modelling assumptions being made.</w:t>
      </w:r>
    </w:p>
    <w:p>
      <w:pPr>
        <w:pStyle w:val="BodyText"/>
      </w:pPr>
      <w:r>
        <w:t xml:space="preserve">The results of Bayesian models are inherently distributional, which is an important difference to point estimates (central estimate, CI) produced by frequentist models.</w:t>
      </w:r>
      <w:r>
        <w:t xml:space="preserve"> </w:t>
      </w:r>
      <w:r>
        <w:t xml:space="preserve">These distributional results offer distinct advantages, particularly for risk assessment and policy-making.</w:t>
      </w:r>
      <w:r>
        <w:t xml:space="preserve"> </w:t>
      </w:r>
      <w:r>
        <w:t xml:space="preserve">First, any credible interval can be derived from the posterior distribution according to the needs of researchers, decision-makers, or other stakeholders.</w:t>
      </w:r>
      <w:r>
        <w:t xml:space="preserve"> </w:t>
      </w:r>
      <w:r>
        <w:t xml:space="preserve">These allow direct probability statements about parameter values, unlike confidence intervals which are frequently but incorrectly interpreted probabilistically.</w:t>
      </w:r>
      <w:r>
        <w:br/>
      </w:r>
      <w:r>
        <w:t xml:space="preserve">Second, posterior distributions enable probabilistic comparisons across multiple health risks, such as calculating the probability that one risk exceeds another.</w:t>
      </w:r>
      <w:r>
        <w:t xml:space="preserve"> </w:t>
      </w:r>
      <w:r>
        <w:t xml:space="preserve">When meaningful thresholds of effect size or health risk are defined, exceedance probabilities can be directly obtained from the posterior distribution, providing an intuitive and policy-relevant summary of uncertainty.</w:t>
      </w:r>
      <w:r>
        <w:br/>
      </w:r>
      <w:r>
        <w:t xml:space="preserve">Posterior distributions of meta-analyses together with the specified statistical model can be used to predict theoretical future epidemiological studies.</w:t>
      </w:r>
      <w:r>
        <w:t xml:space="preserve"> </w:t>
      </w:r>
      <w:r>
        <w:t xml:space="preserve">This offers an additional way of representing between-study heterogeneity.</w:t>
      </w:r>
      <w:r>
        <w:t xml:space="preserve"> </w:t>
      </w:r>
      <w:r>
        <w:t xml:space="preserve">Also, the population-level health impact of an exposure under specified conditions can be estimated using the posterior distribution.</w:t>
      </w:r>
      <w:r>
        <w:t xml:space="preserve"> </w:t>
      </w:r>
      <w:r>
        <w:t xml:space="preserve">The latter application is known as Environmental Burden of Disease (EBD).</w:t>
      </w:r>
      <w:r>
        <w:br/>
      </w:r>
      <w:r>
        <w:t xml:space="preserve">In EBD studies, the health impacts of an exposure on a defined population are quantified and summarized using metrics such as disability-adjusted life years (DALYs).</w:t>
      </w:r>
      <w:r>
        <w:t xml:space="preserve"> </w:t>
      </w:r>
      <w:r>
        <w:t xml:space="preserve">These estimates enable comparisons of the impact of multiple health determinants within a population, as well as comparisons of the same determinant across populations or countries.</w:t>
      </w:r>
      <w:r>
        <w:t xml:space="preserve"> </w:t>
      </w:r>
      <w:r>
        <w:t xml:space="preserve">EBD integrates both population exposure and the associated exposure–response relationship (e.g. relative risk / beta coefficient)</w:t>
      </w:r>
      <w:r>
        <w:t xml:space="preserve"> </w:t>
      </w:r>
      <w:r>
        <w:t xml:space="preserve">(59)</w:t>
      </w:r>
      <w:r>
        <w:t xml:space="preserve">.</w:t>
      </w:r>
      <w:r>
        <w:t xml:space="preserve"> </w:t>
      </w:r>
      <w:r>
        <w:t xml:space="preserve">The distributional results of this study enable probabilistic EBD assessments using Monte Carlo simulations without additional assumptions on uncertainty distributions on the exposure-response function.</w:t>
      </w:r>
    </w:p>
    <w:p>
      <w:pPr>
        <w:pStyle w:val="BodyText"/>
      </w:pPr>
      <w:r>
        <w:t xml:space="preserve">This study has several limitations and strengths that should be taken into consideration when interpreting the results.</w:t>
      </w:r>
      <w:r>
        <w:t xml:space="preserve"> </w:t>
      </w:r>
      <w:r>
        <w:t xml:space="preserve">The included studies are heterogenous and have for example adjusted for varying sets of covariates.</w:t>
      </w:r>
      <w:r>
        <w:t xml:space="preserve"> </w:t>
      </w:r>
      <w:r>
        <w:t xml:space="preserve">Also, as mentioned above, the locations of cohorts in the included studies vary.</w:t>
      </w:r>
      <w:r>
        <w:t xml:space="preserve"> </w:t>
      </w:r>
      <w:r>
        <w:t xml:space="preserve">Both of these limit the generalizability of the results or their applicability to a specific population.</w:t>
      </w:r>
      <w:r>
        <w:t xml:space="preserve"> </w:t>
      </w:r>
      <w:r>
        <w:t xml:space="preserve">In this study, the publication bias was only assessed via visual inspection.</w:t>
      </w:r>
      <w:r>
        <w:t xml:space="preserve"> </w:t>
      </w:r>
      <w:r>
        <w:t xml:space="preserve">To further investigate this, statistical tests like the Egger’s test would be appropriate.</w:t>
      </w:r>
      <w:r>
        <w:t xml:space="preserve"> </w:t>
      </w:r>
      <w:r>
        <w:t xml:space="preserve">The visual test suggested the presence of publication bias which leads to possible overestimation of the pooled effect and adds another limitation to this study.</w:t>
      </w:r>
      <w:r>
        <w:t xml:space="preserve"> </w:t>
      </w:r>
      <w:r>
        <w:t xml:space="preserve">We excluded any effect estimates of studies that left the BLL variable untransformed and thus on a linear scale, because the transformation to the logarithmic scale could not be justified based on visual inspection.</w:t>
      </w:r>
      <w:r>
        <w:t xml:space="preserve"> </w:t>
      </w:r>
      <w:r>
        <w:t xml:space="preserve">This resulted in a smaller number of studies included in the meta-analysis which is another limitation.</w:t>
      </w:r>
    </w:p>
    <w:p>
      <w:pPr>
        <w:pStyle w:val="BodyText"/>
      </w:pPr>
      <w:r>
        <w:t xml:space="preserve">While there are publications that compare Bayesian and frequentist approaches to meta-analysis, they either focus on evidence-based medicine</w:t>
      </w:r>
      <w:r>
        <w:t xml:space="preserve"> </w:t>
      </w:r>
      <w:r>
        <w:t xml:space="preserve">(60–63)</w:t>
      </w:r>
      <w:r>
        <w:t xml:space="preserve"> </w:t>
      </w:r>
      <w:r>
        <w:t xml:space="preserve">or network meta-analysis</w:t>
      </w:r>
      <w:r>
        <w:t xml:space="preserve"> </w:t>
      </w:r>
      <w:r>
        <w:t xml:space="preserve">(64,65)</w:t>
      </w:r>
      <w:r>
        <w:t xml:space="preserve">.</w:t>
      </w:r>
      <w:r>
        <w:t xml:space="preserve"> </w:t>
      </w:r>
      <w:r>
        <w:t xml:space="preserve">While these publications certainly provide valuable insights into the choice of meta-analytic methods, they come with different methodological challenges than only partially overlap with those covered in this study.</w:t>
      </w:r>
      <w:r>
        <w:t xml:space="preserve"> </w:t>
      </w:r>
      <w:r>
        <w:t xml:space="preserve">To our knowledge, this is the first study to compare Bayesian and frequentist approaches to meta-analysis in the field of environmental epidemiology.</w:t>
      </w:r>
      <w:r>
        <w:t xml:space="preserve"> </w:t>
      </w:r>
      <w:r>
        <w:t xml:space="preserve">All of the data and computational code used in this study are available on</w:t>
      </w:r>
      <w:r>
        <w:t xml:space="preserve"> </w:t>
      </w:r>
      <w:hyperlink r:id="rId37">
        <w:r>
          <w:rPr>
            <w:rStyle w:val="Hyperlink"/>
          </w:rPr>
          <w:t xml:space="preserve">GitHub</w:t>
        </w:r>
      </w:hyperlink>
      <w:r>
        <w:t xml:space="preserve"> </w:t>
      </w:r>
      <w:r>
        <w:t xml:space="preserve">which makes it fully reproducible.</w:t>
      </w:r>
    </w:p>
    <w:bookmarkEnd w:id="57"/>
    <w:bookmarkStart w:id="58" w:name="conclusions"/>
    <w:p>
      <w:pPr>
        <w:pStyle w:val="Heading1"/>
      </w:pPr>
      <w:r>
        <w:t xml:space="preserve">5. Conclusions</w:t>
      </w:r>
    </w:p>
    <w:p>
      <w:pPr>
        <w:pStyle w:val="FirstParagraph"/>
      </w:pPr>
      <w:r>
        <w:t xml:space="preserve">This study provides both an updated evidence synthesis of epidemiological studies examining the association between lead exposure and children’s IQ, and a methodological comparison of the Bayesian and more conventional frequentist frameworks for meta-analysis.</w:t>
      </w:r>
      <w:r>
        <w:t xml:space="preserve"> </w:t>
      </w:r>
      <w:r>
        <w:t xml:space="preserve">The resulting pooled effect estimates are consistent with previous evidence and once again emphasize the importance of reducing environmental lead contamination to reduce the public health burden this substance continues to impose.</w:t>
      </w:r>
      <w:r>
        <w:br/>
      </w:r>
      <w:r>
        <w:t xml:space="preserve">Comparing both frameworks showed that the Bayesian approach offers distinct advantages for risk assessment and policy-making.</w:t>
      </w:r>
      <w:r>
        <w:t xml:space="preserve"> </w:t>
      </w:r>
      <w:r>
        <w:t xml:space="preserve">Especially the ability to incorporate prior knowledge, comprehensively quantify uncertainty, and produce probabilistic outputs that are more directly useable for decision-makers.</w:t>
      </w:r>
      <w:r>
        <w:t xml:space="preserve"> </w:t>
      </w:r>
      <w:r>
        <w:t xml:space="preserve">While the Bayesian framework currently demands greater statistical knowledge and programming effort than the frequentist approach, these barriers are likely to diminish if the framework gains wider adoption and training becomes more accessible.</w:t>
      </w:r>
      <w:r>
        <w:t xml:space="preserve"> </w:t>
      </w:r>
      <w:r>
        <w:t xml:space="preserve">We therefore want to encourage researchers to consider Bayesian methods where capacity allows.</w:t>
      </w:r>
    </w:p>
    <w:bookmarkEnd w:id="58"/>
    <w:bookmarkStart w:id="59" w:name="list-of-abbreviations"/>
    <w:p>
      <w:pPr>
        <w:pStyle w:val="Heading1"/>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BLL</w:t>
            </w:r>
          </w:p>
        </w:tc>
        <w:tc>
          <w:tcPr/>
          <w:p>
            <w:pPr>
              <w:pStyle w:val="Compact"/>
              <w:jc w:val="left"/>
            </w:pPr>
            <w:r>
              <w:t xml:space="preserve">Blood lead levels</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DALY</w:t>
            </w:r>
          </w:p>
        </w:tc>
        <w:tc>
          <w:tcPr/>
          <w:p>
            <w:pPr>
              <w:pStyle w:val="Compact"/>
              <w:jc w:val="left"/>
            </w:pPr>
            <w:r>
              <w:t xml:space="preserve">Disability-adjusted life years</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REML</w:t>
            </w:r>
          </w:p>
        </w:tc>
        <w:tc>
          <w:tcPr/>
          <w:p>
            <w:pPr>
              <w:pStyle w:val="Compact"/>
              <w:jc w:val="left"/>
            </w:pPr>
            <w:r>
              <w:t xml:space="preserve">Restricted maximum-likelihood</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r>
        <w:tc>
          <w:tcPr/>
          <w:p>
            <w:pPr>
              <w:pStyle w:val="Compact"/>
              <w:jc w:val="left"/>
            </w:pPr>
            <w:r>
              <w:t xml:space="preserve">DALY</w:t>
            </w:r>
          </w:p>
        </w:tc>
        <w:tc>
          <w:tcPr/>
          <w:p>
            <w:pPr>
              <w:pStyle w:val="Compact"/>
              <w:jc w:val="left"/>
            </w:pPr>
            <w:r>
              <w:t xml:space="preserve">Disability-adjusted Life Year</w:t>
            </w:r>
          </w:p>
        </w:tc>
      </w:tr>
    </w:tbl>
    <w:bookmarkEnd w:id="59"/>
    <w:bookmarkStart w:id="60" w:name="acknowledgements"/>
    <w:p>
      <w:pPr>
        <w:pStyle w:val="Heading1"/>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screening process.</w:t>
      </w:r>
    </w:p>
    <w:bookmarkEnd w:id="60"/>
    <w:bookmarkStart w:id="61"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61"/>
    <w:bookmarkStart w:id="185" w:name="bibliography"/>
    <w:p>
      <w:pPr>
        <w:pStyle w:val="Heading1"/>
      </w:pPr>
      <w:r>
        <w:t xml:space="preserve">References</w:t>
      </w:r>
    </w:p>
    <w:bookmarkStart w:id="184" w:name="refs"/>
    <w:bookmarkStart w:id="63" w:name="Xe38019c88c6d2792bb296bad7dc0a4dd55f1319"/>
    <w:p>
      <w:pPr>
        <w:pStyle w:val="Bibliography"/>
      </w:pPr>
      <w:r>
        <w:t xml:space="preserve">1.</w:t>
      </w:r>
      <w:r>
        <w:t xml:space="preserve"> </w:t>
      </w:r>
      <w:r>
        <w:t xml:space="preserve">	</w:t>
      </w:r>
      <w:r>
        <w:t xml:space="preserve">Salamanca-Fernández E, Peinado FM, Esteban-López M, Puklova V, Poyatos RM, Govarts E, et al.</w:t>
      </w:r>
      <w:r>
        <w:t xml:space="preserve"> </w:t>
      </w:r>
      <w:hyperlink r:id="rId62">
        <w:r>
          <w:rPr>
            <w:rStyle w:val="Hyperlink"/>
          </w:rPr>
          <w:t xml:space="preserve">Sociodemographic determinants and temporal variability of blood lead levels (2003–2019) in a pooled analysis of nine studies in four</w:t>
        </w:r>
        <w:r>
          <w:rPr>
            <w:rStyle w:val="Hyperlink"/>
          </w:rPr>
          <w:t xml:space="preserve"> </w:t>
        </w:r>
        <w:r>
          <w:rPr>
            <w:rStyle w:val="Hyperlink"/>
          </w:rPr>
          <w:t xml:space="preserve">European</w:t>
        </w:r>
        <w:r>
          <w:rPr>
            <w:rStyle w:val="Hyperlink"/>
          </w:rPr>
          <w:t xml:space="preserve"> </w:t>
        </w:r>
        <w:r>
          <w:rPr>
            <w:rStyle w:val="Hyperlink"/>
          </w:rPr>
          <w:t xml:space="preserve">countries</w:t>
        </w:r>
      </w:hyperlink>
      <w:r>
        <w:t xml:space="preserve">. Sci Rep. 2025 Oct;15(1):34562.</w:t>
      </w:r>
      <w:r>
        <w:t xml:space="preserve"> </w:t>
      </w:r>
    </w:p>
    <w:bookmarkEnd w:id="63"/>
    <w:bookmarkStart w:id="65" w:name="ref-lacerda2023GlobalDecreaseBlood"/>
    <w:p>
      <w:pPr>
        <w:pStyle w:val="Bibliography"/>
      </w:pPr>
      <w:r>
        <w:t xml:space="preserve">2.</w:t>
      </w:r>
      <w:r>
        <w:t xml:space="preserve"> </w:t>
      </w:r>
      <w:r>
        <w:t xml:space="preserve">	</w:t>
      </w:r>
      <w:r>
        <w:t xml:space="preserve">Lacerda D, Pestana IA, Santos Vergilio CD, de Rezende CE.</w:t>
      </w:r>
      <w:r>
        <w:t xml:space="preserve"> </w:t>
      </w:r>
      <w:hyperlink r:id="rId64">
        <w:r>
          <w:rPr>
            <w:rStyle w:val="Hyperlink"/>
          </w:rPr>
          <w:t xml:space="preserve">Global decrease in blood lead concentrations due to the removal of leaded gasoline</w:t>
        </w:r>
      </w:hyperlink>
      <w:r>
        <w:t xml:space="preserve">. Chemosphere. 2023;324:138207.</w:t>
      </w:r>
      <w:r>
        <w:t xml:space="preserve"> </w:t>
      </w:r>
    </w:p>
    <w:bookmarkEnd w:id="65"/>
    <w:bookmarkStart w:id="67" w:name="X4707f3a4b72a0982487545f9dc3d674642af108"/>
    <w:p>
      <w:pPr>
        <w:pStyle w:val="Bibliography"/>
      </w:pPr>
      <w:r>
        <w:t xml:space="preserve">3.</w:t>
      </w:r>
      <w:r>
        <w:t xml:space="preserve"> </w:t>
      </w:r>
      <w:r>
        <w:t xml:space="preserve">	</w:t>
      </w:r>
      <w:r>
        <w:t xml:space="preserve">European Food Safety Authority.</w:t>
      </w:r>
      <w:r>
        <w:t xml:space="preserve"> </w:t>
      </w:r>
      <w:hyperlink r:id="rId66">
        <w:r>
          <w:rPr>
            <w:rStyle w:val="Hyperlink"/>
          </w:rPr>
          <w:t xml:space="preserve">Lead dietary exposure in the</w:t>
        </w:r>
        <w:r>
          <w:rPr>
            <w:rStyle w:val="Hyperlink"/>
          </w:rPr>
          <w:t xml:space="preserve"> </w:t>
        </w:r>
        <w:r>
          <w:rPr>
            <w:rStyle w:val="Hyperlink"/>
          </w:rPr>
          <w:t xml:space="preserve">European</w:t>
        </w:r>
        <w:r>
          <w:rPr>
            <w:rStyle w:val="Hyperlink"/>
          </w:rPr>
          <w:t xml:space="preserve"> </w:t>
        </w:r>
        <w:r>
          <w:rPr>
            <w:rStyle w:val="Hyperlink"/>
          </w:rPr>
          <w:t xml:space="preserve">population</w:t>
        </w:r>
      </w:hyperlink>
      <w:r>
        <w:t xml:space="preserve">. EFS2. 2012 Jul;10(7).</w:t>
      </w:r>
      <w:r>
        <w:t xml:space="preserve"> </w:t>
      </w:r>
    </w:p>
    <w:bookmarkEnd w:id="67"/>
    <w:bookmarkStart w:id="69" w:name="ref-sy2024AssessmentLongTermExposure"/>
    <w:p>
      <w:pPr>
        <w:pStyle w:val="Bibliography"/>
      </w:pPr>
      <w:r>
        <w:t xml:space="preserve">4.</w:t>
      </w:r>
      <w:r>
        <w:t xml:space="preserve"> </w:t>
      </w:r>
      <w:r>
        <w:t xml:space="preserve">	</w:t>
      </w:r>
      <w:r>
        <w:t xml:space="preserve">Sy M, Eleftheriadou D, Jung C, Lindtner O, Karakitsios S, Sarigiannis D, et al.</w:t>
      </w:r>
      <w:r>
        <w:t xml:space="preserve"> </w:t>
      </w:r>
      <w:hyperlink r:id="rId68">
        <w:r>
          <w:rPr>
            <w:rStyle w:val="Hyperlink"/>
          </w:rPr>
          <w:t xml:space="preserve">Assessment of the</w:t>
        </w:r>
        <w:r>
          <w:rPr>
            <w:rStyle w:val="Hyperlink"/>
          </w:rPr>
          <w:t xml:space="preserve"> </w:t>
        </w:r>
        <w:r>
          <w:rPr>
            <w:rStyle w:val="Hyperlink"/>
          </w:rPr>
          <w:t xml:space="preserve">Long-Term Exposure</w:t>
        </w:r>
        <w:r>
          <w:rPr>
            <w:rStyle w:val="Hyperlink"/>
          </w:rPr>
          <w:t xml:space="preserve"> </w:t>
        </w:r>
        <w:r>
          <w:rPr>
            <w:rStyle w:val="Hyperlink"/>
          </w:rPr>
          <w:t xml:space="preserve">to</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Four European Countries Using PBPK Modeling</w:t>
        </w:r>
      </w:hyperlink>
      <w:r>
        <w:t xml:space="preserve">. Expo Health. 2024 Feb;16(1):21–39.</w:t>
      </w:r>
      <w:r>
        <w:t xml:space="preserve"> </w:t>
      </w:r>
    </w:p>
    <w:bookmarkEnd w:id="69"/>
    <w:bookmarkStart w:id="71" w:name="ref-brauer2024GlobalBurdenStrength"/>
    <w:p>
      <w:pPr>
        <w:pStyle w:val="Bibliography"/>
      </w:pPr>
      <w:r>
        <w:t xml:space="preserve">5.</w:t>
      </w:r>
      <w:r>
        <w:t xml:space="preserve"> </w:t>
      </w:r>
      <w:r>
        <w:t xml:space="preserve">	</w:t>
      </w:r>
      <w:r>
        <w:t xml:space="preserve">Brauer M, Roth GA, Aravkin AY, Zheng P, Abate KH, Abate YH, et al.</w:t>
      </w:r>
      <w:r>
        <w:t xml:space="preserve"> </w:t>
      </w:r>
      <w:hyperlink r:id="rId70">
        <w:r>
          <w:rPr>
            <w:rStyle w:val="Hyperlink"/>
          </w:rPr>
          <w:t xml:space="preserve">Global burden and strength of evidence for 88 risk factors in 204 countries and 811 subnational locations, 1990&amp;#x2013;2021: A systematic analysis for the</w:t>
        </w:r>
        <w:r>
          <w:rPr>
            <w:rStyle w:val="Hyperlink"/>
          </w:rPr>
          <w:t xml:space="preserve"> </w:t>
        </w:r>
        <w:r>
          <w:rPr>
            <w:rStyle w:val="Hyperlink"/>
          </w:rPr>
          <w:t xml:space="preserve">Global Burden</w:t>
        </w:r>
        <w:r>
          <w:rPr>
            <w:rStyle w:val="Hyperlink"/>
          </w:rPr>
          <w:t xml:space="preserve"> </w:t>
        </w:r>
        <w:r>
          <w:rPr>
            <w:rStyle w:val="Hyperlink"/>
          </w:rPr>
          <w:t xml:space="preserve">of</w:t>
        </w:r>
        <w:r>
          <w:rPr>
            <w:rStyle w:val="Hyperlink"/>
          </w:rPr>
          <w:t xml:space="preserve"> </w:t>
        </w:r>
        <w:r>
          <w:rPr>
            <w:rStyle w:val="Hyperlink"/>
          </w:rPr>
          <w:t xml:space="preserve">Disease Study</w:t>
        </w:r>
        <w:r>
          <w:rPr>
            <w:rStyle w:val="Hyperlink"/>
          </w:rPr>
          <w:t xml:space="preserve"> </w:t>
        </w:r>
        <w:r>
          <w:rPr>
            <w:rStyle w:val="Hyperlink"/>
          </w:rPr>
          <w:t xml:space="preserve">2021</w:t>
        </w:r>
      </w:hyperlink>
      <w:r>
        <w:t xml:space="preserve">. The Lancet. 2024;403(10440):2162–203.</w:t>
      </w:r>
      <w:r>
        <w:t xml:space="preserve"> </w:t>
      </w:r>
    </w:p>
    <w:bookmarkEnd w:id="71"/>
    <w:bookmarkStart w:id="73" w:name="ref-harari2018BloodLeadLevels"/>
    <w:p>
      <w:pPr>
        <w:pStyle w:val="Bibliography"/>
      </w:pPr>
      <w:r>
        <w:t xml:space="preserve">6.</w:t>
      </w:r>
      <w:r>
        <w:t xml:space="preserve"> </w:t>
      </w:r>
      <w:r>
        <w:t xml:space="preserve">	</w:t>
      </w:r>
      <w:r>
        <w:t xml:space="preserve">Harari F, Sallsten G, Christensson A, Petkovic M, Hedblad B, Forsgard N, et al.</w:t>
      </w:r>
      <w:r>
        <w:t xml:space="preserve"> </w:t>
      </w:r>
      <w:hyperlink r:id="rId72">
        <w:r>
          <w:rPr>
            <w:rStyle w:val="Hyperlink"/>
          </w:rPr>
          <w:t xml:space="preserve">Blood</w:t>
        </w:r>
        <w:r>
          <w:rPr>
            <w:rStyle w:val="Hyperlink"/>
          </w:rPr>
          <w:t xml:space="preserve"> </w:t>
        </w:r>
        <w:r>
          <w:rPr>
            <w:rStyle w:val="Hyperlink"/>
          </w:rPr>
          <w:t xml:space="preserve">Lead Levels</w:t>
        </w:r>
        <w:r>
          <w:rPr>
            <w:rStyle w:val="Hyperlink"/>
          </w:rPr>
          <w:t xml:space="preserve"> </w:t>
        </w:r>
        <w:r>
          <w:rPr>
            <w:rStyle w:val="Hyperlink"/>
          </w:rPr>
          <w:t xml:space="preserve">and</w:t>
        </w:r>
        <w:r>
          <w:rPr>
            <w:rStyle w:val="Hyperlink"/>
          </w:rPr>
          <w:t xml:space="preserve"> </w:t>
        </w:r>
        <w:r>
          <w:rPr>
            <w:rStyle w:val="Hyperlink"/>
          </w:rPr>
          <w:t xml:space="preserve">Decreased Kidney Function</w:t>
        </w:r>
        <w:r>
          <w:rPr>
            <w:rStyle w:val="Hyperlink"/>
          </w:rPr>
          <w:t xml:space="preserve"> </w:t>
        </w:r>
        <w:r>
          <w:rPr>
            <w:rStyle w:val="Hyperlink"/>
          </w:rPr>
          <w:t xml:space="preserve">in a</w:t>
        </w:r>
        <w:r>
          <w:rPr>
            <w:rStyle w:val="Hyperlink"/>
          </w:rPr>
          <w:t xml:space="preserve"> </w:t>
        </w:r>
        <w:r>
          <w:rPr>
            <w:rStyle w:val="Hyperlink"/>
          </w:rPr>
          <w:t xml:space="preserve">Population-Based Cohort</w:t>
        </w:r>
      </w:hyperlink>
      <w:r>
        <w:t xml:space="preserve">. American Journal of Kidney Diseases. 2018 Sep;72(3):381–9.</w:t>
      </w:r>
      <w:r>
        <w:t xml:space="preserve"> </w:t>
      </w:r>
    </w:p>
    <w:bookmarkEnd w:id="73"/>
    <w:bookmarkStart w:id="75" w:name="ref-wan2022ChronicLeadExposure"/>
    <w:p>
      <w:pPr>
        <w:pStyle w:val="Bibliography"/>
      </w:pPr>
      <w:r>
        <w:t xml:space="preserve">7.</w:t>
      </w:r>
      <w:r>
        <w:t xml:space="preserve"> </w:t>
      </w:r>
      <w:r>
        <w:t xml:space="preserve">	</w:t>
      </w:r>
      <w:r>
        <w:t xml:space="preserve">Wan H, Wang Y, Zhang H, Zhang K, Chen Y, Chen C, et al.</w:t>
      </w:r>
      <w:r>
        <w:t xml:space="preserve"> </w:t>
      </w:r>
      <w:hyperlink r:id="rId74">
        <w:r>
          <w:rPr>
            <w:rStyle w:val="Hyperlink"/>
          </w:rPr>
          <w:t xml:space="preserve">Chronic lead exposure induces fatty liver disease associated with the variations of gut microbiota</w:t>
        </w:r>
      </w:hyperlink>
      <w:r>
        <w:t xml:space="preserve">. Ecotoxicology and Environmental Safety. 2022 Mar;232:113257.</w:t>
      </w:r>
      <w:r>
        <w:t xml:space="preserve"> </w:t>
      </w:r>
    </w:p>
    <w:bookmarkEnd w:id="75"/>
    <w:bookmarkStart w:id="77" w:name="ref-rosengren2025ExposureLeadCoronary"/>
    <w:p>
      <w:pPr>
        <w:pStyle w:val="Bibliography"/>
      </w:pPr>
      <w:r>
        <w:t xml:space="preserve">8.</w:t>
      </w:r>
      <w:r>
        <w:t xml:space="preserve"> </w:t>
      </w:r>
      <w:r>
        <w:t xml:space="preserve">	</w:t>
      </w:r>
      <w:r>
        <w:t xml:space="preserve">Rosengren E, Barregard L, Sallsten G, Fagerberg B, Engström G, Fagman E, et al.</w:t>
      </w:r>
      <w:r>
        <w:t xml:space="preserve"> </w:t>
      </w:r>
      <w:hyperlink r:id="rId76">
        <w:r>
          <w:rPr>
            <w:rStyle w:val="Hyperlink"/>
          </w:rPr>
          <w:t xml:space="preserve">Exposure to</w:t>
        </w:r>
        <w:r>
          <w:rPr>
            <w:rStyle w:val="Hyperlink"/>
          </w:rPr>
          <w:t xml:space="preserve"> </w:t>
        </w:r>
        <w:r>
          <w:rPr>
            <w:rStyle w:val="Hyperlink"/>
          </w:rPr>
          <w:t xml:space="preserve">Lead</w:t>
        </w:r>
        <w:r>
          <w:rPr>
            <w:rStyle w:val="Hyperlink"/>
          </w:rPr>
          <w:t xml:space="preserve"> </w:t>
        </w:r>
        <w:r>
          <w:rPr>
            <w:rStyle w:val="Hyperlink"/>
          </w:rPr>
          <w:t xml:space="preserve">and</w:t>
        </w:r>
        <w:r>
          <w:rPr>
            <w:rStyle w:val="Hyperlink"/>
          </w:rPr>
          <w:t xml:space="preserve"> </w:t>
        </w:r>
        <w:r>
          <w:rPr>
            <w:rStyle w:val="Hyperlink"/>
          </w:rPr>
          <w:t xml:space="preserve">Coronary Artery Atherosclerosis</w:t>
        </w:r>
        <w:r>
          <w:rPr>
            <w:rStyle w:val="Hyperlink"/>
          </w:rPr>
          <w:t xml:space="preserve">:</w:t>
        </w:r>
        <w:r>
          <w:rPr>
            <w:rStyle w:val="Hyperlink"/>
          </w:rPr>
          <w:t xml:space="preserve"> </w:t>
        </w:r>
        <w:r>
          <w:rPr>
            <w:rStyle w:val="Hyperlink"/>
          </w:rPr>
          <w:t xml:space="preserve">A Swedish Cross</w:t>
        </w:r>
        <w:r>
          <w:rPr>
            <w:rStyle w:val="Hyperlink"/>
          </w:rPr>
          <w:t xml:space="preserve">-</w:t>
        </w:r>
        <w:r>
          <w:rPr>
            <w:rStyle w:val="Hyperlink"/>
          </w:rPr>
          <w:t xml:space="preserve">Sectional Population</w:t>
        </w:r>
        <w:r>
          <w:rPr>
            <w:rStyle w:val="Hyperlink"/>
          </w:rPr>
          <w:t xml:space="preserve">-</w:t>
        </w:r>
        <w:r>
          <w:rPr>
            <w:rStyle w:val="Hyperlink"/>
          </w:rPr>
          <w:t xml:space="preserve">Based Study</w:t>
        </w:r>
      </w:hyperlink>
      <w:r>
        <w:t xml:space="preserve">. JAHA. 2025 Mar;14(5):e037633.</w:t>
      </w:r>
      <w:r>
        <w:t xml:space="preserve"> </w:t>
      </w:r>
    </w:p>
    <w:bookmarkEnd w:id="77"/>
    <w:bookmarkStart w:id="79" w:name="ref-lanphear2018LowlevelLeadExposure"/>
    <w:p>
      <w:pPr>
        <w:pStyle w:val="Bibliography"/>
      </w:pPr>
      <w:r>
        <w:t xml:space="preserve">9.</w:t>
      </w:r>
      <w:r>
        <w:t xml:space="preserve"> </w:t>
      </w:r>
      <w:r>
        <w:t xml:space="preserve">	</w:t>
      </w:r>
      <w:r>
        <w:t xml:space="preserve">Lanphear BP, Rauch S, Auinger P, Allen RW, Hornung RW.</w:t>
      </w:r>
      <w:r>
        <w:t xml:space="preserve"> </w:t>
      </w:r>
      <w:hyperlink r:id="rId78">
        <w:r>
          <w:rPr>
            <w:rStyle w:val="Hyperlink"/>
          </w:rPr>
          <w:t xml:space="preserve">Low-level lead exposure and mortality in</w:t>
        </w:r>
        <w:r>
          <w:rPr>
            <w:rStyle w:val="Hyperlink"/>
          </w:rPr>
          <w:t xml:space="preserve"> </w:t>
        </w:r>
        <w:r>
          <w:rPr>
            <w:rStyle w:val="Hyperlink"/>
          </w:rPr>
          <w:t xml:space="preserve">US</w:t>
        </w:r>
        <w:r>
          <w:rPr>
            <w:rStyle w:val="Hyperlink"/>
          </w:rPr>
          <w:t xml:space="preserve"> </w:t>
        </w:r>
        <w:r>
          <w:rPr>
            <w:rStyle w:val="Hyperlink"/>
          </w:rPr>
          <w:t xml:space="preserve">adults: A population-based cohort study</w:t>
        </w:r>
      </w:hyperlink>
      <w:r>
        <w:t xml:space="preserve">. The Lancet Public Health. 2018 Apr;3(4):e177–84.</w:t>
      </w:r>
      <w:r>
        <w:t xml:space="preserve"> </w:t>
      </w:r>
    </w:p>
    <w:bookmarkEnd w:id="79"/>
    <w:bookmarkStart w:id="81" w:name="ref-chang2006LowBloodLead"/>
    <w:p>
      <w:pPr>
        <w:pStyle w:val="Bibliography"/>
      </w:pPr>
      <w:r>
        <w:t xml:space="preserve">10.</w:t>
      </w:r>
      <w:r>
        <w:t xml:space="preserve"> </w:t>
      </w:r>
      <w:r>
        <w:t xml:space="preserve">	</w:t>
      </w:r>
      <w:r>
        <w:t xml:space="preserve">Chang SH, Cheng BH, Lee SL, Chuang HY, Yang CY, Sung FC, et al.</w:t>
      </w:r>
      <w:r>
        <w:t xml:space="preserve"> </w:t>
      </w:r>
      <w:hyperlink r:id="rId80">
        <w:r>
          <w:rPr>
            <w:rStyle w:val="Hyperlink"/>
          </w:rPr>
          <w:t xml:space="preserve">Low blood lead concentration in association with infertility in women</w:t>
        </w:r>
      </w:hyperlink>
      <w:r>
        <w:t xml:space="preserve">. Environmental Research. 2006 Jul;101(3):380–6.</w:t>
      </w:r>
      <w:r>
        <w:t xml:space="preserve"> </w:t>
      </w:r>
    </w:p>
    <w:bookmarkEnd w:id="81"/>
    <w:bookmarkStart w:id="83" w:name="Xadfdab0209e4a364d9fdcffecfddb00700d2db9"/>
    <w:p>
      <w:pPr>
        <w:pStyle w:val="Bibliography"/>
      </w:pPr>
      <w:r>
        <w:t xml:space="preserve">11.</w:t>
      </w:r>
      <w:r>
        <w:t xml:space="preserve"> </w:t>
      </w:r>
      <w:r>
        <w:t xml:space="preserve">	</w:t>
      </w:r>
      <w:r>
        <w:t xml:space="preserve">Dimitrov LV, Kaminski JW, Holbrook JR, Bitsko RH, Yeh M, Courtney JG, et al.</w:t>
      </w:r>
      <w:r>
        <w:t xml:space="preserve"> </w:t>
      </w:r>
      <w:hyperlink r:id="rId82">
        <w:r>
          <w:rPr>
            <w:rStyle w:val="Hyperlink"/>
          </w:rPr>
          <w:t xml:space="preserve">A</w:t>
        </w:r>
        <w:r>
          <w:rPr>
            <w:rStyle w:val="Hyperlink"/>
          </w:rPr>
          <w:t xml:space="preserve"> </w:t>
        </w:r>
        <w:r>
          <w:rPr>
            <w:rStyle w:val="Hyperlink"/>
          </w:rPr>
          <w:t xml:space="preserve">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r>
          <w:rPr>
            <w:rStyle w:val="Hyperlink"/>
          </w:rPr>
          <w:t xml:space="preserve"> </w:t>
        </w:r>
        <w:r>
          <w:rPr>
            <w:rStyle w:val="Hyperlink"/>
          </w:rPr>
          <w:t xml:space="preserve">of</w:t>
        </w:r>
        <w:r>
          <w:rPr>
            <w:rStyle w:val="Hyperlink"/>
          </w:rPr>
          <w:t xml:space="preserve"> </w:t>
        </w:r>
        <w:r>
          <w:rPr>
            <w:rStyle w:val="Hyperlink"/>
          </w:rPr>
          <w:t xml:space="preserve">Chemical Exposures</w:t>
        </w:r>
        <w:r>
          <w:rPr>
            <w:rStyle w:val="Hyperlink"/>
          </w:rPr>
          <w:t xml:space="preserve"> </w:t>
        </w:r>
        <w:r>
          <w:rPr>
            <w:rStyle w:val="Hyperlink"/>
          </w:rPr>
          <w:t xml:space="preserve">and</w:t>
        </w:r>
        <w:r>
          <w:rPr>
            <w:rStyle w:val="Hyperlink"/>
          </w:rPr>
          <w:t xml:space="preserve"> </w:t>
        </w:r>
        <w:r>
          <w:rPr>
            <w:rStyle w:val="Hyperlink"/>
          </w:rPr>
          <w:t xml:space="preserve">Attention-Deficit</w:t>
        </w:r>
        <w:r>
          <w:rPr>
            <w:rStyle w:val="Hyperlink"/>
          </w:rPr>
          <w:t xml:space="preserve">/</w:t>
        </w:r>
        <w:r>
          <w:rPr>
            <w:rStyle w:val="Hyperlink"/>
          </w:rPr>
          <w:t xml:space="preserve">Hyperactivity Disorder</w:t>
        </w:r>
        <w:r>
          <w:rPr>
            <w:rStyle w:val="Hyperlink"/>
          </w:rPr>
          <w:t xml:space="preserve"> </w:t>
        </w:r>
        <w:r>
          <w:rPr>
            <w:rStyle w:val="Hyperlink"/>
          </w:rPr>
          <w:t xml:space="preserve">in</w:t>
        </w:r>
        <w:r>
          <w:rPr>
            <w:rStyle w:val="Hyperlink"/>
          </w:rPr>
          <w:t xml:space="preserve"> </w:t>
        </w:r>
        <w:r>
          <w:rPr>
            <w:rStyle w:val="Hyperlink"/>
          </w:rPr>
          <w:t xml:space="preserve">Children</w:t>
        </w:r>
      </w:hyperlink>
      <w:r>
        <w:t xml:space="preserve">. Prev Sci. 2024 May;25(S2):225–48.</w:t>
      </w:r>
      <w:r>
        <w:t xml:space="preserve"> </w:t>
      </w:r>
    </w:p>
    <w:bookmarkEnd w:id="83"/>
    <w:bookmarkStart w:id="85" w:name="ref-shaffer2025LeadExposureAntisocial"/>
    <w:p>
      <w:pPr>
        <w:pStyle w:val="Bibliography"/>
      </w:pPr>
      <w:r>
        <w:t xml:space="preserve">12.</w:t>
      </w:r>
      <w:r>
        <w:t xml:space="preserve"> </w:t>
      </w:r>
      <w:r>
        <w:t xml:space="preserve">	</w:t>
      </w:r>
      <w:r>
        <w:t xml:space="preserve">Shaffer RM, Carlson LM, Hester K, Kim H, Duffney P, Forsyth JE, et al.</w:t>
      </w:r>
      <w:r>
        <w:t xml:space="preserve"> </w:t>
      </w:r>
      <w:hyperlink r:id="rId84">
        <w:r>
          <w:rPr>
            <w:rStyle w:val="Hyperlink"/>
          </w:rPr>
          <w:t xml:space="preserve">Lead exposure and antisocial behavior:</w:t>
        </w:r>
        <w:r>
          <w:rPr>
            <w:rStyle w:val="Hyperlink"/>
          </w:rPr>
          <w:t xml:space="preserve"> </w:t>
        </w:r>
        <w:r>
          <w:rPr>
            <w:rStyle w:val="Hyperlink"/>
          </w:rPr>
          <w:t xml:space="preserve">A</w:t>
        </w:r>
        <w:r>
          <w:rPr>
            <w:rStyle w:val="Hyperlink"/>
          </w:rPr>
          <w:t xml:space="preserve"> </w:t>
        </w:r>
        <w:r>
          <w:rPr>
            <w:rStyle w:val="Hyperlink"/>
          </w:rPr>
          <w:t xml:space="preserve">systematic review of human and animal evidence</w:t>
        </w:r>
      </w:hyperlink>
      <w:r>
        <w:t xml:space="preserve">. Environment International. 2025;109786.</w:t>
      </w:r>
      <w:r>
        <w:t xml:space="preserve"> </w:t>
      </w:r>
    </w:p>
    <w:bookmarkEnd w:id="85"/>
    <w:bookmarkStart w:id="87" w:name="X06097e4c5e52362623b7f1c040457eb7d553acc"/>
    <w:p>
      <w:pPr>
        <w:pStyle w:val="Bibliography"/>
      </w:pPr>
      <w:r>
        <w:t xml:space="preserve">13.</w:t>
      </w:r>
      <w:r>
        <w:t xml:space="preserve"> </w:t>
      </w:r>
      <w:r>
        <w:t xml:space="preserve">	</w:t>
      </w:r>
      <w:r>
        <w:t xml:space="preserve">Baghurst PA, McMichael AJ, Wigg NR, Vimpani GV, Robertson EF, Roberts RJ, et al.</w:t>
      </w:r>
      <w:r>
        <w:t xml:space="preserve"> </w:t>
      </w:r>
      <w:hyperlink r:id="rId86">
        <w:r>
          <w:rPr>
            <w:rStyle w:val="Hyperlink"/>
          </w:rPr>
          <w:t xml:space="preserve">Environmental</w:t>
        </w:r>
        <w:r>
          <w:rPr>
            <w:rStyle w:val="Hyperlink"/>
          </w:rPr>
          <w:t xml:space="preserve"> </w:t>
        </w:r>
        <w:r>
          <w:rPr>
            <w:rStyle w:val="Hyperlink"/>
          </w:rPr>
          <w:t xml:space="preserve">Exposure</w:t>
        </w:r>
        <w:r>
          <w:rPr>
            <w:rStyle w:val="Hyperlink"/>
          </w:rPr>
          <w:t xml:space="preserve"> </w:t>
        </w:r>
        <w:r>
          <w:rPr>
            <w:rStyle w:val="Hyperlink"/>
          </w:rPr>
          <w:t xml:space="preserve">to</w:t>
        </w:r>
        <w:r>
          <w:rPr>
            <w:rStyle w:val="Hyperlink"/>
          </w:rPr>
          <w:t xml:space="preserve"> </w:t>
        </w:r>
        <w:r>
          <w:rPr>
            <w:rStyle w:val="Hyperlink"/>
          </w:rPr>
          <w:t xml:space="preserve">Lead</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Intelligence</w:t>
        </w:r>
        <w:r>
          <w:rPr>
            <w:rStyle w:val="Hyperlink"/>
          </w:rPr>
          <w:t xml:space="preserve"> </w:t>
        </w:r>
        <w:r>
          <w:rPr>
            <w:rStyle w:val="Hyperlink"/>
          </w:rPr>
          <w:t xml:space="preserve">at the</w:t>
        </w:r>
        <w:r>
          <w:rPr>
            <w:rStyle w:val="Hyperlink"/>
          </w:rPr>
          <w:t xml:space="preserve"> </w:t>
        </w:r>
        <w:r>
          <w:rPr>
            <w:rStyle w:val="Hyperlink"/>
          </w:rPr>
          <w:t xml:space="preserve">Age</w:t>
        </w:r>
        <w:r>
          <w:rPr>
            <w:rStyle w:val="Hyperlink"/>
          </w:rPr>
          <w:t xml:space="preserve"> </w:t>
        </w:r>
        <w:r>
          <w:rPr>
            <w:rStyle w:val="Hyperlink"/>
          </w:rPr>
          <w:t xml:space="preserve">of</w:t>
        </w:r>
        <w:r>
          <w:rPr>
            <w:rStyle w:val="Hyperlink"/>
          </w:rPr>
          <w:t xml:space="preserve"> </w:t>
        </w:r>
        <w:r>
          <w:rPr>
            <w:rStyle w:val="Hyperlink"/>
          </w:rPr>
          <w:t xml:space="preserve">Seven Years</w:t>
        </w:r>
        <w:r>
          <w:rPr>
            <w:rStyle w:val="Hyperlink"/>
          </w:rPr>
          <w:t xml:space="preserve">:</w:t>
        </w:r>
        <w:r>
          <w:rPr>
            <w:rStyle w:val="Hyperlink"/>
          </w:rPr>
          <w:t xml:space="preserve"> </w:t>
        </w:r>
        <w:r>
          <w:rPr>
            <w:rStyle w:val="Hyperlink"/>
          </w:rPr>
          <w:t xml:space="preserve">The Port Pirie Cohort Study</w:t>
        </w:r>
      </w:hyperlink>
      <w:r>
        <w:t xml:space="preserve">. N Engl J Med. 1992 Oct;327(18):1279–84.</w:t>
      </w:r>
      <w:r>
        <w:t xml:space="preserve"> </w:t>
      </w:r>
    </w:p>
    <w:bookmarkEnd w:id="87"/>
    <w:bookmarkStart w:id="89" w:name="ref-needleman1990LowLevelLeadExposure"/>
    <w:p>
      <w:pPr>
        <w:pStyle w:val="Bibliography"/>
      </w:pPr>
      <w:r>
        <w:t xml:space="preserve">14.</w:t>
      </w:r>
      <w:r>
        <w:t xml:space="preserve"> </w:t>
      </w:r>
      <w:r>
        <w:t xml:space="preserve">	</w:t>
      </w:r>
      <w:r>
        <w:t xml:space="preserve">Needleman HL.</w:t>
      </w:r>
      <w:r>
        <w:t xml:space="preserve"> </w:t>
      </w:r>
      <w:hyperlink r:id="rId88">
        <w:r>
          <w:rPr>
            <w:rStyle w:val="Hyperlink"/>
          </w:rPr>
          <w:t xml:space="preserve">Low-</w:t>
        </w:r>
        <w:r>
          <w:rPr>
            <w:rStyle w:val="Hyperlink"/>
          </w:rPr>
          <w:t xml:space="preserve">Level Lead Exposure</w:t>
        </w:r>
        <w:r>
          <w:rPr>
            <w:rStyle w:val="Hyperlink"/>
          </w:rPr>
          <w:t xml:space="preserve"> </w:t>
        </w:r>
        <w:r>
          <w:rPr>
            <w:rStyle w:val="Hyperlink"/>
          </w:rPr>
          <w:t xml:space="preserve">and the</w:t>
        </w:r>
        <w:r>
          <w:rPr>
            <w:rStyle w:val="Hyperlink"/>
          </w:rPr>
          <w:t xml:space="preserve"> </w:t>
        </w:r>
        <w:r>
          <w:rPr>
            <w:rStyle w:val="Hyperlink"/>
          </w:rPr>
          <w:t xml:space="preserve">IQ</w:t>
        </w:r>
        <w:r>
          <w:rPr>
            <w:rStyle w:val="Hyperlink"/>
          </w:rPr>
          <w:t xml:space="preserve"> </w:t>
        </w:r>
        <w:r>
          <w:rPr>
            <w:rStyle w:val="Hyperlink"/>
          </w:rPr>
          <w:t xml:space="preserve">of</w:t>
        </w:r>
        <w:r>
          <w:rPr>
            <w:rStyle w:val="Hyperlink"/>
          </w:rPr>
          <w:t xml:space="preserve"> </w:t>
        </w:r>
        <w:r>
          <w:rPr>
            <w:rStyle w:val="Hyperlink"/>
          </w:rPr>
          <w:t xml:space="preserve">Children</w:t>
        </w:r>
        <w:r>
          <w:rPr>
            <w:rStyle w:val="Hyperlink"/>
          </w:rPr>
          <w:t xml:space="preserve">:</w:t>
        </w:r>
        <w:r>
          <w:rPr>
            <w:rStyle w:val="Hyperlink"/>
          </w:rPr>
          <w:t xml:space="preserve"> </w:t>
        </w:r>
        <w:r>
          <w:rPr>
            <w:rStyle w:val="Hyperlink"/>
          </w:rPr>
          <w:t xml:space="preserve">A Meta-analysis</w:t>
        </w:r>
        <w:r>
          <w:rPr>
            <w:rStyle w:val="Hyperlink"/>
          </w:rPr>
          <w:t xml:space="preserve"> </w:t>
        </w:r>
        <w:r>
          <w:rPr>
            <w:rStyle w:val="Hyperlink"/>
          </w:rPr>
          <w:t xml:space="preserve">of</w:t>
        </w:r>
        <w:r>
          <w:rPr>
            <w:rStyle w:val="Hyperlink"/>
          </w:rPr>
          <w:t xml:space="preserve"> </w:t>
        </w:r>
        <w:r>
          <w:rPr>
            <w:rStyle w:val="Hyperlink"/>
          </w:rPr>
          <w:t xml:space="preserve">Modern Studies</w:t>
        </w:r>
      </w:hyperlink>
      <w:r>
        <w:t xml:space="preserve">. JAMA. 1990 Feb;263(5):673.</w:t>
      </w:r>
      <w:r>
        <w:t xml:space="preserve"> </w:t>
      </w:r>
    </w:p>
    <w:bookmarkEnd w:id="89"/>
    <w:bookmarkStart w:id="91" w:name="ref-bellinger1992LowLevelLeadExposure"/>
    <w:p>
      <w:pPr>
        <w:pStyle w:val="Bibliography"/>
      </w:pPr>
      <w:r>
        <w:t xml:space="preserve">15.</w:t>
      </w:r>
      <w:r>
        <w:t xml:space="preserve"> </w:t>
      </w:r>
      <w:r>
        <w:t xml:space="preserve">	</w:t>
      </w:r>
      <w:r>
        <w:t xml:space="preserve">Bellinger DC, Stiles KM, Needleman HL.</w:t>
      </w:r>
      <w:r>
        <w:t xml:space="preserve"> </w:t>
      </w:r>
      <w:hyperlink r:id="rId90">
        <w:r>
          <w:rPr>
            <w:rStyle w:val="Hyperlink"/>
          </w:rPr>
          <w:t xml:space="preserve">Low-</w:t>
        </w:r>
        <w:r>
          <w:rPr>
            <w:rStyle w:val="Hyperlink"/>
          </w:rPr>
          <w:t xml:space="preserve">Level Lead Exposure</w:t>
        </w:r>
        <w:r>
          <w:rPr>
            <w:rStyle w:val="Hyperlink"/>
          </w:rPr>
          <w:t xml:space="preserve">,</w:t>
        </w:r>
        <w:r>
          <w:rPr>
            <w:rStyle w:val="Hyperlink"/>
          </w:rPr>
          <w:t xml:space="preserve"> </w:t>
        </w:r>
        <w:r>
          <w:rPr>
            <w:rStyle w:val="Hyperlink"/>
          </w:rPr>
          <w:t xml:space="preserve">Intelligence</w:t>
        </w:r>
        <w:r>
          <w:rPr>
            <w:rStyle w:val="Hyperlink"/>
          </w:rPr>
          <w:t xml:space="preserve"> </w:t>
        </w:r>
        <w:r>
          <w:rPr>
            <w:rStyle w:val="Hyperlink"/>
          </w:rPr>
          <w:t xml:space="preserve">and</w:t>
        </w:r>
        <w:r>
          <w:rPr>
            <w:rStyle w:val="Hyperlink"/>
          </w:rPr>
          <w:t xml:space="preserve"> </w:t>
        </w:r>
        <w:r>
          <w:rPr>
            <w:rStyle w:val="Hyperlink"/>
          </w:rPr>
          <w:t xml:space="preserve">Academic Achievement</w:t>
        </w:r>
        <w:r>
          <w:rPr>
            <w:rStyle w:val="Hyperlink"/>
          </w:rPr>
          <w:t xml:space="preserve">:</w:t>
        </w:r>
        <w:r>
          <w:rPr>
            <w:rStyle w:val="Hyperlink"/>
          </w:rPr>
          <w:t xml:space="preserve"> </w:t>
        </w:r>
        <w:r>
          <w:rPr>
            <w:rStyle w:val="Hyperlink"/>
          </w:rPr>
          <w:t xml:space="preserve">A Long-term Follow-up Study</w:t>
        </w:r>
      </w:hyperlink>
      <w:r>
        <w:t xml:space="preserve">. Pediatrics. 1992 Dec;90(6):855–61.</w:t>
      </w:r>
      <w:r>
        <w:t xml:space="preserve"> </w:t>
      </w:r>
    </w:p>
    <w:bookmarkEnd w:id="91"/>
    <w:bookmarkStart w:id="93" w:name="X9a8bad0b78f43066cb333fdedcdcad5d7017900"/>
    <w:p>
      <w:pPr>
        <w:pStyle w:val="Bibliography"/>
      </w:pPr>
      <w:r>
        <w:t xml:space="preserve">16.</w:t>
      </w:r>
      <w:r>
        <w:t xml:space="preserve"> </w:t>
      </w:r>
      <w:r>
        <w:t xml:space="preserve">	</w:t>
      </w:r>
      <w:r>
        <w:t xml:space="preserve">Lanphear BP, Hornung R, Khoury J, Yolton K, Baghurst P, Bellinger DC, et al.</w:t>
      </w:r>
      <w:r>
        <w:t xml:space="preserve"> </w:t>
      </w:r>
      <w:hyperlink r:id="rId92">
        <w:r>
          <w:rPr>
            <w:rStyle w:val="Hyperlink"/>
          </w:rPr>
          <w:t xml:space="preserve">Low-</w:t>
        </w:r>
        <w:r>
          <w:rPr>
            <w:rStyle w:val="Hyperlink"/>
          </w:rPr>
          <w:t xml:space="preserve">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hyperlink>
      <w:r>
        <w:t xml:space="preserve">. Environmental Health Perspectives. 2005;113(7):894–9.</w:t>
      </w:r>
      <w:r>
        <w:t xml:space="preserve"> </w:t>
      </w:r>
    </w:p>
    <w:bookmarkEnd w:id="93"/>
    <w:bookmarkStart w:id="95" w:name="ref-larsen2023GlobalHealthBurden"/>
    <w:p>
      <w:pPr>
        <w:pStyle w:val="Bibliography"/>
      </w:pPr>
      <w:r>
        <w:t xml:space="preserve">17.</w:t>
      </w:r>
      <w:r>
        <w:t xml:space="preserve"> </w:t>
      </w:r>
      <w:r>
        <w:t xml:space="preserve">	</w:t>
      </w:r>
      <w:r>
        <w:t xml:space="preserve">Larsen B, Sánchez-Triana E.</w:t>
      </w:r>
      <w:r>
        <w:t xml:space="preserve"> </w:t>
      </w:r>
      <w:hyperlink r:id="rId94">
        <w:r>
          <w:rPr>
            <w:rStyle w:val="Hyperlink"/>
          </w:rPr>
          <w:t xml:space="preserve">Global health burden and cost of lead exposure in children and adults: A health impact and economic modelling analysis</w:t>
        </w:r>
      </w:hyperlink>
      <w:r>
        <w:t xml:space="preserve">. The Lancet Planetary Health. 2023;7(10):e831–40.</w:t>
      </w:r>
      <w:r>
        <w:t xml:space="preserve"> </w:t>
      </w:r>
    </w:p>
    <w:bookmarkEnd w:id="95"/>
    <w:bookmarkStart w:id="96" w:name="Xccae642063400a60b450e4ce6d84827fa125294"/>
    <w:p>
      <w:pPr>
        <w:pStyle w:val="Bibliography"/>
      </w:pPr>
      <w:r>
        <w:t xml:space="preserve">18.</w:t>
      </w:r>
      <w:r>
        <w:t xml:space="preserve"> </w:t>
      </w:r>
      <w:r>
        <w:t xml:space="preserve">	</w:t>
      </w:r>
      <w:r>
        <w:t xml:space="preserve">European Human Biomonitoring Initiative. Lead. 2026. https://www.hbm4eu.eu/hbm4eu-substances/lead/; HBM4EU;</w:t>
      </w:r>
      <w:r>
        <w:t xml:space="preserve"> </w:t>
      </w:r>
    </w:p>
    <w:bookmarkEnd w:id="96"/>
    <w:bookmarkStart w:id="98" w:name="X5615fc1cb9c455a90da75660348bda09fd0f967"/>
    <w:p>
      <w:pPr>
        <w:pStyle w:val="Bibliography"/>
      </w:pPr>
      <w:r>
        <w:t xml:space="preserve">19.</w:t>
      </w:r>
      <w:r>
        <w:t xml:space="preserve"> </w:t>
      </w:r>
      <w:r>
        <w:t xml:space="preserve">	</w:t>
      </w:r>
      <w:r>
        <w:t xml:space="preserve">EFSA Panel on Contaminants in the Food Chain (CONTAM).</w:t>
      </w:r>
      <w:r>
        <w:t xml:space="preserve"> </w:t>
      </w:r>
      <w:hyperlink r:id="rId97">
        <w:r>
          <w:rPr>
            <w:rStyle w:val="Hyperlink"/>
          </w:rPr>
          <w:t xml:space="preserve">Scientific</w:t>
        </w:r>
        <w:r>
          <w:rPr>
            <w:rStyle w:val="Hyperlink"/>
          </w:rPr>
          <w:t xml:space="preserve"> </w:t>
        </w:r>
        <w:r>
          <w:rPr>
            <w:rStyle w:val="Hyperlink"/>
          </w:rPr>
          <w:t xml:space="preserve">Opinion</w:t>
        </w:r>
        <w:r>
          <w:rPr>
            <w:rStyle w:val="Hyperlink"/>
          </w:rPr>
          <w:t xml:space="preserve"> </w:t>
        </w:r>
        <w:r>
          <w:rPr>
            <w:rStyle w:val="Hyperlink"/>
          </w:rPr>
          <w:t xml:space="preserve">on</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Food</w:t>
        </w:r>
      </w:hyperlink>
      <w:r>
        <w:t xml:space="preserve">. EFSA Journal. 2010;8(4):1570.</w:t>
      </w:r>
      <w:r>
        <w:t xml:space="preserve"> </w:t>
      </w:r>
    </w:p>
    <w:bookmarkEnd w:id="98"/>
    <w:bookmarkStart w:id="100" w:name="ref-schwartz1994LowLevelLeadExposure"/>
    <w:p>
      <w:pPr>
        <w:pStyle w:val="Bibliography"/>
      </w:pPr>
      <w:r>
        <w:t xml:space="preserve">20.</w:t>
      </w:r>
      <w:r>
        <w:t xml:space="preserve"> </w:t>
      </w:r>
      <w:r>
        <w:t xml:space="preserve">	</w:t>
      </w:r>
      <w:r>
        <w:t xml:space="preserve">Schwartz J.</w:t>
      </w:r>
      <w:r>
        <w:t xml:space="preserve"> </w:t>
      </w:r>
      <w:hyperlink r:id="rId99">
        <w:r>
          <w:rPr>
            <w:rStyle w:val="Hyperlink"/>
          </w:rPr>
          <w:t xml:space="preserve">Low-</w:t>
        </w:r>
        <w:r>
          <w:rPr>
            <w:rStyle w:val="Hyperlink"/>
          </w:rPr>
          <w:t xml:space="preserve">Level Lead Exposure</w:t>
        </w:r>
        <w:r>
          <w:rPr>
            <w:rStyle w:val="Hyperlink"/>
          </w:rPr>
          <w:t xml:space="preserve"> </w:t>
        </w:r>
        <w:r>
          <w:rPr>
            <w:rStyle w:val="Hyperlink"/>
          </w:rPr>
          <w:t xml:space="preserve">and</w:t>
        </w:r>
        <w:r>
          <w:rPr>
            <w:rStyle w:val="Hyperlink"/>
          </w:rPr>
          <w:t xml:space="preserve"> </w:t>
        </w:r>
        <w:r>
          <w:rPr>
            <w:rStyle w:val="Hyperlink"/>
          </w:rPr>
          <w:t xml:space="preserve">Children</w:t>
        </w:r>
        <m:oMath>
          <m:r>
            <m:rPr>
              <m:sty m:val="p"/>
            </m:rPr>
            <m:t>′</m:t>
          </m:r>
        </m:oMath>
        <w:r>
          <w:rPr>
            <w:rStyle w:val="Hyperlink"/>
          </w:rPr>
          <w:t xml:space="preserve">s</w:t>
        </w:r>
        <w:r>
          <w:rPr>
            <w:rStyle w:val="Hyperlink"/>
          </w:rPr>
          <w:t xml:space="preserve"> </w:t>
        </w:r>
        <w:r>
          <w:rPr>
            <w:rStyle w:val="Hyperlink"/>
          </w:rPr>
          <w:t xml:space="preserve">IQ</w:t>
        </w:r>
        <w:r>
          <w:rPr>
            <w:rStyle w:val="Hyperlink"/>
          </w:rPr>
          <w:t xml:space="preserve">:</w:t>
        </w:r>
        <w:r>
          <w:rPr>
            <w:rStyle w:val="Hyperlink"/>
          </w:rPr>
          <w:t xml:space="preserve"> </w:t>
        </w:r>
        <w:r>
          <w:rPr>
            <w:rStyle w:val="Hyperlink"/>
          </w:rPr>
          <w:t xml:space="preserve">A Metaanalysis</w:t>
        </w:r>
        <w:r>
          <w:rPr>
            <w:rStyle w:val="Hyperlink"/>
          </w:rPr>
          <w:t xml:space="preserve"> </w:t>
        </w:r>
        <w:r>
          <w:rPr>
            <w:rStyle w:val="Hyperlink"/>
          </w:rPr>
          <w:t xml:space="preserve">and</w:t>
        </w:r>
        <w:r>
          <w:rPr>
            <w:rStyle w:val="Hyperlink"/>
          </w:rPr>
          <w:t xml:space="preserve"> </w:t>
        </w:r>
        <w:r>
          <w:rPr>
            <w:rStyle w:val="Hyperlink"/>
          </w:rPr>
          <w:t xml:space="preserve">Search</w:t>
        </w:r>
        <w:r>
          <w:rPr>
            <w:rStyle w:val="Hyperlink"/>
          </w:rPr>
          <w:t xml:space="preserve"> </w:t>
        </w:r>
        <w:r>
          <w:rPr>
            <w:rStyle w:val="Hyperlink"/>
          </w:rPr>
          <w:t xml:space="preserve">for a</w:t>
        </w:r>
        <w:r>
          <w:rPr>
            <w:rStyle w:val="Hyperlink"/>
          </w:rPr>
          <w:t xml:space="preserve"> </w:t>
        </w:r>
        <w:r>
          <w:rPr>
            <w:rStyle w:val="Hyperlink"/>
          </w:rPr>
          <w:t xml:space="preserve">Threshold</w:t>
        </w:r>
      </w:hyperlink>
      <w:r>
        <w:t xml:space="preserve">. Environmental Research. 1994 Apr;65(1):42–55.</w:t>
      </w:r>
      <w:r>
        <w:t xml:space="preserve"> </w:t>
      </w:r>
    </w:p>
    <w:bookmarkEnd w:id="100"/>
    <w:bookmarkStart w:id="102" w:name="Xa2086c2c3f6a9ac4b676f66b1cdbbd5efdb3b23"/>
    <w:p>
      <w:pPr>
        <w:pStyle w:val="Bibliography"/>
      </w:pPr>
      <w:r>
        <w:t xml:space="preserve">21.</w:t>
      </w:r>
      <w:r>
        <w:t xml:space="preserve"> </w:t>
      </w:r>
      <w:r>
        <w:t xml:space="preserve">	</w:t>
      </w:r>
      <w:r>
        <w:t xml:space="preserve">Canfield RL, Henderson CR, Cory-Slechta DA, Cox C, Jusko TA, Lanphear BP.</w:t>
      </w:r>
      <w:r>
        <w:t xml:space="preserve"> </w:t>
      </w:r>
      <w:hyperlink r:id="rId101">
        <w:r>
          <w:rPr>
            <w:rStyle w:val="Hyperlink"/>
          </w:rPr>
          <w:t xml:space="preserve">Intellectual</w:t>
        </w:r>
        <w:r>
          <w:rPr>
            <w:rStyle w:val="Hyperlink"/>
          </w:rPr>
          <w:t xml:space="preserve"> </w:t>
        </w:r>
        <w:r>
          <w:rPr>
            <w:rStyle w:val="Hyperlink"/>
          </w:rPr>
          <w:t xml:space="preserve">Impairment</w:t>
        </w:r>
        <w:r>
          <w:rPr>
            <w:rStyle w:val="Hyperlink"/>
          </w:rPr>
          <w:t xml:space="preserve"> </w:t>
        </w:r>
        <w:r>
          <w:rPr>
            <w:rStyle w:val="Hyperlink"/>
          </w:rPr>
          <w:t xml:space="preserve">in</w:t>
        </w:r>
        <w:r>
          <w:rPr>
            <w:rStyle w:val="Hyperlink"/>
          </w:rPr>
          <w:t xml:space="preserve"> </w:t>
        </w:r>
        <w:r>
          <w:rPr>
            <w:rStyle w:val="Hyperlink"/>
          </w:rPr>
          <w:t xml:space="preserve">Children</w:t>
        </w:r>
        <w:r>
          <w:rPr>
            <w:rStyle w:val="Hyperlink"/>
          </w:rPr>
          <w:t xml:space="preserve"> </w:t>
        </w:r>
        <w:r>
          <w:rPr>
            <w:rStyle w:val="Hyperlink"/>
          </w:rPr>
          <w:t xml:space="preserve">with</w:t>
        </w:r>
        <w:r>
          <w:rPr>
            <w:rStyle w:val="Hyperlink"/>
          </w:rPr>
          <w:t xml:space="preserve"> </w:t>
        </w:r>
        <w:r>
          <w:rPr>
            <w:rStyle w:val="Hyperlink"/>
          </w:rPr>
          <w:t xml:space="preserve">Blood Lead Concentrations</w:t>
        </w:r>
        <w:r>
          <w:rPr>
            <w:rStyle w:val="Hyperlink"/>
          </w:rPr>
          <w:t xml:space="preserve"> </w:t>
        </w:r>
        <w:r>
          <w:rPr>
            <w:rStyle w:val="Hyperlink"/>
          </w:rPr>
          <w:t xml:space="preserve">below 10</w:t>
        </w:r>
        <w:r>
          <w:rPr>
            <w:rStyle w:val="Hyperlink"/>
          </w:rPr>
          <w:t xml:space="preserve"> </w:t>
        </w:r>
        <m:oMath>
          <m:r>
            <m:t>μ</m:t>
          </m:r>
        </m:oMath>
        <w:r>
          <w:rPr>
            <w:rStyle w:val="Hyperlink"/>
          </w:rPr>
          <w:t xml:space="preserve">g per</w:t>
        </w:r>
        <w:r>
          <w:rPr>
            <w:rStyle w:val="Hyperlink"/>
          </w:rPr>
          <w:t xml:space="preserve"> </w:t>
        </w:r>
        <w:r>
          <w:rPr>
            <w:rStyle w:val="Hyperlink"/>
          </w:rPr>
          <w:t xml:space="preserve">Deciliter</w:t>
        </w:r>
      </w:hyperlink>
      <w:r>
        <w:t xml:space="preserve">. N Engl J Med. 2003 Apr;348(16):1517–26.</w:t>
      </w:r>
      <w:r>
        <w:t xml:space="preserve"> </w:t>
      </w:r>
    </w:p>
    <w:bookmarkEnd w:id="102"/>
    <w:bookmarkStart w:id="104" w:name="X93c1fc7f8e1220d02cbab90c02ac44248f2b23e"/>
    <w:p>
      <w:pPr>
        <w:pStyle w:val="Bibliography"/>
      </w:pPr>
      <w:r>
        <w:t xml:space="preserve">22.</w:t>
      </w:r>
      <w:r>
        <w:t xml:space="preserve"> </w:t>
      </w:r>
      <w:r>
        <w:t xml:space="preserve">	</w:t>
      </w:r>
      <w:r>
        <w:t xml:space="preserve">Carrington C, Devleesschauwer B, Gibb HJ, Bolger PM.</w:t>
      </w:r>
      <w:r>
        <w:t xml:space="preserve"> </w:t>
      </w:r>
      <w:hyperlink r:id="rId103">
        <w:r>
          <w:rPr>
            <w:rStyle w:val="Hyperlink"/>
          </w:rPr>
          <w:t xml:space="preserve">Global burden of intellectual disability resulting from dietary exposure to lead, 2015</w:t>
        </w:r>
      </w:hyperlink>
      <w:r>
        <w:t xml:space="preserve">. Environmental Research. 2019;172:420–9.</w:t>
      </w:r>
      <w:r>
        <w:t xml:space="preserve"> </w:t>
      </w:r>
    </w:p>
    <w:bookmarkEnd w:id="104"/>
    <w:bookmarkStart w:id="106" w:name="ref-figueroa2024LossCognitiveFunction"/>
    <w:p>
      <w:pPr>
        <w:pStyle w:val="Bibliography"/>
      </w:pPr>
      <w:r>
        <w:t xml:space="preserve">23.</w:t>
      </w:r>
      <w:r>
        <w:t xml:space="preserve"> </w:t>
      </w:r>
      <w:r>
        <w:t xml:space="preserve">	</w:t>
      </w:r>
      <w:r>
        <w:t xml:space="preserve">Figueroa JL, Rodríguez-Atristain A, Bautista-Arredondo LF, Treviño CL, Martínez MR, Valdivia BT, et al.</w:t>
      </w:r>
      <w:r>
        <w:t xml:space="preserve"> </w:t>
      </w:r>
      <w:hyperlink r:id="rId105">
        <w:r>
          <w:rPr>
            <w:rStyle w:val="Hyperlink"/>
          </w:rPr>
          <w:t xml:space="preserve">Loss of cognitive function in</w:t>
        </w:r>
        <w:r>
          <w:rPr>
            <w:rStyle w:val="Hyperlink"/>
          </w:rPr>
          <w:t xml:space="preserve"> </w:t>
        </w:r>
        <w:r>
          <w:rPr>
            <w:rStyle w:val="Hyperlink"/>
          </w:rPr>
          <w:t xml:space="preserve">Mexican</w:t>
        </w:r>
        <w:r>
          <w:rPr>
            <w:rStyle w:val="Hyperlink"/>
          </w:rPr>
          <w:t xml:space="preserve"> </w:t>
        </w:r>
        <w:r>
          <w:rPr>
            <w:rStyle w:val="Hyperlink"/>
          </w:rPr>
          <w:t xml:space="preserve">children due to lead exposure and the associated economic costs</w:t>
        </w:r>
      </w:hyperlink>
      <w:r>
        <w:t xml:space="preserve">. Environmental Research. 2024 Dec;263:120013.</w:t>
      </w:r>
      <w:r>
        <w:t xml:space="preserve"> </w:t>
      </w:r>
    </w:p>
    <w:bookmarkEnd w:id="106"/>
    <w:bookmarkStart w:id="108" w:name="ref-mcfarland2022HalfUSPopulation"/>
    <w:p>
      <w:pPr>
        <w:pStyle w:val="Bibliography"/>
      </w:pPr>
      <w:r>
        <w:t xml:space="preserve">24.</w:t>
      </w:r>
      <w:r>
        <w:t xml:space="preserve"> </w:t>
      </w:r>
      <w:r>
        <w:t xml:space="preserve">	</w:t>
      </w:r>
      <w:r>
        <w:t xml:space="preserve">McFarland MJ, Hauer ME, Reuben A.</w:t>
      </w:r>
      <w:r>
        <w:t xml:space="preserve"> </w:t>
      </w:r>
      <w:hyperlink r:id="rId107">
        <w:r>
          <w:rPr>
            <w:rStyle w:val="Hyperlink"/>
          </w:rPr>
          <w:t xml:space="preserve">Half of</w:t>
        </w:r>
        <w:r>
          <w:rPr>
            <w:rStyle w:val="Hyperlink"/>
          </w:rPr>
          <w:t xml:space="preserve"> </w:t>
        </w:r>
        <w:r>
          <w:rPr>
            <w:rStyle w:val="Hyperlink"/>
          </w:rPr>
          <w:t xml:space="preserve">US</w:t>
        </w:r>
        <w:r>
          <w:rPr>
            <w:rStyle w:val="Hyperlink"/>
          </w:rPr>
          <w:t xml:space="preserve"> </w:t>
        </w:r>
        <w:r>
          <w:rPr>
            <w:rStyle w:val="Hyperlink"/>
          </w:rPr>
          <w:t xml:space="preserve">population exposed to adverse lead levels in early childhood</w:t>
        </w:r>
      </w:hyperlink>
      <w:r>
        <w:t xml:space="preserve">. Proc Natl Acad Sci USA. 2022 Mar;119(11):e2118631119.</w:t>
      </w:r>
      <w:r>
        <w:t xml:space="preserve"> </w:t>
      </w:r>
    </w:p>
    <w:bookmarkEnd w:id="108"/>
    <w:bookmarkStart w:id="110" w:name="ref-crump2013StatisticalReevaluationData"/>
    <w:p>
      <w:pPr>
        <w:pStyle w:val="Bibliography"/>
      </w:pPr>
      <w:r>
        <w:t xml:space="preserve">25.</w:t>
      </w:r>
      <w:r>
        <w:t xml:space="preserve"> </w:t>
      </w:r>
      <w:r>
        <w:t xml:space="preserve">	</w:t>
      </w:r>
      <w:r>
        <w:t xml:space="preserve">Crump KS, Van Landingham C, Bowers TS, Cahoy D, Chandalia JK.</w:t>
      </w:r>
      <w:r>
        <w:t xml:space="preserve"> </w:t>
      </w:r>
      <w:hyperlink r:id="rId109">
        <w:r>
          <w:rPr>
            <w:rStyle w:val="Hyperlink"/>
          </w:rPr>
          <w:t xml:space="preserve">A statistical reevaluation of the data used in the</w:t>
        </w:r>
        <w:r>
          <w:rPr>
            <w:rStyle w:val="Hyperlink"/>
          </w:rPr>
          <w:t xml:space="preserve"> </w:t>
        </w:r>
        <w:r>
          <w:rPr>
            <w:rStyle w:val="Hyperlink"/>
          </w:rPr>
          <w:t xml:space="preserve">Lanphear</w:t>
        </w:r>
        <w:r>
          <w:rPr>
            <w:rStyle w:val="Hyperlink"/>
          </w:rPr>
          <w:t xml:space="preserve"> </w:t>
        </w:r>
        <w:r>
          <w:rPr>
            <w:rStyle w:val="Hyperlink"/>
          </w:rPr>
          <w:t xml:space="preserve">et al. ( 2005 ) pooled-analysis that related low levels of blood lead to intellectual deficits in children</w:t>
        </w:r>
      </w:hyperlink>
      <w:r>
        <w:t xml:space="preserve">. Crit Rev Toxicol. 2013;43(9):785–99.</w:t>
      </w:r>
      <w:r>
        <w:t xml:space="preserve"> </w:t>
      </w:r>
    </w:p>
    <w:bookmarkEnd w:id="110"/>
    <w:bookmarkStart w:id="112" w:name="X33f03e29791f20cdbbbbf0729c723b16e55ed16"/>
    <w:p>
      <w:pPr>
        <w:pStyle w:val="Bibliography"/>
      </w:pPr>
      <w:r>
        <w:t xml:space="preserve">26.</w:t>
      </w:r>
      <w:r>
        <w:t xml:space="preserve"> </w:t>
      </w:r>
      <w:r>
        <w:t xml:space="preserve">	</w:t>
      </w:r>
      <w:r>
        <w:t xml:space="preserve">Lanphear BP, Hornung R, Khoury J, Yolton K, Baghurst P, Bellinger DC, et al.</w:t>
      </w:r>
      <w:r>
        <w:t xml:space="preserve"> </w:t>
      </w:r>
      <w:hyperlink r:id="rId111">
        <w:r>
          <w:rPr>
            <w:rStyle w:val="Hyperlink"/>
          </w:rPr>
          <w:t xml:space="preserve">Erratum:</w:t>
        </w:r>
        <w:r>
          <w:rPr>
            <w:rStyle w:val="Hyperlink"/>
          </w:rPr>
          <w:t xml:space="preserve"> </w:t>
        </w:r>
        <w:r>
          <w:rPr>
            <w:rStyle w:val="Hyperlink"/>
          </w:rPr>
          <w:t xml:space="preserve">“</w:t>
        </w:r>
        <w:r>
          <w:rPr>
            <w:rStyle w:val="Hyperlink"/>
          </w:rPr>
          <w:t xml:space="preserve">Low-Level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r>
          <w:rPr>
            <w:rStyle w:val="Hyperlink"/>
          </w:rPr>
          <w:t xml:space="preserve">”</w:t>
        </w:r>
      </w:hyperlink>
      <w:r>
        <w:t xml:space="preserve">. Environ Health Perspect. 2019 Sep;127(9):099001.</w:t>
      </w:r>
      <w:r>
        <w:t xml:space="preserve"> </w:t>
      </w:r>
    </w:p>
    <w:bookmarkEnd w:id="112"/>
    <w:bookmarkStart w:id="114" w:name="X035620408d1fb22c7ed381e74f0468c30df4612"/>
    <w:p>
      <w:pPr>
        <w:pStyle w:val="Bibliography"/>
      </w:pPr>
      <w:r>
        <w:t xml:space="preserve">27.</w:t>
      </w:r>
      <w:r>
        <w:t xml:space="preserve"> </w:t>
      </w:r>
      <w:r>
        <w:t xml:space="preserve">	</w:t>
      </w:r>
      <w:r>
        <w:t xml:space="preserve">Grant R, Di Tanna GL.</w:t>
      </w:r>
      <w:r>
        <w:t xml:space="preserve"> </w:t>
      </w:r>
      <w:hyperlink r:id="rId113">
        <w:r>
          <w:rPr>
            <w:rStyle w:val="Hyperlink"/>
          </w:rPr>
          <w:t xml:space="preserve">Bayesian</w:t>
        </w:r>
        <w:r>
          <w:rPr>
            <w:rStyle w:val="Hyperlink"/>
          </w:rPr>
          <w:t xml:space="preserve"> </w:t>
        </w:r>
        <w:r>
          <w:rPr>
            <w:rStyle w:val="Hyperlink"/>
          </w:rPr>
          <w:t xml:space="preserve">Meta-Analysis</w:t>
        </w:r>
        <w:r>
          <w:rPr>
            <w:rStyle w:val="Hyperlink"/>
          </w:rPr>
          <w:t xml:space="preserve">:</w:t>
        </w:r>
        <w:r>
          <w:rPr>
            <w:rStyle w:val="Hyperlink"/>
          </w:rPr>
          <w:t xml:space="preserve"> </w:t>
        </w:r>
        <w:r>
          <w:rPr>
            <w:rStyle w:val="Hyperlink"/>
          </w:rPr>
          <w:t xml:space="preserve">A Practical Introduction</w:t>
        </w:r>
      </w:hyperlink>
      <w:r>
        <w:t xml:space="preserve">. 1st ed. Boca Raton:</w:t>
      </w:r>
      <w:r>
        <w:t xml:space="preserve"> </w:t>
      </w:r>
      <w:r>
        <w:t xml:space="preserve">Chapman and Hall/CRC</w:t>
      </w:r>
      <w:r>
        <w:t xml:space="preserve">; 2025.</w:t>
      </w:r>
      <w:r>
        <w:t xml:space="preserve"> </w:t>
      </w:r>
    </w:p>
    <w:bookmarkEnd w:id="114"/>
    <w:bookmarkStart w:id="116" w:name="X837f91f784566061977da85c17a5755a81dedde"/>
    <w:p>
      <w:pPr>
        <w:pStyle w:val="Bibliography"/>
      </w:pPr>
      <w:r>
        <w:t xml:space="preserve">28.</w:t>
      </w:r>
      <w:r>
        <w:t xml:space="preserve"> </w:t>
      </w:r>
      <w:r>
        <w:t xml:space="preserve">	</w:t>
      </w:r>
      <w:r>
        <w:t xml:space="preserve">Hoekstra R, Morey RD, Rouder JN, Wagenmakers EJ.</w:t>
      </w:r>
      <w:r>
        <w:t xml:space="preserve"> </w:t>
      </w:r>
      <w:hyperlink r:id="rId115">
        <w:r>
          <w:rPr>
            <w:rStyle w:val="Hyperlink"/>
          </w:rPr>
          <w:t xml:space="preserve">Robust misinterpretation of confidence intervals</w:t>
        </w:r>
      </w:hyperlink>
      <w:r>
        <w:t xml:space="preserve">. Psychon Bull Rev. 2014 Oct;21(5):1157–64.</w:t>
      </w:r>
      <w:r>
        <w:t xml:space="preserve"> </w:t>
      </w:r>
    </w:p>
    <w:bookmarkEnd w:id="116"/>
    <w:bookmarkStart w:id="118" w:name="ref-page2021PRISMA2020Statement"/>
    <w:p>
      <w:pPr>
        <w:pStyle w:val="Bibliography"/>
      </w:pPr>
      <w:r>
        <w:t xml:space="preserve">29.</w:t>
      </w:r>
      <w:r>
        <w:t xml:space="preserve"> </w:t>
      </w:r>
      <w:r>
        <w:t xml:space="preserve">	</w:t>
      </w:r>
      <w:r>
        <w:t xml:space="preserve">Page MJ, McKenzie JE, Bossuyt PM, Boutron I, Hoffmann TC, Mulrow CD, et al.</w:t>
      </w:r>
      <w:r>
        <w:t xml:space="preserve"> </w:t>
      </w:r>
      <w:hyperlink r:id="rId117">
        <w:r>
          <w:rPr>
            <w:rStyle w:val="Hyperlink"/>
          </w:rPr>
          <w:t xml:space="preserve">The</w:t>
        </w:r>
        <w:r>
          <w:rPr>
            <w:rStyle w:val="Hyperlink"/>
          </w:rPr>
          <w:t xml:space="preserve"> </w:t>
        </w:r>
        <w:r>
          <w:rPr>
            <w:rStyle w:val="Hyperlink"/>
          </w:rPr>
          <w:t xml:space="preserve">PRISMA</w:t>
        </w:r>
        <w:r>
          <w:rPr>
            <w:rStyle w:val="Hyperlink"/>
          </w:rPr>
          <w:t xml:space="preserve"> </w:t>
        </w:r>
        <w:r>
          <w:rPr>
            <w:rStyle w:val="Hyperlink"/>
          </w:rPr>
          <w:t xml:space="preserve">2020 statement: An updated guideline for reporting systematic reviews</w:t>
        </w:r>
      </w:hyperlink>
      <w:r>
        <w:t xml:space="preserve">. BMJ. 2021 Mar;n71.</w:t>
      </w:r>
      <w:r>
        <w:t xml:space="preserve"> </w:t>
      </w:r>
    </w:p>
    <w:bookmarkEnd w:id="118"/>
    <w:bookmarkStart w:id="119" w:name="X5cae6442bbe0e1f5d8df6cd5008aab2dbfb65a6"/>
    <w:p>
      <w:pPr>
        <w:pStyle w:val="Bibliography"/>
      </w:pPr>
      <w:r>
        <w:t xml:space="preserve">30.</w:t>
      </w:r>
      <w:r>
        <w:t xml:space="preserve"> </w:t>
      </w:r>
      <w:r>
        <w:t xml:space="preserve">	</w:t>
      </w:r>
      <w:r>
        <w:t xml:space="preserve">Kruschke JK.</w:t>
      </w:r>
      <w:r>
        <w:t xml:space="preserve"> </w:t>
      </w:r>
      <w:hyperlink r:id="rId27">
        <w:r>
          <w:rPr>
            <w:rStyle w:val="Hyperlink"/>
          </w:rPr>
          <w:t xml:space="preserve">Bayesian</w:t>
        </w:r>
        <w:r>
          <w:rPr>
            <w:rStyle w:val="Hyperlink"/>
          </w:rPr>
          <w:t xml:space="preserve"> </w:t>
        </w:r>
        <w:r>
          <w:rPr>
            <w:rStyle w:val="Hyperlink"/>
          </w:rPr>
          <w:t xml:space="preserve">Analysis Reporting Guidelines</w:t>
        </w:r>
      </w:hyperlink>
      <w:r>
        <w:t xml:space="preserve">. Nat Hum Behav. 2021 Aug;5(10):1282–91.</w:t>
      </w:r>
      <w:r>
        <w:t xml:space="preserve"> </w:t>
      </w:r>
    </w:p>
    <w:bookmarkEnd w:id="119"/>
    <w:bookmarkStart w:id="120" w:name="Xf5486a80753c915bf34b5d8f3ad5e46aac479a7"/>
    <w:p>
      <w:pPr>
        <w:pStyle w:val="Bibliography"/>
      </w:pPr>
      <w:r>
        <w:t xml:space="preserve">31.</w:t>
      </w:r>
      <w:r>
        <w:t xml:space="preserve"> </w:t>
      </w:r>
      <w:r>
        <w:t xml:space="preserve">	</w:t>
      </w:r>
      <w:r>
        <w:t xml:space="preserve">NTP OHAT.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 2019;</w:t>
      </w:r>
      <w:r>
        <w:t xml:space="preserve"> </w:t>
      </w:r>
    </w:p>
    <w:bookmarkEnd w:id="120"/>
    <w:bookmarkStart w:id="122" w:name="ref-plate2024DevelopmentToolRapid"/>
    <w:p>
      <w:pPr>
        <w:pStyle w:val="Bibliography"/>
      </w:pPr>
      <w:r>
        <w:t xml:space="preserve">32.</w:t>
      </w:r>
      <w:r>
        <w:t xml:space="preserve"> </w:t>
      </w:r>
      <w:r>
        <w:t xml:space="preserve">	</w:t>
      </w:r>
      <w:r>
        <w:t xml:space="preserve">Plate K, Knüppel S, Hornbacher A, Greiner M, Müller-Graf C.</w:t>
      </w:r>
      <w:r>
        <w:t xml:space="preserve"> </w:t>
      </w:r>
      <w:hyperlink r:id="rId121">
        <w:r>
          <w:rPr>
            <w:rStyle w:val="Hyperlink"/>
          </w:rPr>
          <w:t xml:space="preserve">Development of a tool for rapid assessment of the evidence of human observational epidemiological studies with focus on risk of bias in the context of public health and risk assessment</w:t>
        </w:r>
      </w:hyperlink>
      <w:r>
        <w:t xml:space="preserve">. EFS3. 2024 Jul;21(7).</w:t>
      </w:r>
      <w:r>
        <w:t xml:space="preserve"> </w:t>
      </w:r>
    </w:p>
    <w:bookmarkEnd w:id="122"/>
    <w:bookmarkStart w:id="124" w:name="ref-halabicky2023LowLevelLead"/>
    <w:p>
      <w:pPr>
        <w:pStyle w:val="Bibliography"/>
      </w:pPr>
      <w:r>
        <w:t xml:space="preserve">33.</w:t>
      </w:r>
      <w:r>
        <w:t xml:space="preserve"> </w:t>
      </w:r>
      <w:r>
        <w:t xml:space="preserve">	</w:t>
      </w:r>
      <w:r>
        <w:t xml:space="preserve">Halabicky OM, Pinto-Martin JA, Compton P, Liu J.</w:t>
      </w:r>
      <w:r>
        <w:t xml:space="preserve"> </w:t>
      </w:r>
      <w:hyperlink r:id="rId123">
        <w:r>
          <w:rPr>
            <w:rStyle w:val="Hyperlink"/>
          </w:rPr>
          <w:t xml:space="preserve">Low level lead exposure in early childhood and parental education on adolescent</w:t>
        </w:r>
        <w:r>
          <w:rPr>
            <w:rStyle w:val="Hyperlink"/>
          </w:rPr>
          <w:t xml:space="preserve"> </w:t>
        </w:r>
        <w:r>
          <w:rPr>
            <w:rStyle w:val="Hyperlink"/>
          </w:rPr>
          <w:t xml:space="preserve">IQ</w:t>
        </w:r>
        <w:r>
          <w:rPr>
            <w:rStyle w:val="Hyperlink"/>
          </w:rPr>
          <w:t xml:space="preserve"> </w:t>
        </w:r>
        <w:r>
          <w:rPr>
            <w:rStyle w:val="Hyperlink"/>
          </w:rPr>
          <w:t xml:space="preserve">and working memory: A cohort study</w:t>
        </w:r>
      </w:hyperlink>
      <w:r>
        <w:t xml:space="preserve">. Journal of Exposure Science &amp; Environmental Epidemiology. 2023;33(2):168–76.</w:t>
      </w:r>
      <w:r>
        <w:t xml:space="preserve"> </w:t>
      </w:r>
    </w:p>
    <w:bookmarkEnd w:id="124"/>
    <w:bookmarkStart w:id="126" w:name="ref-chen2005IQBloodLead"/>
    <w:p>
      <w:pPr>
        <w:pStyle w:val="Bibliography"/>
      </w:pPr>
      <w:r>
        <w:t xml:space="preserve">34.</w:t>
      </w:r>
      <w:r>
        <w:t xml:space="preserve"> </w:t>
      </w:r>
      <w:r>
        <w:t xml:space="preserve">	</w:t>
      </w:r>
      <w:r>
        <w:t xml:space="preserve">Chen A, Dietrich KN, Ware JH, Radcliffe J, Rogan WJ.</w:t>
      </w:r>
      <w:r>
        <w:t xml:space="preserve"> </w:t>
      </w:r>
      <w:hyperlink r:id="rId125">
        <w:r>
          <w:rPr>
            <w:rStyle w:val="Hyperlink"/>
          </w:rPr>
          <w:t xml:space="preserve">IQ</w:t>
        </w:r>
        <w:r>
          <w:rPr>
            <w:rStyle w:val="Hyperlink"/>
          </w:rPr>
          <w:t xml:space="preserve"> </w:t>
        </w:r>
        <w:r>
          <w:rPr>
            <w:rStyle w:val="Hyperlink"/>
          </w:rPr>
          <w:t xml:space="preserve">and</w:t>
        </w:r>
        <w:r>
          <w:rPr>
            <w:rStyle w:val="Hyperlink"/>
          </w:rPr>
          <w:t xml:space="preserve"> </w:t>
        </w:r>
        <w:r>
          <w:rPr>
            <w:rStyle w:val="Hyperlink"/>
          </w:rPr>
          <w:t xml:space="preserve">Blood Lead</w:t>
        </w:r>
        <w:r>
          <w:rPr>
            <w:rStyle w:val="Hyperlink"/>
          </w:rPr>
          <w:t xml:space="preserve"> </w:t>
        </w:r>
        <w:r>
          <w:rPr>
            <w:rStyle w:val="Hyperlink"/>
          </w:rPr>
          <w:t xml:space="preserve">from 2 to 7</w:t>
        </w:r>
        <w:r>
          <w:rPr>
            <w:rStyle w:val="Hyperlink"/>
          </w:rPr>
          <w:t xml:space="preserve"> </w:t>
        </w:r>
        <w:r>
          <w:rPr>
            <w:rStyle w:val="Hyperlink"/>
          </w:rPr>
          <w:t xml:space="preserve">Years</w:t>
        </w:r>
        <w:r>
          <w:rPr>
            <w:rStyle w:val="Hyperlink"/>
          </w:rPr>
          <w:t xml:space="preserve"> </w:t>
        </w:r>
        <w:r>
          <w:rPr>
            <w:rStyle w:val="Hyperlink"/>
          </w:rPr>
          <w:t xml:space="preserve">of</w:t>
        </w:r>
        <w:r>
          <w:rPr>
            <w:rStyle w:val="Hyperlink"/>
          </w:rPr>
          <w:t xml:space="preserve"> </w:t>
        </w:r>
        <w:r>
          <w:rPr>
            <w:rStyle w:val="Hyperlink"/>
          </w:rPr>
          <w:t xml:space="preserve">Age</w:t>
        </w:r>
        <w:r>
          <w:rPr>
            <w:rStyle w:val="Hyperlink"/>
          </w:rPr>
          <w:t xml:space="preserve">:</w:t>
        </w:r>
        <w:r>
          <w:rPr>
            <w:rStyle w:val="Hyperlink"/>
          </w:rPr>
          <w:t xml:space="preserve"> </w:t>
        </w:r>
        <w:r>
          <w:rPr>
            <w:rStyle w:val="Hyperlink"/>
          </w:rPr>
          <w:t xml:space="preserve">Are</w:t>
        </w:r>
        <w:r>
          <w:rPr>
            <w:rStyle w:val="Hyperlink"/>
          </w:rPr>
          <w:t xml:space="preserve"> </w:t>
        </w:r>
        <w:r>
          <w:rPr>
            <w:rStyle w:val="Hyperlink"/>
          </w:rPr>
          <w:t xml:space="preserve">the</w:t>
        </w:r>
        <w:r>
          <w:rPr>
            <w:rStyle w:val="Hyperlink"/>
          </w:rPr>
          <w:t xml:space="preserve"> </w:t>
        </w:r>
        <w:r>
          <w:rPr>
            <w:rStyle w:val="Hyperlink"/>
          </w:rPr>
          <w:t xml:space="preserve">Effects</w:t>
        </w:r>
        <w:r>
          <w:rPr>
            <w:rStyle w:val="Hyperlink"/>
          </w:rPr>
          <w:t xml:space="preserve"> </w:t>
        </w:r>
        <w:r>
          <w:rPr>
            <w:rStyle w:val="Hyperlink"/>
          </w:rPr>
          <w:t xml:space="preserve">in</w:t>
        </w:r>
        <w:r>
          <w:rPr>
            <w:rStyle w:val="Hyperlink"/>
          </w:rPr>
          <w:t xml:space="preserve"> </w:t>
        </w:r>
        <w:r>
          <w:rPr>
            <w:rStyle w:val="Hyperlink"/>
          </w:rPr>
          <w:t xml:space="preserve">Older Children</w:t>
        </w:r>
        <w:r>
          <w:rPr>
            <w:rStyle w:val="Hyperlink"/>
          </w:rPr>
          <w:t xml:space="preserve"> </w:t>
        </w:r>
        <w:r>
          <w:rPr>
            <w:rStyle w:val="Hyperlink"/>
          </w:rPr>
          <w:t xml:space="preserve">the</w:t>
        </w:r>
        <w:r>
          <w:rPr>
            <w:rStyle w:val="Hyperlink"/>
          </w:rPr>
          <w:t xml:space="preserve"> </w:t>
        </w:r>
        <w:r>
          <w:rPr>
            <w:rStyle w:val="Hyperlink"/>
          </w:rPr>
          <w:t xml:space="preserve">Residual</w:t>
        </w:r>
        <w:r>
          <w:rPr>
            <w:rStyle w:val="Hyperlink"/>
          </w:rPr>
          <w:t xml:space="preserve"> </w:t>
        </w:r>
        <w:r>
          <w:rPr>
            <w:rStyle w:val="Hyperlink"/>
          </w:rPr>
          <w:t xml:space="preserve">of</w:t>
        </w:r>
        <w:r>
          <w:rPr>
            <w:rStyle w:val="Hyperlink"/>
          </w:rPr>
          <w:t xml:space="preserve"> </w:t>
        </w:r>
        <w:r>
          <w:rPr>
            <w:rStyle w:val="Hyperlink"/>
          </w:rPr>
          <w:t xml:space="preserve">High Blood Lead Concentrations</w:t>
        </w:r>
        <w:r>
          <w:rPr>
            <w:rStyle w:val="Hyperlink"/>
          </w:rPr>
          <w:t xml:space="preserve"> </w:t>
        </w:r>
        <w:r>
          <w:rPr>
            <w:rStyle w:val="Hyperlink"/>
          </w:rPr>
          <w:t xml:space="preserve">in 2-</w:t>
        </w:r>
        <w:r>
          <w:rPr>
            <w:rStyle w:val="Hyperlink"/>
          </w:rPr>
          <w:t xml:space="preserve">Year-Olds</w:t>
        </w:r>
        <w:r>
          <w:rPr>
            <w:rStyle w:val="Hyperlink"/>
          </w:rPr>
          <w:t xml:space="preserve">?</w:t>
        </w:r>
      </w:hyperlink>
      <w:r>
        <w:t xml:space="preserve"> Environmental Health Perspectives. 2005;113(5):597–601.</w:t>
      </w:r>
      <w:r>
        <w:t xml:space="preserve"> </w:t>
      </w:r>
    </w:p>
    <w:bookmarkEnd w:id="126"/>
    <w:bookmarkStart w:id="128" w:name="Xcf7993c3f58afaabaf73be6238c67f4f63053d9"/>
    <w:p>
      <w:pPr>
        <w:pStyle w:val="Bibliography"/>
      </w:pPr>
      <w:r>
        <w:t xml:space="preserve">35.</w:t>
      </w:r>
      <w:r>
        <w:t xml:space="preserve"> </w:t>
      </w:r>
      <w:r>
        <w:t xml:space="preserve">	</w:t>
      </w:r>
      <w:r>
        <w:t xml:space="preserve">Schnaas L, Rothenberg Stephen J, Flores MF, Martinez S, Hernandez C, Osorio E, et al.</w:t>
      </w:r>
      <w:r>
        <w:t xml:space="preserve"> </w:t>
      </w:r>
      <w:hyperlink r:id="rId127">
        <w:r>
          <w:rPr>
            <w:rStyle w:val="Hyperlink"/>
          </w:rPr>
          <w:t xml:space="preserve">Reduced</w:t>
        </w:r>
        <w:r>
          <w:rPr>
            <w:rStyle w:val="Hyperlink"/>
          </w:rPr>
          <w:t xml:space="preserve"> </w:t>
        </w:r>
        <w:r>
          <w:rPr>
            <w:rStyle w:val="Hyperlink"/>
          </w:rPr>
          <w:t xml:space="preserve">Intellectual Development</w:t>
        </w:r>
        <w:r>
          <w:rPr>
            <w:rStyle w:val="Hyperlink"/>
          </w:rPr>
          <w:t xml:space="preserve"> </w:t>
        </w:r>
        <w:r>
          <w:rPr>
            <w:rStyle w:val="Hyperlink"/>
          </w:rPr>
          <w:t xml:space="preserve">in</w:t>
        </w:r>
        <w:r>
          <w:rPr>
            <w:rStyle w:val="Hyperlink"/>
          </w:rPr>
          <w:t xml:space="preserve"> </w:t>
        </w:r>
        <w:r>
          <w:rPr>
            <w:rStyle w:val="Hyperlink"/>
          </w:rPr>
          <w:t xml:space="preserve">Children</w:t>
        </w:r>
        <w:r>
          <w:rPr>
            <w:rStyle w:val="Hyperlink"/>
          </w:rPr>
          <w:t xml:space="preserve"> </w:t>
        </w:r>
        <w:r>
          <w:rPr>
            <w:rStyle w:val="Hyperlink"/>
          </w:rPr>
          <w:t xml:space="preserve">with</w:t>
        </w:r>
        <w:r>
          <w:rPr>
            <w:rStyle w:val="Hyperlink"/>
          </w:rPr>
          <w:t xml:space="preserve"> </w:t>
        </w:r>
        <w:r>
          <w:rPr>
            <w:rStyle w:val="Hyperlink"/>
          </w:rPr>
          <w:t xml:space="preserve">Prenatal Lead Exposure</w:t>
        </w:r>
      </w:hyperlink>
      <w:r>
        <w:t xml:space="preserve">. Environmental Health Perspectives. 2006;114(5):791–7.</w:t>
      </w:r>
      <w:r>
        <w:t xml:space="preserve"> </w:t>
      </w:r>
    </w:p>
    <w:bookmarkEnd w:id="128"/>
    <w:bookmarkStart w:id="129" w:name="X4bd034c52731e178b4de125c2c778bdc533803c"/>
    <w:p>
      <w:pPr>
        <w:pStyle w:val="Bibliography"/>
      </w:pPr>
      <w:r>
        <w:t xml:space="preserve">36.</w:t>
      </w:r>
      <w:r>
        <w:t xml:space="preserve"> </w:t>
      </w:r>
      <w:r>
        <w:t xml:space="preserve">	</w:t>
      </w:r>
      <w:r>
        <w:t xml:space="preserve">R Core Team.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 Vienna, Austria: R Foundation for Statistical Computing; 2024.</w:t>
      </w:r>
      <w:r>
        <w:t xml:space="preserve"> </w:t>
      </w:r>
    </w:p>
    <w:bookmarkEnd w:id="129"/>
    <w:bookmarkStart w:id="131" w:name="ref-burkner2017BrmsPackageBayesian"/>
    <w:p>
      <w:pPr>
        <w:pStyle w:val="Bibliography"/>
      </w:pPr>
      <w:r>
        <w:t xml:space="preserve">37.</w:t>
      </w:r>
      <w:r>
        <w:t xml:space="preserve"> </w:t>
      </w:r>
      <w:r>
        <w:t xml:space="preserve">	</w:t>
      </w:r>
      <w:r>
        <w:t xml:space="preserve">Bürkner PC.</w:t>
      </w:r>
      <w:r>
        <w:t xml:space="preserve"> </w:t>
      </w:r>
      <w:hyperlink r:id="rId130">
        <w:r>
          <w:rPr>
            <w:rStyle w:val="Hyperlink"/>
            <w:b/>
            <w:bCs/>
          </w:rPr>
          <w:t xml:space="preserve">Brms</w:t>
        </w:r>
        <w:r>
          <w:rPr>
            <w:rStyle w:val="Hyperlink"/>
          </w:rPr>
          <w:t xml:space="preserve"> </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i/>
            <w:iCs/>
          </w:rPr>
          <w:t xml:space="preserve">R</w:t>
        </w:r>
        <w:r>
          <w:rPr>
            <w:rStyle w:val="Hyperlink"/>
          </w:rPr>
          <w:t xml:space="preserve"> </w:t>
        </w:r>
        <w:r>
          <w:rPr>
            <w:rStyle w:val="Hyperlink"/>
          </w:rPr>
          <w:t xml:space="preserve">Package</w:t>
        </w:r>
        <w:r>
          <w:rPr>
            <w:rStyle w:val="Hyperlink"/>
          </w:rPr>
          <w:t xml:space="preserve"> </w:t>
        </w:r>
        <w:r>
          <w:rPr>
            <w:rStyle w:val="Hyperlink"/>
          </w:rPr>
          <w:t xml:space="preserve">for</w:t>
        </w:r>
        <w:r>
          <w:rPr>
            <w:rStyle w:val="Hyperlink"/>
          </w:rPr>
          <w:t xml:space="preserve"> </w:t>
        </w:r>
        <w:r>
          <w:rPr>
            <w:rStyle w:val="Hyperlink"/>
          </w:rPr>
          <w:t xml:space="preserve">Bayesian Multilevel Models Using</w:t>
        </w:r>
        <w:r>
          <w:rPr>
            <w:rStyle w:val="Hyperlink"/>
          </w:rPr>
          <w:t xml:space="preserve"> </w:t>
        </w:r>
        <w:r>
          <w:rPr>
            <w:rStyle w:val="Hyperlink"/>
            <w:i/>
            <w:iCs/>
          </w:rPr>
          <w:t xml:space="preserve">Stan</w:t>
        </w:r>
      </w:hyperlink>
      <w:r>
        <w:t xml:space="preserve">. J Stat Soft. 2017;80(1).</w:t>
      </w:r>
      <w:r>
        <w:t xml:space="preserve"> </w:t>
      </w:r>
    </w:p>
    <w:bookmarkEnd w:id="131"/>
    <w:bookmarkStart w:id="133" w:name="ref-hoffman2011NoUTurnSamplerAdaptively"/>
    <w:p>
      <w:pPr>
        <w:pStyle w:val="Bibliography"/>
      </w:pPr>
      <w:r>
        <w:t xml:space="preserve">38.</w:t>
      </w:r>
      <w:r>
        <w:t xml:space="preserve"> </w:t>
      </w:r>
      <w:r>
        <w:t xml:space="preserve">	</w:t>
      </w:r>
      <w:r>
        <w:t xml:space="preserve">Hoffman MD, Gelman A.</w:t>
      </w:r>
      <w:r>
        <w:t xml:space="preserve"> </w:t>
      </w:r>
      <w:hyperlink r:id="rId132">
        <w:r>
          <w:rPr>
            <w:rStyle w:val="Hyperlink"/>
          </w:rPr>
          <w:t xml:space="preserve">The</w:t>
        </w:r>
        <w:r>
          <w:rPr>
            <w:rStyle w:val="Hyperlink"/>
          </w:rPr>
          <w:t xml:space="preserve"> </w:t>
        </w:r>
        <w:r>
          <w:rPr>
            <w:rStyle w:val="Hyperlink"/>
          </w:rPr>
          <w:t xml:space="preserve">No-U-Turn Sampler</w:t>
        </w:r>
        <w:r>
          <w:rPr>
            <w:rStyle w:val="Hyperlink"/>
          </w:rPr>
          <w:t xml:space="preserve">:</w:t>
        </w:r>
        <w:r>
          <w:rPr>
            <w:rStyle w:val="Hyperlink"/>
          </w:rPr>
          <w:t xml:space="preserve"> </w:t>
        </w:r>
        <w:r>
          <w:rPr>
            <w:rStyle w:val="Hyperlink"/>
          </w:rPr>
          <w:t xml:space="preserve">Adaptively Setting Path Lengths</w:t>
        </w:r>
        <w:r>
          <w:rPr>
            <w:rStyle w:val="Hyperlink"/>
          </w:rPr>
          <w:t xml:space="preserve"> </w:t>
        </w:r>
        <w:r>
          <w:rPr>
            <w:rStyle w:val="Hyperlink"/>
          </w:rPr>
          <w:t xml:space="preserve">in</w:t>
        </w:r>
        <w:r>
          <w:rPr>
            <w:rStyle w:val="Hyperlink"/>
          </w:rPr>
          <w:t xml:space="preserve"> </w:t>
        </w:r>
        <w:r>
          <w:rPr>
            <w:rStyle w:val="Hyperlink"/>
          </w:rPr>
          <w:t xml:space="preserve">Hamiltonian Monte Carlo</w:t>
        </w:r>
      </w:hyperlink>
      <w:r>
        <w:t xml:space="preserve">. arXiv; 2011.</w:t>
      </w:r>
      <w:r>
        <w:t xml:space="preserve"> </w:t>
      </w:r>
    </w:p>
    <w:bookmarkEnd w:id="133"/>
    <w:bookmarkStart w:id="134" w:name="X21bf392f662dc1b38e9a7fa4b314fc7a471696b"/>
    <w:p>
      <w:pPr>
        <w:pStyle w:val="Bibliography"/>
      </w:pPr>
      <w:r>
        <w:t xml:space="preserve">39.</w:t>
      </w:r>
      <w:r>
        <w:t xml:space="preserve"> </w:t>
      </w:r>
      <w:r>
        <w:t xml:space="preserve">	</w:t>
      </w:r>
      <w:r>
        <w:t xml:space="preserve">Gabry J, Mahr T. Bayesplot:</w:t>
      </w:r>
      <w:r>
        <w:t xml:space="preserve"> </w:t>
      </w:r>
      <w:r>
        <w:t xml:space="preserve">Plotting</w:t>
      </w:r>
      <w:r>
        <w:t xml:space="preserve"> </w:t>
      </w:r>
      <w:r>
        <w:t xml:space="preserve">for</w:t>
      </w:r>
      <w:r>
        <w:t xml:space="preserve"> </w:t>
      </w:r>
      <w:r>
        <w:t xml:space="preserve">Bayesian Models</w:t>
      </w:r>
      <w:r>
        <w:t xml:space="preserve">. 2025.</w:t>
      </w:r>
      <w:r>
        <w:t xml:space="preserve"> </w:t>
      </w:r>
    </w:p>
    <w:bookmarkEnd w:id="134"/>
    <w:bookmarkStart w:id="136" w:name="X111bb06244f8f2a1a6d0d2f1f41c24b71f248e6"/>
    <w:p>
      <w:pPr>
        <w:pStyle w:val="Bibliography"/>
      </w:pPr>
      <w:r>
        <w:t xml:space="preserve">40.</w:t>
      </w:r>
      <w:r>
        <w:t xml:space="preserve"> </w:t>
      </w:r>
      <w:r>
        <w:t xml:space="preserve">	</w:t>
      </w:r>
      <w:r>
        <w:t xml:space="preserve">Wolfgang Viechtbauer.</w:t>
      </w:r>
      <w:r>
        <w:t xml:space="preserve"> </w:t>
      </w:r>
      <w:hyperlink r:id="rId135">
        <w:r>
          <w:rPr>
            <w:rStyle w:val="Hyperlink"/>
          </w:rPr>
          <w:t xml:space="preserve">Conducting meta-analyses in</w:t>
        </w:r>
        <w:r>
          <w:rPr>
            <w:rStyle w:val="Hyperlink"/>
          </w:rPr>
          <w:t xml:space="preserve"> </w:t>
        </w:r>
        <w:r>
          <w:rPr>
            <w:rStyle w:val="Hyperlink"/>
          </w:rPr>
          <w:t xml:space="preserve"> </w:t>
        </w:r>
        <w:r>
          <w:rPr>
            <w:rStyle w:val="Hyperlink"/>
          </w:rPr>
          <w:t xml:space="preserve">with the</w:t>
        </w:r>
        <w:r>
          <w:rPr>
            <w:rStyle w:val="Hyperlink"/>
          </w:rPr>
          <w:t xml:space="preserve"> </w:t>
        </w:r>
        <w:r>
          <w:rPr>
            <w:rStyle w:val="Hyperlink"/>
          </w:rPr>
          <w:t xml:space="preserve">metafor</w:t>
        </w:r>
        <w:r>
          <w:rPr>
            <w:rStyle w:val="Hyperlink"/>
          </w:rPr>
          <w:t xml:space="preserve"> </w:t>
        </w:r>
        <w:r>
          <w:rPr>
            <w:rStyle w:val="Hyperlink"/>
          </w:rPr>
          <w:t xml:space="preserve">package</w:t>
        </w:r>
      </w:hyperlink>
      <w:r>
        <w:t xml:space="preserve">. Journal of Statistical Software. 2010;36(3):1–48.</w:t>
      </w:r>
      <w:r>
        <w:t xml:space="preserve"> </w:t>
      </w:r>
    </w:p>
    <w:bookmarkEnd w:id="136"/>
    <w:bookmarkStart w:id="138" w:name="ref-bauer2020AssociationsMetalMixture"/>
    <w:p>
      <w:pPr>
        <w:pStyle w:val="Bibliography"/>
      </w:pPr>
      <w:r>
        <w:t xml:space="preserve">41.</w:t>
      </w:r>
      <w:r>
        <w:t xml:space="preserve"> </w:t>
      </w:r>
      <w:r>
        <w:t xml:space="preserve">	</w:t>
      </w:r>
      <w:r>
        <w:t xml:space="preserve">Bauer JA, Devick KL, Bobb JF, Coull BA, Bellinger D, Benedetti C, et al.</w:t>
      </w:r>
      <w:r>
        <w:t xml:space="preserve"> </w:t>
      </w:r>
      <w:hyperlink r:id="rId137">
        <w:r>
          <w:rPr>
            <w:rStyle w:val="Hyperlink"/>
          </w:rPr>
          <w:t xml:space="preserve">Associations of a</w:t>
        </w:r>
        <w:r>
          <w:rPr>
            <w:rStyle w:val="Hyperlink"/>
          </w:rPr>
          <w:t xml:space="preserve"> </w:t>
        </w:r>
        <w:r>
          <w:rPr>
            <w:rStyle w:val="Hyperlink"/>
          </w:rPr>
          <w:t xml:space="preserve">Metal Mixture Measured</w:t>
        </w:r>
        <w:r>
          <w:rPr>
            <w:rStyle w:val="Hyperlink"/>
          </w:rPr>
          <w:t xml:space="preserve"> </w:t>
        </w:r>
        <w:r>
          <w:rPr>
            <w:rStyle w:val="Hyperlink"/>
          </w:rPr>
          <w:t xml:space="preserve">in</w:t>
        </w:r>
        <w:r>
          <w:rPr>
            <w:rStyle w:val="Hyperlink"/>
          </w:rPr>
          <w:t xml:space="preserve"> </w:t>
        </w:r>
        <w:r>
          <w:rPr>
            <w:rStyle w:val="Hyperlink"/>
          </w:rPr>
          <w:t xml:space="preserve">Multiple Biomarkers</w:t>
        </w:r>
        <w:r>
          <w:rPr>
            <w:rStyle w:val="Hyperlink"/>
          </w:rPr>
          <w:t xml:space="preserve"> </w:t>
        </w:r>
        <w:r>
          <w:rPr>
            <w:rStyle w:val="Hyperlink"/>
          </w:rPr>
          <w:t xml:space="preserve">with</w:t>
        </w:r>
        <w:r>
          <w:rPr>
            <w:rStyle w:val="Hyperlink"/>
          </w:rPr>
          <w:t xml:space="preserve"> </w:t>
        </w:r>
        <w:r>
          <w:rPr>
            <w:rStyle w:val="Hyperlink"/>
          </w:rPr>
          <w:t xml:space="preserve">IQ</w:t>
        </w:r>
        <w:r>
          <w:rPr>
            <w:rStyle w:val="Hyperlink"/>
          </w:rPr>
          <w:t xml:space="preserve">:</w:t>
        </w:r>
        <w:r>
          <w:rPr>
            <w:rStyle w:val="Hyperlink"/>
          </w:rPr>
          <w:t xml:space="preserve"> </w:t>
        </w:r>
        <w:r>
          <w:rPr>
            <w:rStyle w:val="Hyperlink"/>
          </w:rPr>
          <w:t xml:space="preserve">Evidence</w:t>
        </w:r>
        <w:r>
          <w:rPr>
            <w:rStyle w:val="Hyperlink"/>
          </w:rPr>
          <w:t xml:space="preserve"> </w:t>
        </w:r>
        <w:r>
          <w:rPr>
            <w:rStyle w:val="Hyperlink"/>
          </w:rPr>
          <w:t xml:space="preserve">from</w:t>
        </w:r>
        <w:r>
          <w:rPr>
            <w:rStyle w:val="Hyperlink"/>
          </w:rPr>
          <w:t xml:space="preserve"> </w:t>
        </w:r>
        <w:r>
          <w:rPr>
            <w:rStyle w:val="Hyperlink"/>
          </w:rPr>
          <w:t xml:space="preserve">Italian Adolescents Living</w:t>
        </w:r>
        <w:r>
          <w:rPr>
            <w:rStyle w:val="Hyperlink"/>
          </w:rPr>
          <w:t xml:space="preserve"> </w:t>
        </w:r>
        <w:r>
          <w:rPr>
            <w:rStyle w:val="Hyperlink"/>
          </w:rPr>
          <w:t xml:space="preserve">near</w:t>
        </w:r>
        <w:r>
          <w:rPr>
            <w:rStyle w:val="Hyperlink"/>
          </w:rPr>
          <w:t xml:space="preserve"> </w:t>
        </w:r>
        <w:r>
          <w:rPr>
            <w:rStyle w:val="Hyperlink"/>
          </w:rPr>
          <w:t xml:space="preserve">Ferroalloy Industry</w:t>
        </w:r>
      </w:hyperlink>
      <w:r>
        <w:t xml:space="preserve">. Environmental Health Perspectives. 2020;128(9):097002.</w:t>
      </w:r>
      <w:r>
        <w:t xml:space="preserve"> </w:t>
      </w:r>
    </w:p>
    <w:bookmarkEnd w:id="138"/>
    <w:bookmarkStart w:id="140" w:name="ref-dantzer2020ComparisonBloodToenails"/>
    <w:p>
      <w:pPr>
        <w:pStyle w:val="Bibliography"/>
      </w:pPr>
      <w:r>
        <w:t xml:space="preserve">42.</w:t>
      </w:r>
      <w:r>
        <w:t xml:space="preserve"> </w:t>
      </w:r>
      <w:r>
        <w:t xml:space="preserve">	</w:t>
      </w:r>
      <w:r>
        <w:t xml:space="preserve">Dantzer J, Ryan P, Yolton K, Parsons PJ, Palmer CD, Cecil K, et al.</w:t>
      </w:r>
      <w:r>
        <w:t xml:space="preserve"> </w:t>
      </w:r>
      <w:hyperlink r:id="rId139">
        <w:r>
          <w:rPr>
            <w:rStyle w:val="Hyperlink"/>
          </w:rPr>
          <w:t xml:space="preserve">A comparison of blood and toenails as biomarkers of children’s exposure to lead and their correlation with cognitive function</w:t>
        </w:r>
      </w:hyperlink>
      <w:r>
        <w:t xml:space="preserve">. Science of The Total Environment. 2020;700:134519.</w:t>
      </w:r>
      <w:r>
        <w:t xml:space="preserve"> </w:t>
      </w:r>
    </w:p>
    <w:bookmarkEnd w:id="140"/>
    <w:bookmarkStart w:id="142" w:name="X6bc65313eadd1b86059eb4ba10c8cf9d91be17d"/>
    <w:p>
      <w:pPr>
        <w:pStyle w:val="Bibliography"/>
      </w:pPr>
      <w:r>
        <w:t xml:space="preserve">43.</w:t>
      </w:r>
      <w:r>
        <w:t xml:space="preserve"> </w:t>
      </w:r>
      <w:r>
        <w:t xml:space="preserve">	</w:t>
      </w:r>
      <w:r>
        <w:t xml:space="preserve">Desrochers-Couture M, Oulhote Y, Arbuckle TE, Fraser WD, Séguin JR, Ouellet E, et al.</w:t>
      </w:r>
      <w:r>
        <w:t xml:space="preserve"> </w:t>
      </w:r>
      <w:hyperlink r:id="rId141">
        <w:r>
          <w:rPr>
            <w:rStyle w:val="Hyperlink"/>
          </w:rPr>
          <w:t xml:space="preserve">Prenatal, concurrent, and sex-specific associations between blood lead concentrations and</w:t>
        </w:r>
        <w:r>
          <w:rPr>
            <w:rStyle w:val="Hyperlink"/>
          </w:rPr>
          <w:t xml:space="preserve"> </w:t>
        </w:r>
        <w:r>
          <w:rPr>
            <w:rStyle w:val="Hyperlink"/>
          </w:rPr>
          <w:t xml:space="preserve">IQ</w:t>
        </w:r>
        <w:r>
          <w:rPr>
            <w:rStyle w:val="Hyperlink"/>
          </w:rPr>
          <w:t xml:space="preserve"> </w:t>
        </w:r>
        <w:r>
          <w:rPr>
            <w:rStyle w:val="Hyperlink"/>
          </w:rPr>
          <w:t xml:space="preserve">in preschool</w:t>
        </w:r>
        <w:r>
          <w:rPr>
            <w:rStyle w:val="Hyperlink"/>
          </w:rPr>
          <w:t xml:space="preserve"> </w:t>
        </w:r>
        <w:r>
          <w:rPr>
            <w:rStyle w:val="Hyperlink"/>
          </w:rPr>
          <w:t xml:space="preserve">Canadian</w:t>
        </w:r>
        <w:r>
          <w:rPr>
            <w:rStyle w:val="Hyperlink"/>
          </w:rPr>
          <w:t xml:space="preserve"> </w:t>
        </w:r>
        <w:r>
          <w:rPr>
            <w:rStyle w:val="Hyperlink"/>
          </w:rPr>
          <w:t xml:space="preserve">children</w:t>
        </w:r>
      </w:hyperlink>
      <w:r>
        <w:t xml:space="preserve">. Environment International. 2018;121:1235–42.</w:t>
      </w:r>
      <w:r>
        <w:t xml:space="preserve"> </w:t>
      </w:r>
    </w:p>
    <w:bookmarkEnd w:id="142"/>
    <w:bookmarkStart w:id="144" w:name="ref-hong2015EnvironmentalLeadExposure"/>
    <w:p>
      <w:pPr>
        <w:pStyle w:val="Bibliography"/>
      </w:pPr>
      <w:r>
        <w:t xml:space="preserve">44.</w:t>
      </w:r>
      <w:r>
        <w:t xml:space="preserve"> </w:t>
      </w:r>
      <w:r>
        <w:t xml:space="preserve">	</w:t>
      </w:r>
      <w:r>
        <w:t xml:space="preserve">Hong SB, Im MH, Kim JW, Park EJ, Shin MS, Kim BN, et al.</w:t>
      </w:r>
      <w:r>
        <w:t xml:space="preserve"> </w:t>
      </w:r>
      <w:hyperlink r:id="rId143">
        <w:r>
          <w:rPr>
            <w:rStyle w:val="Hyperlink"/>
          </w:rPr>
          <w:t xml:space="preserve">Environmental</w:t>
        </w:r>
        <w:r>
          <w:rPr>
            <w:rStyle w:val="Hyperlink"/>
          </w:rPr>
          <w:t xml:space="preserve"> </w:t>
        </w:r>
        <w:r>
          <w:rPr>
            <w:rStyle w:val="Hyperlink"/>
          </w:rPr>
          <w:t xml:space="preserve">Lead Exposure</w:t>
        </w:r>
        <w:r>
          <w:rPr>
            <w:rStyle w:val="Hyperlink"/>
          </w:rPr>
          <w:t xml:space="preserve"> </w:t>
        </w:r>
        <w:r>
          <w:rPr>
            <w:rStyle w:val="Hyperlink"/>
          </w:rPr>
          <w:t xml:space="preserve">and</w:t>
        </w:r>
        <w:r>
          <w:rPr>
            <w:rStyle w:val="Hyperlink"/>
          </w:rPr>
          <w:t xml:space="preserve"> </w:t>
        </w:r>
        <w:r>
          <w:rPr>
            <w:rStyle w:val="Hyperlink"/>
          </w:rPr>
          <w:t xml:space="preserve">Attention Deficit</w:t>
        </w:r>
        <w:r>
          <w:rPr>
            <w:rStyle w:val="Hyperlink"/>
          </w:rPr>
          <w:t xml:space="preserve">/</w:t>
        </w:r>
        <w:r>
          <w:rPr>
            <w:rStyle w:val="Hyperlink"/>
          </w:rPr>
          <w:t xml:space="preserve">Hyperactivity Disorder Symptom Domains</w:t>
        </w:r>
        <w:r>
          <w:rPr>
            <w:rStyle w:val="Hyperlink"/>
          </w:rPr>
          <w:t xml:space="preserve"> </w:t>
        </w:r>
        <w:r>
          <w:rPr>
            <w:rStyle w:val="Hyperlink"/>
          </w:rPr>
          <w:t xml:space="preserve">in a</w:t>
        </w:r>
        <w:r>
          <w:rPr>
            <w:rStyle w:val="Hyperlink"/>
          </w:rPr>
          <w:t xml:space="preserve"> </w:t>
        </w:r>
        <w:r>
          <w:rPr>
            <w:rStyle w:val="Hyperlink"/>
          </w:rPr>
          <w:t xml:space="preserve">Community Sample</w:t>
        </w:r>
        <w:r>
          <w:rPr>
            <w:rStyle w:val="Hyperlink"/>
          </w:rPr>
          <w:t xml:space="preserve"> </w:t>
        </w:r>
        <w:r>
          <w:rPr>
            <w:rStyle w:val="Hyperlink"/>
          </w:rPr>
          <w:t xml:space="preserve">of</w:t>
        </w:r>
        <w:r>
          <w:rPr>
            <w:rStyle w:val="Hyperlink"/>
          </w:rPr>
          <w:t xml:space="preserve"> </w:t>
        </w:r>
        <w:r>
          <w:rPr>
            <w:rStyle w:val="Hyperlink"/>
          </w:rPr>
          <w:t xml:space="preserve">South Korean School-Age Children</w:t>
        </w:r>
      </w:hyperlink>
      <w:r>
        <w:t xml:space="preserve">. Environmental Health Perspectives. 2015;123(3):271–6.</w:t>
      </w:r>
      <w:r>
        <w:t xml:space="preserve"> </w:t>
      </w:r>
    </w:p>
    <w:bookmarkEnd w:id="144"/>
    <w:bookmarkStart w:id="146" w:name="ref-lee2021PrenatalPostnatalExposures"/>
    <w:p>
      <w:pPr>
        <w:pStyle w:val="Bibliography"/>
      </w:pPr>
      <w:r>
        <w:t xml:space="preserve">45.</w:t>
      </w:r>
      <w:r>
        <w:t xml:space="preserve"> </w:t>
      </w:r>
      <w:r>
        <w:t xml:space="preserve">	</w:t>
      </w:r>
      <w:r>
        <w:t xml:space="preserve">Lee KS, Kim KN, Ahn YD, Choi YJ, Cho J, Jang Y, et al.</w:t>
      </w:r>
      <w:r>
        <w:t xml:space="preserve"> </w:t>
      </w:r>
      <w:hyperlink r:id="rId145">
        <w:r>
          <w:rPr>
            <w:rStyle w:val="Hyperlink"/>
          </w:rPr>
          <w:t xml:space="preserve">Prenatal and postnatal exposures to four metals mixture and</w:t>
        </w:r>
        <w:r>
          <w:rPr>
            <w:rStyle w:val="Hyperlink"/>
          </w:rPr>
          <w:t xml:space="preserve"> </w:t>
        </w:r>
        <w:r>
          <w:rPr>
            <w:rStyle w:val="Hyperlink"/>
          </w:rPr>
          <w:t xml:space="preserve">IQ</w:t>
        </w:r>
        <w:r>
          <w:rPr>
            <w:rStyle w:val="Hyperlink"/>
          </w:rPr>
          <w:t xml:space="preserve"> </w:t>
        </w:r>
        <w:r>
          <w:rPr>
            <w:rStyle w:val="Hyperlink"/>
          </w:rPr>
          <w:t xml:space="preserve">in 6-year-old children:</w:t>
        </w:r>
        <w:r>
          <w:rPr>
            <w:rStyle w:val="Hyperlink"/>
          </w:rPr>
          <w:t xml:space="preserve"> </w:t>
        </w:r>
        <w:r>
          <w:rPr>
            <w:rStyle w:val="Hyperlink"/>
          </w:rPr>
          <w:t xml:space="preserve">A</w:t>
        </w:r>
        <w:r>
          <w:rPr>
            <w:rStyle w:val="Hyperlink"/>
          </w:rPr>
          <w:t xml:space="preserve"> </w:t>
        </w:r>
        <w:r>
          <w:rPr>
            <w:rStyle w:val="Hyperlink"/>
          </w:rPr>
          <w:t xml:space="preserve">prospective cohort study in</w:t>
        </w:r>
        <w:r>
          <w:rPr>
            <w:rStyle w:val="Hyperlink"/>
          </w:rPr>
          <w:t xml:space="preserve"> </w:t>
        </w:r>
        <w:r>
          <w:rPr>
            <w:rStyle w:val="Hyperlink"/>
          </w:rPr>
          <w:t xml:space="preserve">South Korea</w:t>
        </w:r>
      </w:hyperlink>
      <w:r>
        <w:t xml:space="preserve">. Environment International. 2021;157:106798.</w:t>
      </w:r>
      <w:r>
        <w:t xml:space="preserve"> </w:t>
      </w:r>
    </w:p>
    <w:bookmarkEnd w:id="146"/>
    <w:bookmarkStart w:id="147" w:name="X33fe7de6e8b65c86af337dbdb8d7cc8651c48a8"/>
    <w:p>
      <w:pPr>
        <w:pStyle w:val="Bibliography"/>
      </w:pPr>
      <w:r>
        <w:t xml:space="preserve">46.</w:t>
      </w:r>
      <w:r>
        <w:t xml:space="preserve"> </w:t>
      </w:r>
      <w:r>
        <w:t xml:space="preserve">	</w:t>
      </w:r>
      <w:r>
        <w:t xml:space="preserve">Menezes-Filho JA, Carvalho CF, Rodrigues JLG, Araújo CFS, Dos Santos NR, Lima CS, et al.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International Journal of Environmental Research and Public Health. 2018;15(11):2418.</w:t>
      </w:r>
      <w:r>
        <w:t xml:space="preserve"> </w:t>
      </w:r>
    </w:p>
    <w:bookmarkEnd w:id="147"/>
    <w:bookmarkStart w:id="149" w:name="ref-roy2013EffectModificationTransferrin"/>
    <w:p>
      <w:pPr>
        <w:pStyle w:val="Bibliography"/>
      </w:pPr>
      <w:r>
        <w:t xml:space="preserve">47.</w:t>
      </w:r>
      <w:r>
        <w:t xml:space="preserve"> </w:t>
      </w:r>
      <w:r>
        <w:t xml:space="preserve">	</w:t>
      </w:r>
      <w:r>
        <w:t xml:space="preserve">Roy A, Ettinger AS, Hu H, Bellinger D, Schwartz J, Modali R, et al.</w:t>
      </w:r>
      <w:r>
        <w:t xml:space="preserve"> </w:t>
      </w:r>
      <w:hyperlink r:id="rId148">
        <w:r>
          <w:rPr>
            <w:rStyle w:val="Hyperlink"/>
          </w:rPr>
          <w:t xml:space="preserve">Effect modification by transferrin</w:t>
        </w:r>
        <w:r>
          <w:rPr>
            <w:rStyle w:val="Hyperlink"/>
          </w:rPr>
          <w:t xml:space="preserve"> </w:t>
        </w:r>
        <w:r>
          <w:rPr>
            <w:rStyle w:val="Hyperlink"/>
          </w:rPr>
          <w:t xml:space="preserve">C2</w:t>
        </w:r>
        <w:r>
          <w:rPr>
            <w:rStyle w:val="Hyperlink"/>
          </w:rPr>
          <w:t xml:space="preserve"> </w:t>
        </w:r>
        <w:r>
          <w:rPr>
            <w:rStyle w:val="Hyperlink"/>
          </w:rPr>
          <w:t xml:space="preserve">polymorphism on lead exposure, hemoglobin levels, and</w:t>
        </w:r>
        <w:r>
          <w:rPr>
            <w:rStyle w:val="Hyperlink"/>
          </w:rPr>
          <w:t xml:space="preserve"> </w:t>
        </w:r>
        <w:r>
          <w:rPr>
            <w:rStyle w:val="Hyperlink"/>
          </w:rPr>
          <w:t xml:space="preserve">IQ</w:t>
        </w:r>
      </w:hyperlink>
      <w:r>
        <w:t xml:space="preserve">. NeuroToxicology. 2013;38:17–22.</w:t>
      </w:r>
      <w:r>
        <w:t xml:space="preserve"> </w:t>
      </w:r>
    </w:p>
    <w:bookmarkEnd w:id="149"/>
    <w:bookmarkStart w:id="151" w:name="Xb0421be95a139ca5af39ce6040517bf1be79427"/>
    <w:p>
      <w:pPr>
        <w:pStyle w:val="Bibliography"/>
      </w:pPr>
      <w:r>
        <w:t xml:space="preserve">48.</w:t>
      </w:r>
      <w:r>
        <w:t xml:space="preserve"> </w:t>
      </w:r>
      <w:r>
        <w:t xml:space="preserve">	</w:t>
      </w:r>
      <w:r>
        <w:t xml:space="preserve">Lucchini RG, Zoni S, Guazzetti S, Bontempi E, Micheletti S, Broberg K, et al.</w:t>
      </w:r>
      <w:r>
        <w:t xml:space="preserve"> </w:t>
      </w:r>
      <w:hyperlink r:id="rId150">
        <w:r>
          <w:rPr>
            <w:rStyle w:val="Hyperlink"/>
          </w:rPr>
          <w:t xml:space="preserve">Inverse association of intellectual function with very low blood lead but not with manganese exposure in</w:t>
        </w:r>
        <w:r>
          <w:rPr>
            <w:rStyle w:val="Hyperlink"/>
          </w:rPr>
          <w:t xml:space="preserve"> </w:t>
        </w:r>
        <w:r>
          <w:rPr>
            <w:rStyle w:val="Hyperlink"/>
          </w:rPr>
          <w:t xml:space="preserve">Italian</w:t>
        </w:r>
        <w:r>
          <w:rPr>
            <w:rStyle w:val="Hyperlink"/>
          </w:rPr>
          <w:t xml:space="preserve"> </w:t>
        </w:r>
        <w:r>
          <w:rPr>
            <w:rStyle w:val="Hyperlink"/>
          </w:rPr>
          <w:t xml:space="preserve">adolescents</w:t>
        </w:r>
      </w:hyperlink>
      <w:r>
        <w:t xml:space="preserve">. Environmental Research. 2012;118:65–71.</w:t>
      </w:r>
      <w:r>
        <w:t xml:space="preserve"> </w:t>
      </w:r>
    </w:p>
    <w:bookmarkEnd w:id="151"/>
    <w:bookmarkStart w:id="153" w:name="X716dc31ca13dac7355fea3a0f7dea95779ecabb"/>
    <w:p>
      <w:pPr>
        <w:pStyle w:val="Bibliography"/>
      </w:pPr>
      <w:r>
        <w:t xml:space="preserve">49.</w:t>
      </w:r>
      <w:r>
        <w:t xml:space="preserve"> </w:t>
      </w:r>
      <w:r>
        <w:t xml:space="preserve">	</w:t>
      </w:r>
      <w:r>
        <w:t xml:space="preserve">Lucchini RG, Guazzetti S, Renzetti S, Conversano M, Cagna G, Fedrighi C, et al.</w:t>
      </w:r>
      <w:r>
        <w:t xml:space="preserve"> </w:t>
      </w:r>
      <w:hyperlink r:id="rId152">
        <w:r>
          <w:rPr>
            <w:rStyle w:val="Hyperlink"/>
          </w:rPr>
          <w:t xml:space="preserve">Neurocognitive impact of metal exposure and social stressors among schoolchildren in</w:t>
        </w:r>
        <w:r>
          <w:rPr>
            <w:rStyle w:val="Hyperlink"/>
          </w:rPr>
          <w:t xml:space="preserve"> </w:t>
        </w:r>
        <w:r>
          <w:rPr>
            <w:rStyle w:val="Hyperlink"/>
          </w:rPr>
          <w:t xml:space="preserve">Taranto</w:t>
        </w:r>
        <w:r>
          <w:rPr>
            <w:rStyle w:val="Hyperlink"/>
          </w:rPr>
          <w:t xml:space="preserve">,</w:t>
        </w:r>
        <w:r>
          <w:rPr>
            <w:rStyle w:val="Hyperlink"/>
          </w:rPr>
          <w:t xml:space="preserve"> </w:t>
        </w:r>
        <w:r>
          <w:rPr>
            <w:rStyle w:val="Hyperlink"/>
          </w:rPr>
          <w:t xml:space="preserve">Italy</w:t>
        </w:r>
      </w:hyperlink>
      <w:r>
        <w:t xml:space="preserve">. Environmental Health. 2019;18(1):67.</w:t>
      </w:r>
      <w:r>
        <w:t xml:space="preserve"> </w:t>
      </w:r>
    </w:p>
    <w:bookmarkEnd w:id="153"/>
    <w:bookmarkStart w:id="155" w:name="ref-earl2016LowlevelEnvironmentalLead"/>
    <w:p>
      <w:pPr>
        <w:pStyle w:val="Bibliography"/>
      </w:pPr>
      <w:r>
        <w:t xml:space="preserve">50.</w:t>
      </w:r>
      <w:r>
        <w:t xml:space="preserve"> </w:t>
      </w:r>
      <w:r>
        <w:t xml:space="preserve">	</w:t>
      </w:r>
      <w:r>
        <w:t xml:space="preserve">Earl R, Burns N, Nettelbeck T, Baghurst P.</w:t>
      </w:r>
      <w:r>
        <w:t xml:space="preserve"> </w:t>
      </w:r>
      <w:hyperlink r:id="rId154">
        <w:r>
          <w:rPr>
            <w:rStyle w:val="Hyperlink"/>
          </w:rPr>
          <w:t xml:space="preserve">Low-level environmental lead exposure still negatively associated with children’s cognitive abilities</w:t>
        </w:r>
      </w:hyperlink>
      <w:r>
        <w:t xml:space="preserve">. Australian Journal of Psychology. 2016;68(2):98–106.</w:t>
      </w:r>
      <w:r>
        <w:t xml:space="preserve"> </w:t>
      </w:r>
    </w:p>
    <w:bookmarkEnd w:id="155"/>
    <w:bookmarkStart w:id="157" w:name="ref-smith2018StepAwayStepwise"/>
    <w:p>
      <w:pPr>
        <w:pStyle w:val="Bibliography"/>
      </w:pPr>
      <w:r>
        <w:t xml:space="preserve">51.</w:t>
      </w:r>
      <w:r>
        <w:t xml:space="preserve"> </w:t>
      </w:r>
      <w:r>
        <w:t xml:space="preserve">	</w:t>
      </w:r>
      <w:r>
        <w:t xml:space="preserve">Smith G.</w:t>
      </w:r>
      <w:r>
        <w:t xml:space="preserve"> </w:t>
      </w:r>
      <w:hyperlink r:id="rId156">
        <w:r>
          <w:rPr>
            <w:rStyle w:val="Hyperlink"/>
          </w:rPr>
          <w:t xml:space="preserve">Step away from stepwise</w:t>
        </w:r>
      </w:hyperlink>
      <w:r>
        <w:t xml:space="preserve">. J Big Data. 2018 Dec;5(1):32.</w:t>
      </w:r>
      <w:r>
        <w:t xml:space="preserve"> </w:t>
      </w:r>
    </w:p>
    <w:bookmarkEnd w:id="157"/>
    <w:bookmarkStart w:id="159" w:name="ref-goodman2023SexDifferencePre"/>
    <w:p>
      <w:pPr>
        <w:pStyle w:val="Bibliography"/>
      </w:pPr>
      <w:r>
        <w:t xml:space="preserve">52.</w:t>
      </w:r>
      <w:r>
        <w:t xml:space="preserve"> </w:t>
      </w:r>
      <w:r>
        <w:t xml:space="preserve">	</w:t>
      </w:r>
      <w:r>
        <w:t xml:space="preserve">Goodman CV, Green R, DaCosta A, Flora D, Lanphear B, Till C.</w:t>
      </w:r>
      <w:r>
        <w:t xml:space="preserve"> </w:t>
      </w:r>
      <w:hyperlink r:id="rId158">
        <w:r>
          <w:rPr>
            <w:rStyle w:val="Hyperlink"/>
          </w:rPr>
          <w:t xml:space="preserve">Sex difference of pre- and post-natal exposure to six developmental neurotoxicants on intellectual abilities: A systematic review and meta-analysis of human studies</w:t>
        </w:r>
      </w:hyperlink>
      <w:r>
        <w:t xml:space="preserve">. Environ Health. 2023 Nov;22(1):80.</w:t>
      </w:r>
      <w:r>
        <w:t xml:space="preserve"> </w:t>
      </w:r>
    </w:p>
    <w:bookmarkEnd w:id="159"/>
    <w:bookmarkStart w:id="161" w:name="ref-pocock1994EnvironmentalLeadChildrens"/>
    <w:p>
      <w:pPr>
        <w:pStyle w:val="Bibliography"/>
      </w:pPr>
      <w:r>
        <w:t xml:space="preserve">53.</w:t>
      </w:r>
      <w:r>
        <w:t xml:space="preserve"> </w:t>
      </w:r>
      <w:r>
        <w:t xml:space="preserve">	</w:t>
      </w:r>
      <w:r>
        <w:t xml:space="preserve">Pocock SJ, Smith M, Baghurst P.</w:t>
      </w:r>
      <w:r>
        <w:t xml:space="preserve"> </w:t>
      </w:r>
      <w:hyperlink r:id="rId160">
        <w:r>
          <w:rPr>
            <w:rStyle w:val="Hyperlink"/>
          </w:rPr>
          <w:t xml:space="preserve">Environmental lead and children’s intelligence: A systematic review of the epidemiological evidence</w:t>
        </w:r>
      </w:hyperlink>
      <w:r>
        <w:t xml:space="preserve">. BMJ. 1994 Nov;309(6963):1189–97.</w:t>
      </w:r>
      <w:r>
        <w:t xml:space="preserve"> </w:t>
      </w:r>
    </w:p>
    <w:bookmarkEnd w:id="161"/>
    <w:bookmarkStart w:id="163" w:name="ref-heidari2022EffectLeadExposurea"/>
    <w:p>
      <w:pPr>
        <w:pStyle w:val="Bibliography"/>
      </w:pPr>
      <w:r>
        <w:t xml:space="preserve">54.</w:t>
      </w:r>
      <w:r>
        <w:t xml:space="preserve"> </w:t>
      </w:r>
      <w:r>
        <w:t xml:space="preserve">	</w:t>
      </w:r>
      <w:r>
        <w:t xml:space="preserve">Heidari S, Mostafaei S, Razazian N, Rajati M, Saeedi A, Rajati F.</w:t>
      </w:r>
      <w:r>
        <w:t xml:space="preserve"> </w:t>
      </w:r>
      <w:hyperlink r:id="rId162">
        <w:r>
          <w:rPr>
            <w:rStyle w:val="Hyperlink"/>
          </w:rPr>
          <w:t xml:space="preserve">The effect of lead exposure on</w:t>
        </w:r>
        <w:r>
          <w:rPr>
            <w:rStyle w:val="Hyperlink"/>
          </w:rPr>
          <w:t xml:space="preserve"> </w:t>
        </w:r>
        <w:r>
          <w:rPr>
            <w:rStyle w:val="Hyperlink"/>
          </w:rPr>
          <w:t xml:space="preserve">IQ</w:t>
        </w:r>
        <w:r>
          <w:rPr>
            <w:rStyle w:val="Hyperlink"/>
          </w:rPr>
          <w:t xml:space="preserve"> </w:t>
        </w:r>
        <w:r>
          <w:rPr>
            <w:rStyle w:val="Hyperlink"/>
          </w:rPr>
          <w:t xml:space="preserve">test scores in children under 12 years: A systematic review and meta-analysis of case-control studies</w:t>
        </w:r>
      </w:hyperlink>
      <w:r>
        <w:t xml:space="preserve">. Syst Rev. 2022 May;11(1):106.</w:t>
      </w:r>
      <w:r>
        <w:t xml:space="preserve"> </w:t>
      </w:r>
    </w:p>
    <w:bookmarkEnd w:id="163"/>
    <w:bookmarkStart w:id="165" w:name="X99fa6bd9cd2521340285769f289a6c9d4bfe17b"/>
    <w:p>
      <w:pPr>
        <w:pStyle w:val="Bibliography"/>
      </w:pPr>
      <w:r>
        <w:t xml:space="preserve">55.</w:t>
      </w:r>
      <w:r>
        <w:t xml:space="preserve"> </w:t>
      </w:r>
      <w:r>
        <w:t xml:space="preserve">	</w:t>
      </w:r>
      <w:r>
        <w:t xml:space="preserve">Thompson B.</w:t>
      </w:r>
      <w:r>
        <w:t xml:space="preserve"> </w:t>
      </w:r>
      <w:hyperlink r:id="rId164">
        <w:r>
          <w:rPr>
            <w:rStyle w:val="Hyperlink"/>
          </w:rPr>
          <w:t xml:space="preserve">Stepwise</w:t>
        </w:r>
        <w:r>
          <w:rPr>
            <w:rStyle w:val="Hyperlink"/>
          </w:rPr>
          <w:t xml:space="preserve"> </w:t>
        </w:r>
        <w:r>
          <w:rPr>
            <w:rStyle w:val="Hyperlink"/>
          </w:rPr>
          <w:t xml:space="preserve">Regression</w:t>
        </w:r>
        <w:r>
          <w:rPr>
            <w:rStyle w:val="Hyperlink"/>
          </w:rPr>
          <w:t xml:space="preserve"> </w:t>
        </w:r>
        <w:r>
          <w:rPr>
            <w:rStyle w:val="Hyperlink"/>
          </w:rPr>
          <w:t xml:space="preserve">and</w:t>
        </w:r>
        <w:r>
          <w:rPr>
            <w:rStyle w:val="Hyperlink"/>
          </w:rPr>
          <w:t xml:space="preserve"> </w:t>
        </w:r>
        <w:r>
          <w:rPr>
            <w:rStyle w:val="Hyperlink"/>
          </w:rPr>
          <w:t xml:space="preserve">Stepwise Discriminant Analysis Need Not Apply</w:t>
        </w:r>
        <w:r>
          <w:rPr>
            <w:rStyle w:val="Hyperlink"/>
          </w:rPr>
          <w:t xml:space="preserve"> </w:t>
        </w:r>
        <w:r>
          <w:rPr>
            <w:rStyle w:val="Hyperlink"/>
          </w:rPr>
          <w:t xml:space="preserve">here:</w:t>
        </w:r>
        <w:r>
          <w:rPr>
            <w:rStyle w:val="Hyperlink"/>
          </w:rPr>
          <w:t xml:space="preserve"> </w:t>
        </w:r>
        <w:r>
          <w:rPr>
            <w:rStyle w:val="Hyperlink"/>
          </w:rPr>
          <w:t xml:space="preserve">A Guidelines Editorial</w:t>
        </w:r>
      </w:hyperlink>
      <w:r>
        <w:t xml:space="preserve">. Educational and Psychological Measurement. 1995 Aug;55(4):525–34.</w:t>
      </w:r>
      <w:r>
        <w:t xml:space="preserve"> </w:t>
      </w:r>
    </w:p>
    <w:bookmarkEnd w:id="165"/>
    <w:bookmarkStart w:id="167" w:name="Xec30ec7c912152a14c0f622040312567154bf15"/>
    <w:p>
      <w:pPr>
        <w:pStyle w:val="Bibliography"/>
      </w:pPr>
      <w:r>
        <w:t xml:space="preserve">56.</w:t>
      </w:r>
      <w:r>
        <w:t xml:space="preserve"> </w:t>
      </w:r>
      <w:r>
        <w:t xml:space="preserve">	</w:t>
      </w:r>
      <w:r>
        <w:t xml:space="preserve">Harrell FE.</w:t>
      </w:r>
      <w:r>
        <w:t xml:space="preserve"> </w:t>
      </w:r>
      <w:hyperlink r:id="rId166">
        <w:r>
          <w:rPr>
            <w:rStyle w:val="Hyperlink"/>
          </w:rPr>
          <w:t xml:space="preserve">Regression</w:t>
        </w:r>
        <w:r>
          <w:rPr>
            <w:rStyle w:val="Hyperlink"/>
          </w:rPr>
          <w:t xml:space="preserve"> </w:t>
        </w:r>
        <w:r>
          <w:rPr>
            <w:rStyle w:val="Hyperlink"/>
          </w:rPr>
          <w:t xml:space="preserve">Modeling Strategies</w:t>
        </w:r>
        <w:r>
          <w:rPr>
            <w:rStyle w:val="Hyperlink"/>
          </w:rPr>
          <w:t xml:space="preserve">:</w:t>
        </w:r>
        <w:r>
          <w:rPr>
            <w:rStyle w:val="Hyperlink"/>
          </w:rPr>
          <w:t xml:space="preserve"> </w:t>
        </w:r>
        <w:r>
          <w:rPr>
            <w:rStyle w:val="Hyperlink"/>
          </w:rPr>
          <w:t xml:space="preserve">With Applications</w:t>
        </w:r>
        <w:r>
          <w:rPr>
            <w:rStyle w:val="Hyperlink"/>
          </w:rPr>
          <w:t xml:space="preserve"> </w:t>
        </w:r>
        <w:r>
          <w:rPr>
            <w:rStyle w:val="Hyperlink"/>
          </w:rPr>
          <w:t xml:space="preserve">to</w:t>
        </w:r>
        <w:r>
          <w:rPr>
            <w:rStyle w:val="Hyperlink"/>
          </w:rPr>
          <w:t xml:space="preserve"> </w:t>
        </w:r>
        <w:r>
          <w:rPr>
            <w:rStyle w:val="Hyperlink"/>
          </w:rPr>
          <w:t xml:space="preserve">Linear Models</w:t>
        </w:r>
        <w:r>
          <w:rPr>
            <w:rStyle w:val="Hyperlink"/>
          </w:rPr>
          <w:t xml:space="preserve">,</w:t>
        </w:r>
        <w:r>
          <w:rPr>
            <w:rStyle w:val="Hyperlink"/>
          </w:rPr>
          <w:t xml:space="preserve"> </w:t>
        </w:r>
        <w:r>
          <w:rPr>
            <w:rStyle w:val="Hyperlink"/>
          </w:rPr>
          <w:t xml:space="preserve">Logistic</w:t>
        </w:r>
        <w:r>
          <w:rPr>
            <w:rStyle w:val="Hyperlink"/>
          </w:rPr>
          <w:t xml:space="preserve"> </w:t>
        </w:r>
        <w:r>
          <w:rPr>
            <w:rStyle w:val="Hyperlink"/>
          </w:rPr>
          <w:t xml:space="preserve">and</w:t>
        </w:r>
        <w:r>
          <w:rPr>
            <w:rStyle w:val="Hyperlink"/>
          </w:rPr>
          <w:t xml:space="preserve"> </w:t>
        </w:r>
        <w:r>
          <w:rPr>
            <w:rStyle w:val="Hyperlink"/>
          </w:rPr>
          <w:t xml:space="preserve">Ordinal Regression</w:t>
        </w:r>
        <w:r>
          <w:rPr>
            <w:rStyle w:val="Hyperlink"/>
          </w:rPr>
          <w:t xml:space="preserve">, and</w:t>
        </w:r>
        <w:r>
          <w:rPr>
            <w:rStyle w:val="Hyperlink"/>
          </w:rPr>
          <w:t xml:space="preserve"> </w:t>
        </w:r>
        <w:r>
          <w:rPr>
            <w:rStyle w:val="Hyperlink"/>
          </w:rPr>
          <w:t xml:space="preserve">Survival Analysis</w:t>
        </w:r>
      </w:hyperlink>
      <w:r>
        <w:t xml:space="preserve">. Cham: Springer International Publishing; 2015. (Springer</w:t>
      </w:r>
      <w:r>
        <w:t xml:space="preserve"> </w:t>
      </w:r>
      <w:r>
        <w:t xml:space="preserve">Series</w:t>
      </w:r>
      <w:r>
        <w:t xml:space="preserve"> </w:t>
      </w:r>
      <w:r>
        <w:t xml:space="preserve">in</w:t>
      </w:r>
      <w:r>
        <w:t xml:space="preserve"> </w:t>
      </w:r>
      <w:r>
        <w:t xml:space="preserve">Statistics</w:t>
      </w:r>
      <w:r>
        <w:t xml:space="preserve">).</w:t>
      </w:r>
      <w:r>
        <w:t xml:space="preserve"> </w:t>
      </w:r>
    </w:p>
    <w:bookmarkEnd w:id="167"/>
    <w:bookmarkStart w:id="168" w:name="ref-gelman2013Chapter4Asymptotics"/>
    <w:p>
      <w:pPr>
        <w:pStyle w:val="Bibliography"/>
      </w:pPr>
      <w:r>
        <w:t xml:space="preserve">57.</w:t>
      </w:r>
      <w:r>
        <w:t xml:space="preserve"> </w:t>
      </w:r>
      <w:r>
        <w:t xml:space="preserve">	</w:t>
      </w:r>
      <w:r>
        <w:t xml:space="preserve">Gelman A, Carlin JB, Stern HS, David B. Dunson, Vehtari A, Rubin DB. Chapter 4 -</w:t>
      </w:r>
      <w:r>
        <w:t xml:space="preserve"> </w:t>
      </w:r>
      <w:r>
        <w:t xml:space="preserve">Asymptotics</w:t>
      </w:r>
      <w:r>
        <w:t xml:space="preserve"> </w:t>
      </w:r>
      <w:r>
        <w:t xml:space="preserve">and connections to non-</w:t>
      </w:r>
      <w:r>
        <w:t xml:space="preserve">Bayesian</w:t>
      </w:r>
      <w:r>
        <w:t xml:space="preserve"> </w:t>
      </w:r>
      <w:r>
        <w:t xml:space="preserve">approaches. In: Bayesian</w:t>
      </w:r>
      <w:r>
        <w:t xml:space="preserve"> </w:t>
      </w:r>
      <w:r>
        <w:t xml:space="preserve">Data Analysis</w:t>
      </w:r>
      <w:r>
        <w:t xml:space="preserve">. 0th ed.</w:t>
      </w:r>
      <w:r>
        <w:t xml:space="preserve"> </w:t>
      </w:r>
      <w:r>
        <w:t xml:space="preserve">Chapman and Hall/CRC</w:t>
      </w:r>
      <w:r>
        <w:t xml:space="preserve">; 2013.</w:t>
      </w:r>
      <w:r>
        <w:t xml:space="preserve"> </w:t>
      </w:r>
    </w:p>
    <w:bookmarkEnd w:id="168"/>
    <w:bookmarkStart w:id="170" w:name="ref-gelman2020BayesianWorkflow"/>
    <w:p>
      <w:pPr>
        <w:pStyle w:val="Bibliography"/>
      </w:pPr>
      <w:r>
        <w:t xml:space="preserve">58.</w:t>
      </w:r>
      <w:r>
        <w:t xml:space="preserve"> </w:t>
      </w:r>
      <w:r>
        <w:t xml:space="preserve">	</w:t>
      </w:r>
      <w:r>
        <w:t xml:space="preserve">Gelman A, Vehtari A, Simpson D, Margossian CC, Carpenter B, Yao Y, et al.</w:t>
      </w:r>
      <w:r>
        <w:t xml:space="preserve"> </w:t>
      </w:r>
      <w:hyperlink r:id="rId169">
        <w:r>
          <w:rPr>
            <w:rStyle w:val="Hyperlink"/>
          </w:rPr>
          <w:t xml:space="preserve">Bayesian</w:t>
        </w:r>
        <w:r>
          <w:rPr>
            <w:rStyle w:val="Hyperlink"/>
          </w:rPr>
          <w:t xml:space="preserve"> </w:t>
        </w:r>
        <w:r>
          <w:rPr>
            <w:rStyle w:val="Hyperlink"/>
          </w:rPr>
          <w:t xml:space="preserve">Workflow</w:t>
        </w:r>
      </w:hyperlink>
      <w:r>
        <w:t xml:space="preserve">. arXiv; 2020.</w:t>
      </w:r>
      <w:r>
        <w:t xml:space="preserve"> </w:t>
      </w:r>
    </w:p>
    <w:bookmarkEnd w:id="170"/>
    <w:bookmarkStart w:id="171" w:name="Xd915bcb040430c17655975a5ceb4d7b4bdd04ac"/>
    <w:p>
      <w:pPr>
        <w:pStyle w:val="Bibliography"/>
      </w:pPr>
      <w:r>
        <w:t xml:space="preserve">59.</w:t>
      </w:r>
      <w:r>
        <w:t xml:space="preserve"> </w:t>
      </w:r>
      <w:r>
        <w:t xml:space="preserve">	</w:t>
      </w:r>
      <w:r>
        <w:t xml:space="preserve">Prüss-Üstün A, Mathers C, Corvalán C, Woodward A. Assessing the environmental burden of disease at national and local levels: Introduction and methods. Environmental burden of disease series. 2003;(1).</w:t>
      </w:r>
      <w:r>
        <w:t xml:space="preserve"> </w:t>
      </w:r>
    </w:p>
    <w:bookmarkEnd w:id="171"/>
    <w:bookmarkStart w:id="173" w:name="ref-kazi2026PvaluesBayesFactor"/>
    <w:p>
      <w:pPr>
        <w:pStyle w:val="Bibliography"/>
      </w:pPr>
      <w:r>
        <w:t xml:space="preserve">60.</w:t>
      </w:r>
      <w:r>
        <w:t xml:space="preserve"> </w:t>
      </w:r>
      <w:r>
        <w:t xml:space="preserve">	</w:t>
      </w:r>
      <w:r>
        <w:t xml:space="preserve">Kazi M.</w:t>
      </w:r>
      <w:r>
        <w:t xml:space="preserve"> </w:t>
      </w:r>
      <w:hyperlink r:id="rId172">
        <w:r>
          <w:rPr>
            <w:rStyle w:val="Hyperlink"/>
          </w:rPr>
          <w:t xml:space="preserve">From p-values to</w:t>
        </w:r>
        <w:r>
          <w:rPr>
            <w:rStyle w:val="Hyperlink"/>
          </w:rPr>
          <w:t xml:space="preserve"> </w:t>
        </w:r>
        <w:r>
          <w:rPr>
            <w:rStyle w:val="Hyperlink"/>
          </w:rPr>
          <w:t xml:space="preserve">Bayes Factor</w:t>
        </w:r>
        <w:r>
          <w:rPr>
            <w:rStyle w:val="Hyperlink"/>
          </w:rPr>
          <w:t xml:space="preserve">:</w:t>
        </w:r>
        <w:r>
          <w:rPr>
            <w:rStyle w:val="Hyperlink"/>
          </w:rPr>
          <w:t xml:space="preserve"> </w:t>
        </w:r>
        <w:r>
          <w:rPr>
            <w:rStyle w:val="Hyperlink"/>
          </w:rPr>
          <w:t xml:space="preserve">A Meta-Analytic Comparison</w:t>
        </w:r>
        <w:r>
          <w:rPr>
            <w:rStyle w:val="Hyperlink"/>
          </w:rPr>
          <w:t xml:space="preserve"> </w:t>
        </w:r>
        <w:r>
          <w:rPr>
            <w:rStyle w:val="Hyperlink"/>
          </w:rPr>
          <w:t xml:space="preserve">in</w:t>
        </w:r>
        <w:r>
          <w:rPr>
            <w:rStyle w:val="Hyperlink"/>
          </w:rPr>
          <w:t xml:space="preserve"> </w:t>
        </w:r>
        <w:r>
          <w:rPr>
            <w:rStyle w:val="Hyperlink"/>
          </w:rPr>
          <w:t xml:space="preserve">Colorectal Research</w:t>
        </w:r>
      </w:hyperlink>
      <w:r>
        <w:t xml:space="preserve">. Indian J Surg Oncol. 2026 Jan;17(1):241–8.</w:t>
      </w:r>
      <w:r>
        <w:t xml:space="preserve"> </w:t>
      </w:r>
    </w:p>
    <w:bookmarkEnd w:id="173"/>
    <w:bookmarkStart w:id="175" w:name="X946754e67e3c74fad7a8806aa9d2819ed4ec186"/>
    <w:p>
      <w:pPr>
        <w:pStyle w:val="Bibliography"/>
      </w:pPr>
      <w:r>
        <w:t xml:space="preserve">61.</w:t>
      </w:r>
      <w:r>
        <w:t xml:space="preserve"> </w:t>
      </w:r>
      <w:r>
        <w:t xml:space="preserve">	</w:t>
      </w:r>
      <w:r>
        <w:t xml:space="preserve">Yao M, Deng K, Wang Y, Mei F, Zou K, Li L, et al.</w:t>
      </w:r>
      <w:r>
        <w:t xml:space="preserve"> </w:t>
      </w:r>
      <w:hyperlink r:id="rId174">
        <w:r>
          <w:rPr>
            <w:rStyle w:val="Hyperlink"/>
          </w:rPr>
          <w:t xml:space="preserve">Random-effects meta-analysis models for pooling rare events data: A comparison between frequentist and bayesian methods</w:t>
        </w:r>
      </w:hyperlink>
      <w:r>
        <w:t xml:space="preserve">. BMC Med Res Methodol. 2025 Oct;25(1):228.</w:t>
      </w:r>
      <w:r>
        <w:t xml:space="preserve"> </w:t>
      </w:r>
    </w:p>
    <w:bookmarkEnd w:id="175"/>
    <w:bookmarkStart w:id="177" w:name="ref-ciyer2025BayesianMetaanalysis21st"/>
    <w:p>
      <w:pPr>
        <w:pStyle w:val="Bibliography"/>
      </w:pPr>
      <w:r>
        <w:t xml:space="preserve">62.</w:t>
      </w:r>
      <w:r>
        <w:t xml:space="preserve"> </w:t>
      </w:r>
      <w:r>
        <w:t xml:space="preserve">	</w:t>
      </w:r>
      <w:r>
        <w:t xml:space="preserve">C Iyer S, Yap QV, Soong J, Cove M.</w:t>
      </w:r>
      <w:r>
        <w:t xml:space="preserve"> </w:t>
      </w:r>
      <w:hyperlink r:id="rId176">
        <w:r>
          <w:rPr>
            <w:rStyle w:val="Hyperlink"/>
          </w:rPr>
          <w:t xml:space="preserve">Bayesian meta-analysis in the 21st century:</w:t>
        </w:r>
        <w:r>
          <w:rPr>
            <w:rStyle w:val="Hyperlink"/>
          </w:rPr>
          <w:t xml:space="preserve"> </w:t>
        </w:r>
        <w:r>
          <w:rPr>
            <w:rStyle w:val="Hyperlink"/>
          </w:rPr>
          <w:t xml:space="preserve">Fad</w:t>
        </w:r>
        <w:r>
          <w:rPr>
            <w:rStyle w:val="Hyperlink"/>
          </w:rPr>
          <w:t xml:space="preserve"> </w:t>
        </w:r>
        <w:r>
          <w:rPr>
            <w:rStyle w:val="Hyperlink"/>
          </w:rPr>
          <w:t xml:space="preserve">or future of evidence synthesis?</w:t>
        </w:r>
      </w:hyperlink>
      <w:r>
        <w:t xml:space="preserve"> Ann Acad Med Singap. 2025 Jul;54(7):437.</w:t>
      </w:r>
      <w:r>
        <w:t xml:space="preserve"> </w:t>
      </w:r>
    </w:p>
    <w:bookmarkEnd w:id="177"/>
    <w:bookmarkStart w:id="179" w:name="ref-hong2013ComparingBayesianFrequentist"/>
    <w:p>
      <w:pPr>
        <w:pStyle w:val="Bibliography"/>
      </w:pPr>
      <w:r>
        <w:t xml:space="preserve">63.</w:t>
      </w:r>
      <w:r>
        <w:t xml:space="preserve"> </w:t>
      </w:r>
      <w:r>
        <w:t xml:space="preserve">	</w:t>
      </w:r>
      <w:r>
        <w:t xml:space="preserve">Hong H, Carlin BP, Shamliyan TA, Wyman JF, Ramakrishnan R, Sainfort F, et al.</w:t>
      </w:r>
      <w:r>
        <w:t xml:space="preserve"> </w:t>
      </w:r>
      <w:hyperlink r:id="rId178">
        <w:r>
          <w:rPr>
            <w:rStyle w:val="Hyperlink"/>
          </w:rPr>
          <w:t xml:space="preserve">Comparing</w:t>
        </w:r>
        <w:r>
          <w:rPr>
            <w:rStyle w:val="Hyperlink"/>
          </w:rPr>
          <w:t xml:space="preserve"> </w:t>
        </w:r>
        <w:r>
          <w:rPr>
            <w:rStyle w:val="Hyperlink"/>
          </w:rPr>
          <w:t xml:space="preserve">Bayesian</w:t>
        </w:r>
        <w:r>
          <w:rPr>
            <w:rStyle w:val="Hyperlink"/>
          </w:rPr>
          <w:t xml:space="preserve"> </w:t>
        </w:r>
        <w:r>
          <w:rPr>
            <w:rStyle w:val="Hyperlink"/>
          </w:rPr>
          <w:t xml:space="preserve">and</w:t>
        </w:r>
        <w:r>
          <w:rPr>
            <w:rStyle w:val="Hyperlink"/>
          </w:rPr>
          <w:t xml:space="preserve"> </w:t>
        </w:r>
        <w:r>
          <w:rPr>
            <w:rStyle w:val="Hyperlink"/>
          </w:rPr>
          <w:t xml:space="preserve">Frequentist Approaches</w:t>
        </w:r>
        <w:r>
          <w:rPr>
            <w:rStyle w:val="Hyperlink"/>
          </w:rPr>
          <w:t xml:space="preserve"> </w:t>
        </w:r>
        <w:r>
          <w:rPr>
            <w:rStyle w:val="Hyperlink"/>
          </w:rPr>
          <w:t xml:space="preserve">for</w:t>
        </w:r>
        <w:r>
          <w:rPr>
            <w:rStyle w:val="Hyperlink"/>
          </w:rPr>
          <w:t xml:space="preserve"> </w:t>
        </w:r>
        <w:r>
          <w:rPr>
            <w:rStyle w:val="Hyperlink"/>
          </w:rPr>
          <w:t xml:space="preserve">Multiple Outcome Mixed Treatment Comparisons</w:t>
        </w:r>
      </w:hyperlink>
      <w:r>
        <w:t xml:space="preserve">. Med Decis Making. 2013 Jul;33(5):702–14.</w:t>
      </w:r>
      <w:r>
        <w:t xml:space="preserve"> </w:t>
      </w:r>
    </w:p>
    <w:bookmarkEnd w:id="179"/>
    <w:bookmarkStart w:id="181" w:name="ref-sadeghirad2023TheoryPracticeBayesian"/>
    <w:p>
      <w:pPr>
        <w:pStyle w:val="Bibliography"/>
      </w:pPr>
      <w:r>
        <w:t xml:space="preserve">64.</w:t>
      </w:r>
      <w:r>
        <w:t xml:space="preserve"> </w:t>
      </w:r>
      <w:r>
        <w:t xml:space="preserve">	</w:t>
      </w:r>
      <w:r>
        <w:t xml:space="preserve">Sadeghirad B, Foroutan F, Zoratti MJ, Busse JW, Brignardello-Petersen R, Guyatt G, et al.</w:t>
      </w:r>
      <w:r>
        <w:t xml:space="preserve"> </w:t>
      </w:r>
      <w:hyperlink r:id="rId180">
        <w:r>
          <w:rPr>
            <w:rStyle w:val="Hyperlink"/>
          </w:rPr>
          <w:t xml:space="preserve">Theory and practice of</w:t>
        </w:r>
        <w:r>
          <w:rPr>
            <w:rStyle w:val="Hyperlink"/>
          </w:rPr>
          <w:t xml:space="preserve"> </w:t>
        </w:r>
        <w:r>
          <w:rPr>
            <w:rStyle w:val="Hyperlink"/>
          </w:rPr>
          <w:t xml:space="preserve">Bayesian</w:t>
        </w:r>
        <w:r>
          <w:rPr>
            <w:rStyle w:val="Hyperlink"/>
          </w:rPr>
          <w:t xml:space="preserve"> </w:t>
        </w:r>
        <w:r>
          <w:rPr>
            <w:rStyle w:val="Hyperlink"/>
          </w:rPr>
          <w:t xml:space="preserve">and frequentist frameworks for network meta-analysis</w:t>
        </w:r>
      </w:hyperlink>
      <w:r>
        <w:t xml:space="preserve">. BMJ EBM. 2023 Jun;28(3):204–9.</w:t>
      </w:r>
      <w:r>
        <w:t xml:space="preserve"> </w:t>
      </w:r>
    </w:p>
    <w:bookmarkEnd w:id="181"/>
    <w:bookmarkStart w:id="183" w:name="X55ae1a8b757df519e0a47e2002b3acc0b2e73ec"/>
    <w:p>
      <w:pPr>
        <w:pStyle w:val="Bibliography"/>
      </w:pPr>
      <w:r>
        <w:t xml:space="preserve">65.</w:t>
      </w:r>
      <w:r>
        <w:t xml:space="preserve"> </w:t>
      </w:r>
      <w:r>
        <w:t xml:space="preserve">	</w:t>
      </w:r>
      <w:r>
        <w:t xml:space="preserve">Seide SE, Jensen K, Kieser M.</w:t>
      </w:r>
      <w:r>
        <w:t xml:space="preserve"> </w:t>
      </w:r>
      <w:hyperlink r:id="rId182">
        <w:r>
          <w:rPr>
            <w:rStyle w:val="Hyperlink"/>
          </w:rPr>
          <w:t xml:space="preserve">A comparison of</w:t>
        </w:r>
        <w:r>
          <w:rPr>
            <w:rStyle w:val="Hyperlink"/>
          </w:rPr>
          <w:t xml:space="preserve"> </w:t>
        </w:r>
        <w:r>
          <w:rPr>
            <w:rStyle w:val="Hyperlink"/>
          </w:rPr>
          <w:t xml:space="preserve">Bayesian</w:t>
        </w:r>
        <w:r>
          <w:rPr>
            <w:rStyle w:val="Hyperlink"/>
          </w:rPr>
          <w:t xml:space="preserve"> </w:t>
        </w:r>
        <w:r>
          <w:rPr>
            <w:rStyle w:val="Hyperlink"/>
          </w:rPr>
          <w:t xml:space="preserve">and frequentist methods in random-effects network meta-analysis of binary data</w:t>
        </w:r>
      </w:hyperlink>
      <w:r>
        <w:t xml:space="preserve">. Research Synthesis Methods. 2020 May;11(3):363–78.</w:t>
      </w:r>
      <w:r>
        <w:t xml:space="preserve"> </w:t>
      </w:r>
    </w:p>
    <w:bookmarkEnd w:id="183"/>
    <w:bookmarkEnd w:id="184"/>
    <w:bookmarkEnd w:id="185"/>
    <w:sectPr>
      <w:footerReference r:id="rId9"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1" Target="media/rId51.png" /><Relationship Type="http://schemas.openxmlformats.org/officeDocument/2006/relationships/image" Id="rId46" Target="media/rId46.png" /><Relationship Type="http://schemas.openxmlformats.org/officeDocument/2006/relationships/hyperlink" Id="rId88" Target="https://doi.org/10.1001/jama.1990.03440050067035" TargetMode="External" /><Relationship Type="http://schemas.openxmlformats.org/officeDocument/2006/relationships/hyperlink" Id="rId182" Target="https://doi.org/10.1002/jrsm.1397" TargetMode="External" /><Relationship Type="http://schemas.openxmlformats.org/officeDocument/2006/relationships/hyperlink" Id="rId99" Target="https://doi.org/10.1006/enrs.1994.1020" TargetMode="External" /><Relationship Type="http://schemas.openxmlformats.org/officeDocument/2006/relationships/hyperlink" Id="rId166" Target="https://doi.org/10.1007/978-3-319-19425-7" TargetMode="External" /><Relationship Type="http://schemas.openxmlformats.org/officeDocument/2006/relationships/hyperlink" Id="rId82" Target="https://doi.org/10.1007/s11121-023-01601-6" TargetMode="External" /><Relationship Type="http://schemas.openxmlformats.org/officeDocument/2006/relationships/hyperlink" Id="rId68" Target="https://doi.org/10.1007/s12403-023-00535-2" TargetMode="External" /><Relationship Type="http://schemas.openxmlformats.org/officeDocument/2006/relationships/hyperlink" Id="rId172" Target="https://doi.org/10.1007/s13193-025-02314-8" TargetMode="External" /><Relationship Type="http://schemas.openxmlformats.org/officeDocument/2006/relationships/hyperlink" Id="rId70" Target="https://doi.org/10.1016/S0140-6736(24)00933-4" TargetMode="External" /><Relationship Type="http://schemas.openxmlformats.org/officeDocument/2006/relationships/hyperlink" Id="rId78" Target="https://doi.org/10.1016/S2468-2667(18)30025-2" TargetMode="External" /><Relationship Type="http://schemas.openxmlformats.org/officeDocument/2006/relationships/hyperlink" Id="rId94" Target="https://doi.org/10.1016/S2542-5196(23)00166-3" TargetMode="External" /><Relationship Type="http://schemas.openxmlformats.org/officeDocument/2006/relationships/hyperlink" Id="rId64" Target="https://doi.org/10.1016/j.chemosphere.2023.138207" TargetMode="External" /><Relationship Type="http://schemas.openxmlformats.org/officeDocument/2006/relationships/hyperlink" Id="rId74" Target="https://doi.org/10.1016/j.ecoenv.2022.113257" TargetMode="External" /><Relationship Type="http://schemas.openxmlformats.org/officeDocument/2006/relationships/hyperlink" Id="rId141" Target="https://doi.org/10.1016/j.envint.2018.10.043" TargetMode="External" /><Relationship Type="http://schemas.openxmlformats.org/officeDocument/2006/relationships/hyperlink" Id="rId145" Target="https://doi.org/10.1016/j.envint.2021.106798" TargetMode="External" /><Relationship Type="http://schemas.openxmlformats.org/officeDocument/2006/relationships/hyperlink" Id="rId84" Target="https://doi.org/10.1016/j.envint.2025.109786" TargetMode="External" /><Relationship Type="http://schemas.openxmlformats.org/officeDocument/2006/relationships/hyperlink" Id="rId80" Target="https://doi.org/10.1016/j.envres.2005.10.004" TargetMode="External" /><Relationship Type="http://schemas.openxmlformats.org/officeDocument/2006/relationships/hyperlink" Id="rId150" Target="https://doi.org/10.1016/j.envres.2012.08.003" TargetMode="External" /><Relationship Type="http://schemas.openxmlformats.org/officeDocument/2006/relationships/hyperlink" Id="rId103" Target="https://doi.org/10.1016/j.envres.2019.02.023" TargetMode="External" /><Relationship Type="http://schemas.openxmlformats.org/officeDocument/2006/relationships/hyperlink" Id="rId105" Target="https://doi.org/10.1016/j.envres.2024.120013" TargetMode="External" /><Relationship Type="http://schemas.openxmlformats.org/officeDocument/2006/relationships/hyperlink" Id="rId148" Target="https://doi.org/10.1016/j.neuro.2013.05.005" TargetMode="External" /><Relationship Type="http://schemas.openxmlformats.org/officeDocument/2006/relationships/hyperlink" Id="rId139" Target="https://doi.org/10.1016/j.scitotenv.2019.134519" TargetMode="External" /><Relationship Type="http://schemas.openxmlformats.org/officeDocument/2006/relationships/hyperlink" Id="rId123" Target="https://doi.org/10.1038/s41370-022-00450-9" TargetMode="External" /><Relationship Type="http://schemas.openxmlformats.org/officeDocument/2006/relationships/hyperlink" Id="rId27" Target="https://doi.org/10.1038/s41562-021-01177-7" TargetMode="External" /><Relationship Type="http://schemas.openxmlformats.org/officeDocument/2006/relationships/hyperlink" Id="rId62" Target="https://doi.org/10.1038/s41598-025-17943-w" TargetMode="External" /><Relationship Type="http://schemas.openxmlformats.org/officeDocument/2006/relationships/hyperlink" Id="rId72" Target="https://doi.org/10.1053/j.ajkd.2018.02.358" TargetMode="External" /><Relationship Type="http://schemas.openxmlformats.org/officeDocument/2006/relationships/hyperlink" Id="rId86" Target="https://doi.org/10.1056/NEJM199210293271805" TargetMode="External" /><Relationship Type="http://schemas.openxmlformats.org/officeDocument/2006/relationships/hyperlink" Id="rId101" Target="https://doi.org/10.1056/NEJMoa022848" TargetMode="External" /><Relationship Type="http://schemas.openxmlformats.org/officeDocument/2006/relationships/hyperlink" Id="rId107" Target="https://doi.org/10.1073/pnas.2118631119" TargetMode="External" /><Relationship Type="http://schemas.openxmlformats.org/officeDocument/2006/relationships/hyperlink" Id="rId154" Target="https://doi.org/10.1111/ajpy.12096" TargetMode="External" /><Relationship Type="http://schemas.openxmlformats.org/officeDocument/2006/relationships/hyperlink" Id="rId160" Target="https://doi.org/10.1136/bmj.309.6963.1189" TargetMode="External" /><Relationship Type="http://schemas.openxmlformats.org/officeDocument/2006/relationships/hyperlink" Id="rId117" Target="https://doi.org/10.1136/bmj.n71" TargetMode="External" /><Relationship Type="http://schemas.openxmlformats.org/officeDocument/2006/relationships/hyperlink" Id="rId180" Target="https://doi.org/10.1136/bmjebm-2022-111928" TargetMode="External" /><Relationship Type="http://schemas.openxmlformats.org/officeDocument/2006/relationships/hyperlink" Id="rId76" Target="https://doi.org/10.1161/JAHA.124.037633" TargetMode="External" /><Relationship Type="http://schemas.openxmlformats.org/officeDocument/2006/relationships/hyperlink" Id="rId164" Target="https://doi.org/10.1177/0013164495055004001" TargetMode="External" /><Relationship Type="http://schemas.openxmlformats.org/officeDocument/2006/relationships/hyperlink" Id="rId178" Target="https://doi.org/10.1177/0272989X13481110" TargetMode="External" /><Relationship Type="http://schemas.openxmlformats.org/officeDocument/2006/relationships/hyperlink" Id="rId174" Target="https://doi.org/10.1186/s12874-025-02664-5" TargetMode="External" /><Relationship Type="http://schemas.openxmlformats.org/officeDocument/2006/relationships/hyperlink" Id="rId152" Target="https://doi.org/10.1186/s12940-019-0505-3" TargetMode="External" /><Relationship Type="http://schemas.openxmlformats.org/officeDocument/2006/relationships/hyperlink" Id="rId158" Target="https://doi.org/10.1186/s12940-023-01029-z" TargetMode="External" /><Relationship Type="http://schemas.openxmlformats.org/officeDocument/2006/relationships/hyperlink" Id="rId162" Target="https://doi.org/10.1186/s13643-022-01963-y" TargetMode="External" /><Relationship Type="http://schemas.openxmlformats.org/officeDocument/2006/relationships/hyperlink" Id="rId156" Target="https://doi.org/10.1186/s40537-018-0143-6" TargetMode="External" /><Relationship Type="http://schemas.openxmlformats.org/officeDocument/2006/relationships/hyperlink" Id="rId113" Target="https://doi.org/10.1201/9781003375821" TargetMode="External" /><Relationship Type="http://schemas.openxmlformats.org/officeDocument/2006/relationships/hyperlink" Id="rId111" Target="https://doi.org/10.1289/EHP5685" TargetMode="External" /><Relationship Type="http://schemas.openxmlformats.org/officeDocument/2006/relationships/hyperlink" Id="rId127" Target="https://doi.org/10.1289/ehp.8552" TargetMode="External" /><Relationship Type="http://schemas.openxmlformats.org/officeDocument/2006/relationships/hyperlink" Id="rId90" Target="https://doi.org/10.1542/peds.90.6.855" TargetMode="External" /><Relationship Type="http://schemas.openxmlformats.org/officeDocument/2006/relationships/hyperlink" Id="rId135" Target="https://doi.org/10.18637/jss.v036.i03" TargetMode="External" /><Relationship Type="http://schemas.openxmlformats.org/officeDocument/2006/relationships/hyperlink" Id="rId130" Target="https://doi.org/10.18637/jss.v080.i01" TargetMode="External" /><Relationship Type="http://schemas.openxmlformats.org/officeDocument/2006/relationships/hyperlink" Id="rId97" Target="https://doi.org/10.2903/j.efsa.2010.1570" TargetMode="External" /><Relationship Type="http://schemas.openxmlformats.org/officeDocument/2006/relationships/hyperlink" Id="rId66" Target="https://doi.org/10.2903/j.efsa.2012.2831" TargetMode="External" /><Relationship Type="http://schemas.openxmlformats.org/officeDocument/2006/relationships/hyperlink" Id="rId121" Target="https://doi.org/10.2903/sp.efsa.2024.EN-8925" TargetMode="External" /><Relationship Type="http://schemas.openxmlformats.org/officeDocument/2006/relationships/hyperlink" Id="rId109" Target="https://doi.org/10.3109/10408444.2013.832726" TargetMode="External" /><Relationship Type="http://schemas.openxmlformats.org/officeDocument/2006/relationships/hyperlink" Id="rId115" Target="https://doi.org/10.3758/s13423-013-0572-3" TargetMode="External" /><Relationship Type="http://schemas.openxmlformats.org/officeDocument/2006/relationships/hyperlink" Id="rId176" Target="https://doi.org/10.47102/annals-acadmedsg.2025104" TargetMode="External" /><Relationship Type="http://schemas.openxmlformats.org/officeDocument/2006/relationships/hyperlink" Id="rId132" Target="https://doi.org/10.48550/ARXIV.1111.4246" TargetMode="External" /><Relationship Type="http://schemas.openxmlformats.org/officeDocument/2006/relationships/hyperlink" Id="rId169" Target="https://doi.org/10.48550/ARXIV.2011.01808" TargetMode="External" /><Relationship Type="http://schemas.openxmlformats.org/officeDocument/2006/relationships/hyperlink" Id="rId137" Target="https://doi.org/doi:10.1289/EHP6803" TargetMode="External" /><Relationship Type="http://schemas.openxmlformats.org/officeDocument/2006/relationships/hyperlink" Id="rId143" Target="https://doi.org/doi:10.1289/ehp.1307420" TargetMode="External" /><Relationship Type="http://schemas.openxmlformats.org/officeDocument/2006/relationships/hyperlink" Id="rId125" Target="https://doi.org/doi:10.1289/ehp.7625" TargetMode="External" /><Relationship Type="http://schemas.openxmlformats.org/officeDocument/2006/relationships/hyperlink" Id="rId92" Target="https://doi.org/doi:10.1289/ehp.7688" TargetMode="External" /><Relationship Type="http://schemas.openxmlformats.org/officeDocument/2006/relationships/hyperlink" Id="rId23" Target="https://edmgr.ovid.com/ee/accounts/ifauth.htm" TargetMode="External" /><Relationship Type="http://schemas.openxmlformats.org/officeDocument/2006/relationships/hyperlink" Id="rId28" Target="https://efsa.onlinelibrary.wiley.com/doi/10.2903/sp.efsa.2024.EN-8925" TargetMode="External" /><Relationship Type="http://schemas.openxmlformats.org/officeDocument/2006/relationships/hyperlink" Id="rId37" Target="https://github.com/PaulinaSell/lead-IQ_meta-analysis" TargetMode="External" /><Relationship Type="http://schemas.openxmlformats.org/officeDocument/2006/relationships/hyperlink" Id="rId22" Target="https://link.springer.com/journal/12940" TargetMode="External" /><Relationship Type="http://schemas.openxmlformats.org/officeDocument/2006/relationships/hyperlink" Id="rId32" Target="https://www.eu-parc.eu" TargetMode="External" /><Relationship Type="http://schemas.openxmlformats.org/officeDocument/2006/relationships/hyperlink" Id="rId26" Target="https://www.prisma-statement.org/prisma-2020" TargetMode="External" /><Relationship Type="http://schemas.openxmlformats.org/officeDocument/2006/relationships/hyperlink" Id="rId21" Target="https://www.sciencedirect.com/journal/environment-international" TargetMode="External" /><Relationship Type="http://schemas.openxmlformats.org/officeDocument/2006/relationships/hyperlink" Id="rId25" Target="https://www.sciencedirect.com/journal/environmental-research" TargetMode="External" /><Relationship Type="http://schemas.openxmlformats.org/officeDocument/2006/relationships/hyperlink" Id="rId24" Target="https://www.sciencedirect.com/journal/international-journal-of-hygiene-and-environmental-health" TargetMode="External" /><Relationship Type="http://schemas.openxmlformats.org/officeDocument/2006/relationships/hyperlink" Id="rId20"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88" Target="https://doi.org/10.1001/jama.1990.03440050067035" TargetMode="External" /><Relationship Type="http://schemas.openxmlformats.org/officeDocument/2006/relationships/hyperlink" Id="rId182" Target="https://doi.org/10.1002/jrsm.1397" TargetMode="External" /><Relationship Type="http://schemas.openxmlformats.org/officeDocument/2006/relationships/hyperlink" Id="rId99" Target="https://doi.org/10.1006/enrs.1994.1020" TargetMode="External" /><Relationship Type="http://schemas.openxmlformats.org/officeDocument/2006/relationships/hyperlink" Id="rId166" Target="https://doi.org/10.1007/978-3-319-19425-7" TargetMode="External" /><Relationship Type="http://schemas.openxmlformats.org/officeDocument/2006/relationships/hyperlink" Id="rId82" Target="https://doi.org/10.1007/s11121-023-01601-6" TargetMode="External" /><Relationship Type="http://schemas.openxmlformats.org/officeDocument/2006/relationships/hyperlink" Id="rId68" Target="https://doi.org/10.1007/s12403-023-00535-2" TargetMode="External" /><Relationship Type="http://schemas.openxmlformats.org/officeDocument/2006/relationships/hyperlink" Id="rId172" Target="https://doi.org/10.1007/s13193-025-02314-8" TargetMode="External" /><Relationship Type="http://schemas.openxmlformats.org/officeDocument/2006/relationships/hyperlink" Id="rId70" Target="https://doi.org/10.1016/S0140-6736(24)00933-4" TargetMode="External" /><Relationship Type="http://schemas.openxmlformats.org/officeDocument/2006/relationships/hyperlink" Id="rId78" Target="https://doi.org/10.1016/S2468-2667(18)30025-2" TargetMode="External" /><Relationship Type="http://schemas.openxmlformats.org/officeDocument/2006/relationships/hyperlink" Id="rId94" Target="https://doi.org/10.1016/S2542-5196(23)00166-3" TargetMode="External" /><Relationship Type="http://schemas.openxmlformats.org/officeDocument/2006/relationships/hyperlink" Id="rId64" Target="https://doi.org/10.1016/j.chemosphere.2023.138207" TargetMode="External" /><Relationship Type="http://schemas.openxmlformats.org/officeDocument/2006/relationships/hyperlink" Id="rId74" Target="https://doi.org/10.1016/j.ecoenv.2022.113257" TargetMode="External" /><Relationship Type="http://schemas.openxmlformats.org/officeDocument/2006/relationships/hyperlink" Id="rId141" Target="https://doi.org/10.1016/j.envint.2018.10.043" TargetMode="External" /><Relationship Type="http://schemas.openxmlformats.org/officeDocument/2006/relationships/hyperlink" Id="rId145" Target="https://doi.org/10.1016/j.envint.2021.106798" TargetMode="External" /><Relationship Type="http://schemas.openxmlformats.org/officeDocument/2006/relationships/hyperlink" Id="rId84" Target="https://doi.org/10.1016/j.envint.2025.109786" TargetMode="External" /><Relationship Type="http://schemas.openxmlformats.org/officeDocument/2006/relationships/hyperlink" Id="rId80" Target="https://doi.org/10.1016/j.envres.2005.10.004" TargetMode="External" /><Relationship Type="http://schemas.openxmlformats.org/officeDocument/2006/relationships/hyperlink" Id="rId150" Target="https://doi.org/10.1016/j.envres.2012.08.003" TargetMode="External" /><Relationship Type="http://schemas.openxmlformats.org/officeDocument/2006/relationships/hyperlink" Id="rId103" Target="https://doi.org/10.1016/j.envres.2019.02.023" TargetMode="External" /><Relationship Type="http://schemas.openxmlformats.org/officeDocument/2006/relationships/hyperlink" Id="rId105" Target="https://doi.org/10.1016/j.envres.2024.120013" TargetMode="External" /><Relationship Type="http://schemas.openxmlformats.org/officeDocument/2006/relationships/hyperlink" Id="rId148" Target="https://doi.org/10.1016/j.neuro.2013.05.005" TargetMode="External" /><Relationship Type="http://schemas.openxmlformats.org/officeDocument/2006/relationships/hyperlink" Id="rId139" Target="https://doi.org/10.1016/j.scitotenv.2019.134519" TargetMode="External" /><Relationship Type="http://schemas.openxmlformats.org/officeDocument/2006/relationships/hyperlink" Id="rId123" Target="https://doi.org/10.1038/s41370-022-00450-9" TargetMode="External" /><Relationship Type="http://schemas.openxmlformats.org/officeDocument/2006/relationships/hyperlink" Id="rId27" Target="https://doi.org/10.1038/s41562-021-01177-7" TargetMode="External" /><Relationship Type="http://schemas.openxmlformats.org/officeDocument/2006/relationships/hyperlink" Id="rId62" Target="https://doi.org/10.1038/s41598-025-17943-w" TargetMode="External" /><Relationship Type="http://schemas.openxmlformats.org/officeDocument/2006/relationships/hyperlink" Id="rId72" Target="https://doi.org/10.1053/j.ajkd.2018.02.358" TargetMode="External" /><Relationship Type="http://schemas.openxmlformats.org/officeDocument/2006/relationships/hyperlink" Id="rId86" Target="https://doi.org/10.1056/NEJM199210293271805" TargetMode="External" /><Relationship Type="http://schemas.openxmlformats.org/officeDocument/2006/relationships/hyperlink" Id="rId101" Target="https://doi.org/10.1056/NEJMoa022848" TargetMode="External" /><Relationship Type="http://schemas.openxmlformats.org/officeDocument/2006/relationships/hyperlink" Id="rId107" Target="https://doi.org/10.1073/pnas.2118631119" TargetMode="External" /><Relationship Type="http://schemas.openxmlformats.org/officeDocument/2006/relationships/hyperlink" Id="rId154" Target="https://doi.org/10.1111/ajpy.12096" TargetMode="External" /><Relationship Type="http://schemas.openxmlformats.org/officeDocument/2006/relationships/hyperlink" Id="rId160" Target="https://doi.org/10.1136/bmj.309.6963.1189" TargetMode="External" /><Relationship Type="http://schemas.openxmlformats.org/officeDocument/2006/relationships/hyperlink" Id="rId117" Target="https://doi.org/10.1136/bmj.n71" TargetMode="External" /><Relationship Type="http://schemas.openxmlformats.org/officeDocument/2006/relationships/hyperlink" Id="rId180" Target="https://doi.org/10.1136/bmjebm-2022-111928" TargetMode="External" /><Relationship Type="http://schemas.openxmlformats.org/officeDocument/2006/relationships/hyperlink" Id="rId76" Target="https://doi.org/10.1161/JAHA.124.037633" TargetMode="External" /><Relationship Type="http://schemas.openxmlformats.org/officeDocument/2006/relationships/hyperlink" Id="rId164" Target="https://doi.org/10.1177/0013164495055004001" TargetMode="External" /><Relationship Type="http://schemas.openxmlformats.org/officeDocument/2006/relationships/hyperlink" Id="rId178" Target="https://doi.org/10.1177/0272989X13481110" TargetMode="External" /><Relationship Type="http://schemas.openxmlformats.org/officeDocument/2006/relationships/hyperlink" Id="rId174" Target="https://doi.org/10.1186/s12874-025-02664-5" TargetMode="External" /><Relationship Type="http://schemas.openxmlformats.org/officeDocument/2006/relationships/hyperlink" Id="rId152" Target="https://doi.org/10.1186/s12940-019-0505-3" TargetMode="External" /><Relationship Type="http://schemas.openxmlformats.org/officeDocument/2006/relationships/hyperlink" Id="rId158" Target="https://doi.org/10.1186/s12940-023-01029-z" TargetMode="External" /><Relationship Type="http://schemas.openxmlformats.org/officeDocument/2006/relationships/hyperlink" Id="rId162" Target="https://doi.org/10.1186/s13643-022-01963-y" TargetMode="External" /><Relationship Type="http://schemas.openxmlformats.org/officeDocument/2006/relationships/hyperlink" Id="rId156" Target="https://doi.org/10.1186/s40537-018-0143-6" TargetMode="External" /><Relationship Type="http://schemas.openxmlformats.org/officeDocument/2006/relationships/hyperlink" Id="rId113" Target="https://doi.org/10.1201/9781003375821" TargetMode="External" /><Relationship Type="http://schemas.openxmlformats.org/officeDocument/2006/relationships/hyperlink" Id="rId111" Target="https://doi.org/10.1289/EHP5685" TargetMode="External" /><Relationship Type="http://schemas.openxmlformats.org/officeDocument/2006/relationships/hyperlink" Id="rId127" Target="https://doi.org/10.1289/ehp.8552" TargetMode="External" /><Relationship Type="http://schemas.openxmlformats.org/officeDocument/2006/relationships/hyperlink" Id="rId90" Target="https://doi.org/10.1542/peds.90.6.855" TargetMode="External" /><Relationship Type="http://schemas.openxmlformats.org/officeDocument/2006/relationships/hyperlink" Id="rId135" Target="https://doi.org/10.18637/jss.v036.i03" TargetMode="External" /><Relationship Type="http://schemas.openxmlformats.org/officeDocument/2006/relationships/hyperlink" Id="rId130" Target="https://doi.org/10.18637/jss.v080.i01" TargetMode="External" /><Relationship Type="http://schemas.openxmlformats.org/officeDocument/2006/relationships/hyperlink" Id="rId97" Target="https://doi.org/10.2903/j.efsa.2010.1570" TargetMode="External" /><Relationship Type="http://schemas.openxmlformats.org/officeDocument/2006/relationships/hyperlink" Id="rId66" Target="https://doi.org/10.2903/j.efsa.2012.2831" TargetMode="External" /><Relationship Type="http://schemas.openxmlformats.org/officeDocument/2006/relationships/hyperlink" Id="rId121" Target="https://doi.org/10.2903/sp.efsa.2024.EN-8925" TargetMode="External" /><Relationship Type="http://schemas.openxmlformats.org/officeDocument/2006/relationships/hyperlink" Id="rId109" Target="https://doi.org/10.3109/10408444.2013.832726" TargetMode="External" /><Relationship Type="http://schemas.openxmlformats.org/officeDocument/2006/relationships/hyperlink" Id="rId115" Target="https://doi.org/10.3758/s13423-013-0572-3" TargetMode="External" /><Relationship Type="http://schemas.openxmlformats.org/officeDocument/2006/relationships/hyperlink" Id="rId176" Target="https://doi.org/10.47102/annals-acadmedsg.2025104" TargetMode="External" /><Relationship Type="http://schemas.openxmlformats.org/officeDocument/2006/relationships/hyperlink" Id="rId132" Target="https://doi.org/10.48550/ARXIV.1111.4246" TargetMode="External" /><Relationship Type="http://schemas.openxmlformats.org/officeDocument/2006/relationships/hyperlink" Id="rId169" Target="https://doi.org/10.48550/ARXIV.2011.01808" TargetMode="External" /><Relationship Type="http://schemas.openxmlformats.org/officeDocument/2006/relationships/hyperlink" Id="rId137" Target="https://doi.org/doi:10.1289/EHP6803" TargetMode="External" /><Relationship Type="http://schemas.openxmlformats.org/officeDocument/2006/relationships/hyperlink" Id="rId143" Target="https://doi.org/doi:10.1289/ehp.1307420" TargetMode="External" /><Relationship Type="http://schemas.openxmlformats.org/officeDocument/2006/relationships/hyperlink" Id="rId125" Target="https://doi.org/doi:10.1289/ehp.7625" TargetMode="External" /><Relationship Type="http://schemas.openxmlformats.org/officeDocument/2006/relationships/hyperlink" Id="rId92" Target="https://doi.org/doi:10.1289/ehp.7688" TargetMode="External" /><Relationship Type="http://schemas.openxmlformats.org/officeDocument/2006/relationships/hyperlink" Id="rId23" Target="https://edmgr.ovid.com/ee/accounts/ifauth.htm" TargetMode="External" /><Relationship Type="http://schemas.openxmlformats.org/officeDocument/2006/relationships/hyperlink" Id="rId28" Target="https://efsa.onlinelibrary.wiley.com/doi/10.2903/sp.efsa.2024.EN-8925" TargetMode="External" /><Relationship Type="http://schemas.openxmlformats.org/officeDocument/2006/relationships/hyperlink" Id="rId37" Target="https://github.com/PaulinaSell/lead-IQ_meta-analysis" TargetMode="External" /><Relationship Type="http://schemas.openxmlformats.org/officeDocument/2006/relationships/hyperlink" Id="rId22" Target="https://link.springer.com/journal/12940" TargetMode="External" /><Relationship Type="http://schemas.openxmlformats.org/officeDocument/2006/relationships/hyperlink" Id="rId32" Target="https://www.eu-parc.eu" TargetMode="External" /><Relationship Type="http://schemas.openxmlformats.org/officeDocument/2006/relationships/hyperlink" Id="rId26" Target="https://www.prisma-statement.org/prisma-2020" TargetMode="External" /><Relationship Type="http://schemas.openxmlformats.org/officeDocument/2006/relationships/hyperlink" Id="rId21" Target="https://www.sciencedirect.com/journal/environment-international" TargetMode="External" /><Relationship Type="http://schemas.openxmlformats.org/officeDocument/2006/relationships/hyperlink" Id="rId25" Target="https://www.sciencedirect.com/journal/environmental-research" TargetMode="External" /><Relationship Type="http://schemas.openxmlformats.org/officeDocument/2006/relationships/hyperlink" Id="rId24" Target="https://www.sciencedirect.com/journal/international-journal-of-hygiene-and-environmental-health" TargetMode="External" /><Relationship Type="http://schemas.openxmlformats.org/officeDocument/2006/relationships/hyperlink" Id="rId20"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methodological comparison of Bayesian and frequentist meta-analyses of epidemiological studies on lead exposure and children’s intelligence quotient</dc:title>
  <dc:creator>Paulina Sell1,✉, Margaux Sanchez2, Philippe Palmont2, and Dietrich Plass1</dc:creator>
  <cp:keywords/>
  <dcterms:created xsi:type="dcterms:W3CDTF">2026-03-16T09:40:06Z</dcterms:created>
  <dcterms:modified xsi:type="dcterms:W3CDTF">2026-03-16T09:40:06Z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sl">
    <vt:lpwstr>vancouver.csl</vt:lpwstr>
  </property>
  <property fmtid="{D5CDD505-2E9C-101B-9397-08002B2CF9AE}" pid="8" name="date-format">
    <vt:lpwstr>D MMMM YYYY</vt:lpwstr>
  </property>
  <property fmtid="{D5CDD505-2E9C-101B-9397-08002B2CF9AE}" pid="9" name="date-modified">
    <vt:lpwstr>16 March 2026</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out-width">
    <vt:lpwstr>40%</vt:lpwstr>
  </property>
  <property fmtid="{D5CDD505-2E9C-101B-9397-08002B2CF9AE}" pid="15" name="reference-section-title">
    <vt:lpwstr>References</vt:lpwstr>
  </property>
  <property fmtid="{D5CDD505-2E9C-101B-9397-08002B2CF9AE}" pid="16" name="toc-title">
    <vt:lpwstr>Table of contents</vt:lpwstr>
  </property>
</Properties>
</file>