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3.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Stockholm, Sweden</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1" w:name="notes"/>
    <w:p>
      <w:pPr>
        <w:pStyle w:val="Heading1"/>
      </w:pPr>
      <w:r>
        <w:t xml:space="preserve">Notes</w:t>
      </w:r>
    </w:p>
    <w:p>
      <w:pPr>
        <w:pStyle w:val="FirstParagraph"/>
      </w:pPr>
      <w:r>
        <w:t xml:space="preserve">Alternative titles:</w:t>
      </w:r>
      <w:r>
        <w:br/>
      </w:r>
      <w:r>
        <w:t xml:space="preserve">A methodological comparison of Bayesian and frequentist meta-analyses of epidemiological studies on lead exposure and children’s intelligence quotient (title so far)</w:t>
      </w:r>
      <w:r>
        <w:br/>
      </w:r>
      <w:r>
        <w:t xml:space="preserve">Quantifying uncertainty in the association between lead exposure and children’s IQ: a comparison of Bayesian and frequentist meta-analytic frameworks</w:t>
      </w:r>
      <w:r>
        <w:br/>
      </w:r>
      <w:r>
        <w:t xml:space="preserve">Quantifying uncertainty: A methodological comparison of Bayesian and frequentist meta-analyses of studies on lead exposure and children’s IQ</w:t>
      </w:r>
      <w:r>
        <w:br/>
      </w:r>
      <w:r>
        <w:t xml:space="preserve">Quantifying uncertainty: A comparison of Bayesian and frequentist meta-analytic frameworks applied to lead exposure and children’s IQ</w:t>
      </w:r>
    </w:p>
    <w:bookmarkEnd w:id="21"/>
    <w:bookmarkStart w:id="22" w:name="highlights"/>
    <w:p>
      <w:pPr>
        <w:pStyle w:val="Heading1"/>
      </w:pPr>
      <w:r>
        <w:t xml:space="preserve">Highlights</w:t>
      </w:r>
    </w:p>
    <w:p>
      <w:pPr>
        <w:pStyle w:val="FirstParagraph"/>
      </w:pPr>
      <w:r>
        <w:t xml:space="preserve">You are required to provide article highlights at submission.</w:t>
      </w:r>
      <w:r>
        <w:t xml:space="preserve"> </w:t>
      </w:r>
      <w:r>
        <w:t xml:space="preserve">Highlights are a short collection of bullet points that should capture the novel results of your research as well as any new methods used during your study. Highlights will help increase the discoverability of your article via search engines. Some guidelines:</w:t>
      </w:r>
      <w:r>
        <w:t xml:space="preserve"> </w:t>
      </w:r>
      <w:r>
        <w:t xml:space="preserve">- Submit highlights as a separate editable file in the online submission system with the word</w:t>
      </w:r>
      <w:r>
        <w:t xml:space="preserve"> </w:t>
      </w:r>
      <w:r>
        <w:t xml:space="preserve">“highlights”</w:t>
      </w:r>
      <w:r>
        <w:t xml:space="preserve"> </w:t>
      </w:r>
      <w:r>
        <w:t xml:space="preserve">included in the file name.</w:t>
      </w:r>
      <w:r>
        <w:t xml:space="preserve"> </w:t>
      </w:r>
      <w:r>
        <w:t xml:space="preserve">- Highlights should consist of 3 to 5 bullet points, each a maximum of 85 characters, including spaces.</w:t>
      </w:r>
    </w:p>
    <w:bookmarkEnd w:id="22"/>
    <w:bookmarkStart w:id="23" w:name="abstract"/>
    <w:p>
      <w:pPr>
        <w:pStyle w:val="Heading1"/>
      </w:pPr>
      <w:r>
        <w:t xml:space="preserve">Abstract</w:t>
      </w:r>
    </w:p>
    <w:p>
      <w:pPr>
        <w:pStyle w:val="FirstParagraph"/>
      </w:pPr>
      <w:r>
        <w:t xml:space="preserve">(250 words limit in Environment International)</w:t>
      </w:r>
    </w:p>
    <w:p>
      <w:pPr>
        <w:pStyle w:val="BodyText"/>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To evaluate differences in uncertainty quantification and applicability for risk assessment, we compared frequentist and Bayesian frameworks, using lead exposure and children’s intelligence quotient (IQ) as a case study.</w:t>
      </w:r>
    </w:p>
    <w:p>
      <w:pPr>
        <w:pStyle w:val="BodyText"/>
      </w:pPr>
      <w:r>
        <w:rPr>
          <w:b/>
          <w:bCs/>
        </w:rPr>
        <w:t xml:space="preserve">Methods</w:t>
      </w:r>
      <w:r>
        <w:t xml:space="preserve">: We systematically searched PubMed and Scopus for epidemiological studies on blood lead level (BLL) and IQ score in children.</w:t>
      </w:r>
      <w:r>
        <w:t xml:space="preserve"> </w:t>
      </w:r>
      <w:r>
        <w:t xml:space="preserve">Risk of bias (RoB) was assessed and regression coefficients were harmonized to the</w:t>
      </w:r>
      <w:r>
        <w:t xml:space="preserve"> </w:t>
      </w:r>
      <m:oMath>
        <m:sSub>
          <m:e>
            <m:r>
              <m:rPr>
                <m:sty m:val="p"/>
              </m:rPr>
              <m:t>log</m:t>
            </m:r>
          </m:e>
          <m:sub>
            <m:r>
              <m:t>e</m:t>
            </m:r>
          </m:sub>
        </m:sSub>
      </m:oMath>
      <w:r>
        <w:t xml:space="preserve">​ scale.</w:t>
      </w:r>
      <w:r>
        <w:t xml:space="preserve"> </w:t>
      </w:r>
      <w:r>
        <w:t xml:space="preserve">In both meta-analyses, we assumed a multilevel structure, used random-effects models and included the same effect estimates.</w:t>
      </w:r>
      <w:r>
        <w:t xml:space="preserve"> </w:t>
      </w:r>
      <w:r>
        <w:t xml:space="preserve">The frequentist approach used restricted maximum-likelihood estimation.</w:t>
      </w:r>
      <w:r>
        <w:t xml:space="preserve"> </w:t>
      </w:r>
      <w:r>
        <w:t xml:space="preserve">The Bayesian meta-analysis employed a hierarchical model with weakly-informative priors.</w:t>
      </w:r>
      <w:r>
        <w:t xml:space="preserve"> </w:t>
      </w:r>
      <w:r>
        <w:t xml:space="preserve">Sensitivity analyses examined robustness to RoB and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after screening.</w:t>
      </w:r>
      <w:r>
        <w:t xml:space="preserve"> </w:t>
      </w:r>
      <w:r>
        <w:t xml:space="preserve">The frequentist approach yielded a pooled estimate of -2.45 (95% confidence interval (CI): -3.7;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(CrI): -3.56;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83.3%).</w:t>
      </w:r>
      <w:r>
        <w:t xml:space="preserve"> </w:t>
      </w:r>
      <w:r>
        <w:t xml:space="preserve">The Bayesian approach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approach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approach provides posterior distributions, enabling direct probability statements, for example about exceeding risk thresholds, and comparative assessments across pollutants.</w:t>
      </w:r>
      <w:r>
        <w:t xml:space="preserve"> </w:t>
      </w:r>
      <w:r>
        <w:t xml:space="preserve">These features are of particular value regarding risk assessment and policy-making.</w:t>
      </w:r>
    </w:p>
    <w:p>
      <w:r>
        <w:br w:type="page"/>
      </w:r>
    </w:p>
    <w:bookmarkEnd w:id="23"/>
    <w:bookmarkStart w:id="24"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(95% uncertainty interval (UI): 2.7; 4.0 million) Disability-Adjusted Life Years (DALYs) were attributable to lead exposure in the European Union (EU)</w:t>
      </w:r>
      <w:r>
        <w:t xml:space="preserve"> </w:t>
      </w:r>
      <w:r>
        <w:t xml:space="preserve">[5]</w:t>
      </w:r>
      <w:r>
        <w:t xml:space="preserve">.</w:t>
      </w:r>
      <w:r>
        <w:t xml:space="preserve"> </w:t>
      </w:r>
      <w:r>
        <w:t xml:space="preserve">This highlights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[13–16]</w:t>
      </w:r>
      <w:r>
        <w:t xml:space="preserve"> </w:t>
      </w:r>
      <w:r>
        <w:t xml:space="preserve">represents a particularly critical endpoint with high public health relevance.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[17]</w:t>
      </w:r>
      <w:r>
        <w:t xml:space="preserve">, making continued efforts to accurately characterize the exposure-response relationship important for evidence-based policy.</w:t>
      </w:r>
    </w:p>
    <w:p>
      <w:pPr>
        <w:pStyle w:val="BodyText"/>
      </w:pPr>
      <w:r>
        <w:t xml:space="preserve">Blood lead levels (BLL) in the EU have declined markedly and now predominantly fall below 5 µg/dL</w:t>
      </w:r>
      <w:r>
        <w:t xml:space="preserve"> </w:t>
      </w:r>
      <w:r>
        <w:t xml:space="preserve">[18]</w:t>
      </w:r>
      <w:r>
        <w:t xml:space="preserve">, well below the concentrations examined in many earlier studies (&lt;10 µg/dL).</w:t>
      </w:r>
      <w:r>
        <w:t xml:space="preserve"> </w:t>
      </w:r>
      <w:r>
        <w:t xml:space="preserve">Importantly, there is no evidence for a threshold concentration below which the effects of lead on IQ can be assumed to be negligible</w:t>
      </w:r>
      <w:r>
        <w:t xml:space="preserve"> </w:t>
      </w:r>
      <w:r>
        <w:t xml:space="preserve">[19,20]</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[16,21]</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[5,17,22–24]</w:t>
      </w:r>
      <w:r>
        <w:t xml:space="preserve"> </w:t>
      </w:r>
      <w:r>
        <w:t xml:space="preserve">have predominantly relied on the foundational study by Lanphear et al. (2005), a pooled analysis of seven cohort studies, or subsequent re-analyses of the same data</w:t>
      </w:r>
      <w:r>
        <w:t xml:space="preserve"> </w:t>
      </w:r>
      <w:r>
        <w:t xml:space="preserve">[16,25]</w:t>
      </w:r>
      <w:r>
        <w:t xml:space="preserve">.</w:t>
      </w:r>
      <w:r>
        <w:t xml:space="preserve"> </w:t>
      </w:r>
      <w:r>
        <w:t xml:space="preserve">While these landmark studies have substantially shaped research and policy on childhood lead exposure, methodological issues and errors have been raised (e.g. the use of performance IQ instead of full-scale IQ and an erroneous back-transformation of BLL in one cohort in the Lanphear et al. study)</w:t>
      </w:r>
      <w:r>
        <w:t xml:space="preserve">[25,26]</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[27]</w:t>
      </w:r>
      <w:r>
        <w:t xml:space="preserve">.</w:t>
      </w:r>
      <w:r>
        <w:t xml:space="preserve"> </w:t>
      </w:r>
      <w:r>
        <w:t xml:space="preserve">Unlike frequentist confidence intervals, which are often misinterpreted as probabilistic</w:t>
      </w:r>
      <w:r>
        <w:t xml:space="preserve"> </w:t>
      </w:r>
      <w:r>
        <w:t xml:space="preserve">[28]</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characterization.</w:t>
      </w:r>
    </w:p>
    <w:bookmarkEnd w:id="24"/>
    <w:bookmarkStart w:id="37" w:name="methods"/>
    <w:p>
      <w:pPr>
        <w:pStyle w:val="Heading1"/>
      </w:pPr>
      <w:r>
        <w:t xml:space="preserve">2. Methods</w:t>
      </w:r>
    </w:p>
    <w:bookmarkStart w:id="26"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[29]</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[30]</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w:t>
      </w:r>
      <w:hyperlink r:id="rId25">
        <w:r>
          <w:rPr>
            <w:rStyle w:val="Hyperlink"/>
            <w:i/>
            <w:iCs/>
          </w:rPr>
          <w:t xml:space="preserve">PARC</w:t>
        </w:r>
      </w:hyperlink>
      <w:r>
        <w:rPr>
          <w:i/>
          <w:iCs/>
        </w:rPr>
        <w:t xml:space="preserve">)</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do contain parts of the search for other associations and exposure timeframes.</w:t>
      </w:r>
      <w:r>
        <w:br/>
      </w:r>
      <w:r>
        <w:t xml:space="preserve">We searched for articles published between January 2005 and July 2023.</w:t>
      </w:r>
      <w:r>
        <w:t xml:space="preserve"> </w:t>
      </w:r>
      <w:r>
        <w:t xml:space="preserve">The year 2005 was chosen because, as described in the background section, burden of disease studies predominantely used a study published in 2005</w:t>
      </w:r>
      <w:r>
        <w:t xml:space="preserve"> </w:t>
      </w:r>
      <w:r>
        <w:t xml:space="preserve">[16]</w:t>
      </w:r>
      <w:r>
        <w:t xml:space="preserve"> </w:t>
      </w:r>
      <w:r>
        <w:t xml:space="preserve">and we aimed at updating the evidence base with studies published after this landmark paper.</w:t>
      </w:r>
      <w:r>
        <w:t xml:space="preserve"> </w:t>
      </w:r>
      <w:r>
        <w:t xml:space="preserve">Also, lead concentrations have decreased significantly in the past decades, and we aimed at identifying epidemiological studies conducted in populations with currently relevant exposure levels.</w:t>
      </w:r>
      <w:r>
        <w:br/>
      </w:r>
      <w:r>
        <w:t xml:space="preserve">Search queries in PubMed and Scopus included the following terms:</w:t>
      </w:r>
      <w:r>
        <w:t xml:space="preserve"> </w:t>
      </w:r>
      <w:r>
        <w:t xml:space="preserve">substance (Pb - including Mesh terms), outcome (IQ and neurodevelopment), population (children) and results (association, exposure-response function) (Tab. 1).</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 2).</w:t>
      </w:r>
    </w:p>
    <w:p>
      <w:pPr>
        <w:pStyle w:val="BodyText"/>
      </w:pPr>
      <w:r>
        <w:t xml:space="preserve">We excluded reviews and background articles that inventoried the literature with no new results.</w:t>
      </w:r>
      <w:r>
        <w:t xml:space="preserve"> </w:t>
      </w:r>
      <w:r>
        <w:t xml:space="preserve">We also excluded references written in languages other than English.</w:t>
      </w:r>
      <w:r>
        <w:br/>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meaning that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 (NTP OHAT)</w:t>
      </w:r>
      <w:r>
        <w:t xml:space="preserve"> </w:t>
      </w:r>
      <w:r>
        <w:t xml:space="preserve">[31]</w:t>
      </w:r>
      <w:r>
        <w:t xml:space="preserve">.</w:t>
      </w:r>
      <w:r>
        <w:t xml:space="preserve"> </w:t>
      </w:r>
      <w:r>
        <w:t xml:space="preserve">For all included studies, effect estimates from the most-adjusted model were extracted and the adjustment set was recorded.</w:t>
      </w:r>
    </w:p>
    <w:bookmarkEnd w:id="26"/>
    <w:bookmarkStart w:id="27"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[32]</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[32]</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r>
        <w:t xml:space="preserve"> </w:t>
      </w:r>
    </w:p>
    <w:bookmarkEnd w:id="27"/>
    <w:bookmarkStart w:id="29"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exposure-response relationship.</w:t>
      </w:r>
      <w:r>
        <w:t xml:space="preserve"> </w:t>
      </w:r>
      <w:r>
        <w:t xml:space="preserve">While some studies assume a linear relationship</w:t>
      </w:r>
      <w:r>
        <w:t xml:space="preserve"> </w:t>
      </w:r>
      <w:r>
        <w:t xml:space="preserve">[33,34]</w:t>
      </w:r>
      <w:r>
        <w:t xml:space="preserve">, this assumption may only be valid within very narrow concentration ranges</w:t>
      </w:r>
      <w:r>
        <w:t xml:space="preserve"> </w:t>
      </w:r>
      <w:r>
        <w:t xml:space="preserve">[25]</w:t>
      </w:r>
      <w:r>
        <w:t xml:space="preserve">.</w:t>
      </w:r>
      <w:r>
        <w:t xml:space="preserve"> </w:t>
      </w:r>
      <w:r>
        <w:t xml:space="preserve">Studies that tested multiple shapes of the exposure-response function have concluded that a log-linear relationship, where BLL are logarithmically transformed, provides a more appropriate statistical model</w:t>
      </w:r>
      <w:r>
        <w:t xml:space="preserve"> </w:t>
      </w:r>
      <w:r>
        <w:t xml:space="preserve">[25,35]</w:t>
      </w:r>
      <w:r>
        <w:t xml:space="preserve">.</w:t>
      </w:r>
    </w:p>
    <w:p>
      <w:pPr>
        <w:pStyle w:val="BodyText"/>
      </w:pPr>
      <w:r>
        <w:t xml:space="preserve">The general form of regression model used for a log-linear association is:</w:t>
      </w:r>
    </w:p>
    <w:p>
      <w:pPr>
        <w:pStyle w:val="BodyText"/>
      </w:pPr>
      <w:bookmarkStart w:id="28" w:name="eq-regression-model"/>
      <m:oMathPara>
        <m:oMathParaPr>
          <m:jc m:val="center"/>
        </m:oMathParaPr>
        <m:oMath>
          <m:r>
            <m:t>y</m:t>
          </m:r>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28"/>
    </w:p>
    <w:p>
      <w:pPr>
        <w:pStyle w:val="FirstParagraph"/>
      </w:pPr>
      <w:r>
        <w:t xml:space="preserve">Where</w:t>
      </w:r>
      <w:r>
        <w:t xml:space="preserve"> </w:t>
      </w:r>
      <m:oMath>
        <m:r>
          <m:t>y</m:t>
        </m:r>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supplementary file 2.</w:t>
      </w:r>
      <w:r>
        <w:br/>
      </w:r>
      <w:r>
        <w:t xml:space="preserve">In some publications, the BLL scale was left untransformed, so on a linear scale.</w:t>
      </w:r>
      <w:r>
        <w:t xml:space="preserve"> </w:t>
      </w:r>
      <w:r>
        <w:t xml:space="preserve">These were excluded from the meta-analysis, as transformation of effect estimates for linear BLL to log-linear could not be justified based on visual inspection (include plots in supplement?).</w:t>
      </w:r>
    </w:p>
    <w:bookmarkEnd w:id="29"/>
    <w:bookmarkStart w:id="35" w:name="meta-analysis-methodology"/>
    <w:p>
      <w:pPr>
        <w:pStyle w:val="Heading2"/>
      </w:pPr>
      <w:r>
        <w:t xml:space="preserve">2.4 Meta-Analysis Methodology</w:t>
      </w:r>
    </w:p>
    <w:p>
      <w:pPr>
        <w:pStyle w:val="FirstParagraph"/>
      </w:pPr>
      <w:r>
        <w:t xml:space="preserve">In order to quantitatively synthesize the available epidemiological literature on the association of children’s blood lead levels and IQ, we conducted a meta-analysis, comparing a Bayesian to a frequentist approach.</w:t>
      </w:r>
      <w:r>
        <w:br/>
      </w:r>
      <w:r>
        <w:t xml:space="preserve">The same effect estimates from the identified publications were included in both approaches, and analogous models were chosen to enable comparison of the results.</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br/>
      </w:r>
      <w:r>
        <w:t xml:space="preserve">R version 4.4.2 (2024-10-31)</w:t>
      </w:r>
      <w:r>
        <w:t xml:space="preserve"> </w:t>
      </w:r>
      <w:r>
        <w:t xml:space="preserve">[36]</w:t>
      </w:r>
      <w:r>
        <w:t xml:space="preserve"> </w:t>
      </w:r>
      <w:r>
        <w:t xml:space="preserve">was used for all computations.</w:t>
      </w:r>
      <w:r>
        <w:t xml:space="preserve"> </w:t>
      </w:r>
      <w:r>
        <w:t xml:space="preserve">All computational code for this study is publicly available on</w:t>
      </w:r>
      <w:r>
        <w:t xml:space="preserve"> </w:t>
      </w:r>
      <w:hyperlink r:id="rId30">
        <w:r>
          <w:rPr>
            <w:rStyle w:val="Hyperlink"/>
          </w:rPr>
          <w:t xml:space="preserve">GitHub</w:t>
        </w:r>
      </w:hyperlink>
      <w:r>
        <w:t xml:space="preserve">.</w:t>
      </w:r>
    </w:p>
    <w:bookmarkStart w:id="33" w:name="bayesian-meta-analysis"/>
    <w:p>
      <w:pPr>
        <w:pStyle w:val="Heading3"/>
      </w:pPr>
      <w:r>
        <w:t xml:space="preserve">2.4.1 Bayesian Meta-Analysis</w:t>
      </w:r>
    </w:p>
    <w:p>
      <w:pPr>
        <w:pStyle w:val="FirstParagraph"/>
      </w:pPr>
      <w:r>
        <w:t xml:space="preserve">For the Bayesian approach, we employed a random-effects meta-analysis model with two hierarchical levels.</w:t>
      </w:r>
      <w:r>
        <w:t xml:space="preserve"> </w:t>
      </w:r>
      <w:r>
        <w:t xml:space="preserve">At the first level, the observed effect size from each study</w:t>
      </w:r>
      <w:r>
        <w:t xml:space="preserve"> </w:t>
      </w:r>
      <m:oMath>
        <m:sSub>
          <m:e>
            <m:acc>
              <m:accPr>
                <m:chr m:val="̂"/>
              </m:accPr>
              <m:e>
                <m:r>
                  <m:t>θ</m:t>
                </m:r>
              </m:e>
            </m:acc>
          </m:e>
          <m:sub>
            <m:r>
              <m:t>k</m:t>
            </m:r>
          </m:sub>
        </m:sSub>
      </m:oMath>
      <w:r>
        <w:t xml:space="preserve"> </w:t>
      </w:r>
      <w:r>
        <w:t xml:space="preserve">is modeled as an estimate of that study’s true underlying effect</w:t>
      </w:r>
      <w:r>
        <w:t xml:space="preserve"> </w:t>
      </w:r>
      <m:oMath>
        <m:sSub>
          <m:e>
            <m:r>
              <m:t>θ</m:t>
            </m:r>
          </m:e>
          <m:sub>
            <m:r>
              <m:t>k</m:t>
            </m:r>
          </m:sub>
        </m:sSub>
      </m:oMath>
      <w:r>
        <w:t xml:space="preserve">, with deviation from the true effect determined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At the second level, these study-specific true effects are themselves assumed to vary across studies following a normal distribution, characterized by an overall pooled effect</w:t>
      </w:r>
      <w:r>
        <w:t xml:space="preserve"> </w:t>
      </w:r>
      <m:oMath>
        <m:r>
          <m:t>μ</m:t>
        </m:r>
      </m:oMath>
      <w:r>
        <w:t xml:space="preserve"> </w:t>
      </w:r>
      <w:r>
        <w:t xml:space="preserve">and between-study standard deviation (heterogeneity)</w:t>
      </w:r>
      <w:r>
        <w:t xml:space="preserve"> </w:t>
      </w:r>
      <m:oMath>
        <m:r>
          <m:t>τ</m:t>
        </m:r>
      </m:oMath>
      <w:r>
        <w:t xml:space="preserve">.</w:t>
      </w:r>
    </w:p>
    <w:p>
      <w:pPr>
        <w:pStyle w:val="BodyText"/>
      </w:pPr>
      <w:bookmarkStart w:id="31"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1"/>
    </w:p>
    <w:p>
      <w:pPr>
        <w:pStyle w:val="FirstParagraph"/>
      </w:pPr>
      <w:r>
        <w:t xml:space="preserve">Where:</w:t>
      </w:r>
      <w:r>
        <w:br/>
      </w:r>
      <m:oMath>
        <m:sSub>
          <m:e>
            <m:acc>
              <m:accPr>
                <m:chr m:val="̂"/>
              </m:accPr>
              <m:e>
                <m:r>
                  <m:t>θ</m:t>
                </m:r>
              </m:e>
            </m:acc>
          </m:e>
          <m:sub>
            <m:r>
              <m:t>k</m:t>
            </m:r>
          </m:sub>
        </m:sSub>
      </m:oMath>
      <w:r>
        <w:t xml:space="preserve"> </w:t>
      </w:r>
      <w:r>
        <w:t xml:space="preserve">= Observed effect size for study</w:t>
      </w:r>
      <w:r>
        <w:t xml:space="preserve"> </w:t>
      </w:r>
      <m:oMath>
        <m:r>
          <m:t>k</m:t>
        </m:r>
      </m:oMath>
      <w:r>
        <w:br/>
      </w:r>
      <m:oMath>
        <m:sSub>
          <m:e>
            <m:r>
              <m:t>σ</m:t>
            </m:r>
          </m:e>
          <m:sub>
            <m:r>
              <m:t>k</m:t>
            </m:r>
          </m:sub>
        </m:sSub>
      </m:oMath>
      <w:r>
        <w:t xml:space="preserve"> </w:t>
      </w:r>
      <w:r>
        <w:t xml:space="preserve">= Within-study sampling standard deviation for study</w:t>
      </w:r>
      <w:r>
        <w:t xml:space="preserve"> </w:t>
      </w:r>
      <m:oMath>
        <m:r>
          <m:t>k</m:t>
        </m:r>
      </m:oMath>
      <w:r>
        <w:br/>
      </w:r>
      <m:oMath>
        <m:sSub>
          <m:e>
            <m:r>
              <m:t>θ</m:t>
            </m:r>
          </m:e>
          <m:sub>
            <m:r>
              <m:t>k</m:t>
            </m:r>
          </m:sub>
        </m:sSub>
      </m:oMath>
      <w:r>
        <w:t xml:space="preserve"> </w:t>
      </w:r>
      <w:r>
        <w:t xml:space="preserve">= True underlying effect for study</w:t>
      </w:r>
      <w:r>
        <w:t xml:space="preserve"> </w:t>
      </w:r>
      <m:oMath>
        <m:r>
          <m:t>k</m:t>
        </m:r>
      </m:oMath>
      <w:r>
        <w:br/>
      </w:r>
      <m:oMath>
        <m:r>
          <m:t>μ</m:t>
        </m:r>
      </m:oMath>
      <w:r>
        <w:t xml:space="preserve"> </w:t>
      </w:r>
      <w:r>
        <w:t xml:space="preserve">= Overall pooled effect</w:t>
      </w:r>
      <w:r>
        <w:br/>
      </w:r>
      <m:oMath>
        <m:r>
          <m:t>τ</m:t>
        </m:r>
      </m:oMath>
      <w:r>
        <w:t xml:space="preserve"> </w:t>
      </w:r>
      <w:r>
        <w:t xml:space="preserve">= Between-study standard deviation (heterogeneity)</w:t>
      </w:r>
      <w:r>
        <w:br/>
      </w:r>
    </w:p>
    <w:p>
      <w:pPr>
        <w:pStyle w:val="BodyText"/>
      </w:pPr>
      <w:r>
        <w:t xml:space="preserve">The Bayesian model was fit using the R package</w:t>
      </w:r>
      <w:r>
        <w:t xml:space="preserve"> </w:t>
      </w:r>
      <w:r>
        <w:rPr>
          <w:rStyle w:val="VerbatimChar"/>
        </w:rPr>
        <w:t xml:space="preserve">brms</w:t>
      </w:r>
      <w:r>
        <w:t xml:space="preserve"> </w:t>
      </w:r>
      <w:r>
        <w:t xml:space="preserve">[37]</w:t>
      </w:r>
      <w:r>
        <w:t xml:space="preserve"> </w:t>
      </w:r>
      <w:r>
        <w:t xml:space="preserve">version 2.22.0.</w:t>
      </w:r>
      <w:r>
        <w:t xml:space="preserve"> </w:t>
      </w:r>
      <w:r>
        <w:t xml:space="preserve">Posterior draws were sampled using Markov chain Monte Carlo (MCMC) and the No-U-Turn sampler (NUTS)</w:t>
      </w:r>
      <w:r>
        <w:t xml:space="preserve"> </w:t>
      </w:r>
      <w:r>
        <w:t xml:space="preserve">[38]</w:t>
      </w:r>
      <w:r>
        <w:t xml:space="preserve">.</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the Gelman-Rubin statistic (</w:t>
      </w:r>
      <m:oMath>
        <m:acc>
          <m:accPr>
            <m:chr m:val="̂"/>
          </m:accPr>
          <m:e>
            <m:r>
              <m:t>R</m:t>
            </m:r>
          </m:e>
        </m:acc>
      </m:oMath>
      <w:r>
        <w:t xml:space="preserve">) and chain resolution was assessed using the effective sample size (ESS).</w:t>
      </w:r>
      <w:r>
        <w:br/>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approach) so that both</w:t>
      </w:r>
      <w:r>
        <w:t xml:space="preserve"> </w:t>
      </w:r>
      <m:oMath>
        <m:sSup>
          <m:e>
            <m:r>
              <m:t>I</m:t>
            </m:r>
          </m:e>
          <m:sup>
            <m:r>
              <m:t>2</m:t>
            </m:r>
          </m:sup>
        </m:sSup>
      </m:oMath>
      <w:r>
        <w:t xml:space="preserve"> </w:t>
      </w:r>
      <w:r>
        <w:t xml:space="preserve">results are comparable.</w:t>
      </w:r>
    </w:p>
    <w:p>
      <w:pPr>
        <w:pStyle w:val="BodyText"/>
      </w:pPr>
      <w:r>
        <w:t xml:space="preserve">In Bayesian statistics, prior knowledge or assumptions from previously published studies, domain knowledge or beliefs are updated by the newly observed data and together result in a posterior distribution.</w:t>
      </w:r>
      <w:r>
        <w:t xml:space="preserve"> </w:t>
      </w:r>
      <w:r>
        <w:t xml:space="preserve">Prior distributions are specified for all parameters to be estimated, which in this study are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(conservative) priors were chosen so that the posterior distributions are softly being bounded to realistic ranges of results.</w:t>
      </w:r>
      <w:r>
        <w:t xml:space="preserve"> </w:t>
      </w:r>
      <w:r>
        <w:t xml:space="preserve">Because the unit scale of the included effect estimates was harmonized to IQ shift per unit increase in</w:t>
      </w:r>
      <w:r>
        <w:t xml:space="preserve"> </w:t>
      </w:r>
      <m:oMath>
        <m:sSub>
          <m:e>
            <m:r>
              <m:rPr>
                <m:sty m:val="p"/>
              </m:rPr>
              <m:t>log</m:t>
            </m:r>
          </m:e>
          <m:sub>
            <m:r>
              <m:t>e</m:t>
            </m:r>
          </m:sub>
        </m:sSub>
      </m:oMath>
      <w:r>
        <w:t xml:space="preserve">-transformed blood lead concentration (µg/dL), the priors will be specified on the same scale.</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translates to the assumption that the overall pooled effect lies between -5 and 3 with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[19]</w:t>
      </w:r>
      <w:r>
        <w:t xml:space="preserve">.</w:t>
      </w:r>
      <w:r>
        <w:br/>
      </w:r>
      <w:r>
        <w:t xml:space="preserve">Since between-study standard deviation (heterogeneity)</w:t>
      </w:r>
      <w:r>
        <w:t xml:space="preserve"> </w:t>
      </w:r>
      <m:oMath>
        <m:r>
          <m:t>τ</m:t>
        </m:r>
      </m:oMath>
      <w:r>
        <w:t xml:space="preserve"> </w:t>
      </w:r>
      <w:r>
        <w:t xml:space="preserve">must be positive, a truncated normal distribution centered at 0 with a SD of 2 was specified.</w:t>
      </w:r>
      <w:r>
        <w:t xml:space="preserve"> </w:t>
      </w:r>
      <w:r>
        <w:t xml:space="preserve">This translates to the assumption that</w:t>
      </w:r>
      <w:r>
        <w:t xml:space="preserve"> </w:t>
      </w:r>
      <m:oMath>
        <m:r>
          <m:t>τ</m:t>
        </m:r>
      </m:oMath>
      <w:r>
        <w:t xml:space="preserve"> </w:t>
      </w:r>
      <w:r>
        <w:t xml:space="preserve">is small, but due to its wide SD, the prior is still vague and thus weakly-informative.</w:t>
      </w:r>
      <w:r>
        <w:t xml:space="preserve"> </w:t>
      </w:r>
      <w:r>
        <w:t xml:space="preserve">In summary, the following priors were specified for the Bayesian model:</w:t>
      </w:r>
    </w:p>
    <w:p>
      <w:pPr>
        <w:pStyle w:val="BodyText"/>
      </w:pPr>
      <w:bookmarkStart w:id="32"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2"/>
    </w:p>
    <w:p>
      <w:pPr>
        <w:pStyle w:val="FirstParagraph"/>
      </w:pPr>
      <w:r>
        <w:t xml:space="preserve">Prior and posterior predictive checks were conducted using the</w:t>
      </w:r>
      <w:r>
        <w:t xml:space="preserve"> </w:t>
      </w:r>
      <w:r>
        <w:rPr>
          <w:rStyle w:val="VerbatimChar"/>
        </w:rPr>
        <w:t xml:space="preserve">bayesplot</w:t>
      </w:r>
      <w:r>
        <w:t xml:space="preserve"> </w:t>
      </w:r>
      <w:r>
        <w:t xml:space="preserve">package</w:t>
      </w:r>
      <w:r>
        <w:t xml:space="preserve"> </w:t>
      </w:r>
      <w:r>
        <w:t xml:space="preserve">[39]</w:t>
      </w:r>
      <w:r>
        <w:t xml:space="preserve"> </w:t>
      </w:r>
      <w:r>
        <w:t xml:space="preserve">to assess the appropriateness of the specified priors.</w:t>
      </w:r>
      <w:r>
        <w:t xml:space="preserve"> </w:t>
      </w:r>
      <w:r>
        <w:t xml:space="preserve">Additionally, a sensitivity analysis with alternative priors was conducted, as described below.</w:t>
      </w:r>
    </w:p>
    <w:bookmarkEnd w:id="33"/>
    <w:bookmarkStart w:id="34" w:name="frequentist-meta-analysis"/>
    <w:p>
      <w:pPr>
        <w:pStyle w:val="Heading3"/>
      </w:pPr>
      <w:r>
        <w:t xml:space="preserve">2.4.2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(REML) estimation from the R package</w:t>
      </w:r>
      <w:r>
        <w:t xml:space="preserve"> </w:t>
      </w:r>
      <w:r>
        <w:rPr>
          <w:rStyle w:val="VerbatimChar"/>
        </w:rPr>
        <w:t xml:space="preserve">metafor</w:t>
      </w:r>
      <w:r>
        <w:t xml:space="preserve"> </w:t>
      </w:r>
      <w:r>
        <w:t xml:space="preserve">version 4.8-0</w:t>
      </w:r>
      <w:r>
        <w:t xml:space="preserve"> </w:t>
      </w:r>
      <w:r>
        <w:t xml:space="preserve">[40]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4"/>
    <w:bookmarkEnd w:id="35"/>
    <w:bookmarkStart w:id="36" w:name="sensitivity-analysis"/>
    <w:p>
      <w:pPr>
        <w:pStyle w:val="Heading2"/>
      </w:pPr>
      <w:r>
        <w:t xml:space="preserve">2.5 Sensitivity Analysis</w:t>
      </w:r>
    </w:p>
    <w:p>
      <w:pPr>
        <w:pStyle w:val="FirstParagraph"/>
      </w:pPr>
      <w:r>
        <w:t xml:space="preserve">We conducted two sets of sensitivity analyses.</w:t>
      </w:r>
      <w:r>
        <w:br/>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twice, with alternative priors for both the main effect (</w:t>
      </w:r>
      <m:oMath>
        <m:r>
          <m:t>μ</m:t>
        </m:r>
      </m:oMath>
      <w:r>
        <w:t xml:space="preserve">) and heterogeneity (</w:t>
      </w:r>
      <m:oMath>
        <m:r>
          <m:t>τ</m:t>
        </m:r>
      </m:oMath>
      <w:r>
        <w:t xml:space="preserve">).</w:t>
      </w:r>
      <w:r>
        <w:t xml:space="preserve"> </w:t>
      </w:r>
      <w:r>
        <w:t xml:space="preserve">The first set of priors was more informative (narrower)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(wider)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Notice that for the main effect, the broader prior is centered around 0, giving equal weight to the probability of a protective and detrimental effect of lead.</w:t>
      </w:r>
    </w:p>
    <w:bookmarkEnd w:id="36"/>
    <w:bookmarkEnd w:id="37"/>
    <w:bookmarkStart w:id="48" w:name="results"/>
    <w:p>
      <w:pPr>
        <w:pStyle w:val="Heading1"/>
      </w:pPr>
      <w:r>
        <w:t xml:space="preserve">3. Results</w:t>
      </w:r>
    </w:p>
    <w:bookmarkStart w:id="41" w:name="literature-review-1"/>
    <w:p>
      <w:pPr>
        <w:pStyle w:val="Heading2"/>
      </w:pPr>
      <w:r>
        <w:t xml:space="preserve">3.1 Literature Review</w:t>
      </w:r>
    </w:p>
    <w:p>
      <w:pPr>
        <w:pStyle w:val="FirstParagraph"/>
      </w:pPr>
      <w:r>
        <w:t xml:space="preserve">As described in the methods, 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br/>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led to duplicates.</w:t>
      </w:r>
      <w:r>
        <w:t xml:space="preserve"> </w:t>
      </w:r>
      <w:r>
        <w:t xml:space="preserve">Four additional studies were excluded because they either solely reported effects of chemical mixtures, because they used non-linear models (including the use of splines) or because they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 3.</w:t>
      </w:r>
    </w:p>
    <w:p>
      <w:pPr>
        <w:pStyle w:val="BodyText"/>
      </w:pPr>
      <w:r>
        <w:t xml:space="preserve">A PRISMA flow diagram</w:t>
      </w:r>
      <w:r>
        <w:t xml:space="preserve"> </w:t>
      </w:r>
      <w:r>
        <w:t xml:space="preserve">[29]</w:t>
      </w:r>
      <w:r>
        <w:t xml:space="preserve"> </w:t>
      </w:r>
      <w:r>
        <w:t xml:space="preserve">summarizing the review process is shown in Fig. 1.</w:t>
      </w:r>
      <w:r>
        <w:t xml:space="preserve"> </w:t>
      </w:r>
      <w:r>
        <w:t xml:space="preserve">Detailed information on the screening process and exclusion reasons can be found in supplementary file 2.</w:t>
      </w:r>
    </w:p>
    <w:p>
      <w:pPr>
        <w:pStyle w:val="CaptionedFigure"/>
      </w:pPr>
      <w:r>
        <w:drawing>
          <wp:inline>
            <wp:extent cx="3566160" cy="4059018"/>
            <wp:effectExtent b="0" l="0" r="0" t="0"/>
            <wp:docPr descr="Fig. 1: PRISMA flow diagram" title="" id="39" name="Picture"/>
            <a:graphic>
              <a:graphicData uri="http://schemas.openxmlformats.org/drawingml/2006/picture">
                <pic:pic>
                  <pic:nvPicPr>
                    <pic:cNvPr descr="tables_figures/main/figure1.png" id="40" name="Picture"/>
                    <pic:cNvPicPr>
                      <a:picLocks noChangeArrowheads="1" noChangeAspect="1"/>
                    </pic:cNvPicPr>
                  </pic:nvPicPr>
                  <pic:blipFill>
                    <a:blip r:embed="rId38"/>
                    <a:stretch>
                      <a:fillRect/>
                    </a:stretch>
                  </pic:blipFill>
                  <pic:spPr bwMode="auto">
                    <a:xfrm>
                      <a:off x="0" y="0"/>
                      <a:ext cx="3566160" cy="4059018"/>
                    </a:xfrm>
                    <a:prstGeom prst="rect">
                      <a:avLst/>
                    </a:prstGeom>
                    <a:noFill/>
                    <a:ln w="9525">
                      <a:noFill/>
                      <a:headEnd/>
                      <a:tailEnd/>
                    </a:ln>
                  </pic:spPr>
                </pic:pic>
              </a:graphicData>
            </a:graphic>
          </wp:inline>
        </w:drawing>
      </w:r>
    </w:p>
    <w:p>
      <w:pPr>
        <w:pStyle w:val="ImageCaption"/>
      </w:pPr>
      <w:r>
        <w:t xml:space="preserve">Fig. 1: PRISMA flow diagram</w:t>
      </w:r>
    </w:p>
    <w:p>
      <w:pPr>
        <w:pStyle w:val="BodyText"/>
      </w:pPr>
      <w:r>
        <w:t xml:space="preserve">The size of the study population in included studies ranges from 127</w:t>
      </w:r>
      <w:r>
        <w:t xml:space="preserve"> </w:t>
      </w:r>
      <w:r>
        <w:t xml:space="preserve">[41]</w:t>
      </w:r>
      <w:r>
        <w:t xml:space="preserve"> </w:t>
      </w:r>
      <w:r>
        <w:t xml:space="preserve">to 1,355</w:t>
      </w:r>
      <w:r>
        <w:t xml:space="preserve"> </w:t>
      </w:r>
      <w:r>
        <w:t xml:space="preserve">[25]</w:t>
      </w:r>
      <w:r>
        <w:t xml:space="preserve">.</w:t>
      </w:r>
      <w:r>
        <w:t xml:space="preserve"> </w:t>
      </w:r>
      <w:r>
        <w:t xml:space="preserve">Study designs are cross-sectional</w:t>
      </w:r>
      <w:r>
        <w:t xml:space="preserve"> </w:t>
      </w:r>
      <w:r>
        <w:t xml:space="preserve">[35,42–46]</w:t>
      </w:r>
      <w:r>
        <w:t xml:space="preserve"> </w:t>
      </w:r>
      <w:r>
        <w:t xml:space="preserve">and cohort studies</w:t>
      </w:r>
      <w:r>
        <w:t xml:space="preserve"> </w:t>
      </w:r>
      <w:r>
        <w:t xml:space="preserve">[25,41,47–49]</w:t>
      </w:r>
      <w:r>
        <w:t xml:space="preserve">.</w:t>
      </w:r>
      <w:r>
        <w:t xml:space="preserve"> </w:t>
      </w:r>
      <w:r>
        <w:t xml:space="preserve">The included studies have been conducted in multiple different regions of the world (North America: 4, South America: 1, Europe: 3, Asia: 3, Australia: 1) and some populations have been sampled in hotspot regions with presumably higher lead concentrations</w:t>
      </w:r>
      <w:r>
        <w:t xml:space="preserve"> </w:t>
      </w:r>
      <w:r>
        <w:t xml:space="preserve">[41,42,50]</w:t>
      </w:r>
      <w:r>
        <w:t xml:space="preserve">.</w:t>
      </w:r>
      <w:r>
        <w:t xml:space="preserve"> </w:t>
      </w:r>
      <w:r>
        <w:t xml:space="preserve">The study by Roy et al.</w:t>
      </w:r>
      <w:r>
        <w:t xml:space="preserve"> </w:t>
      </w:r>
      <w:r>
        <w:t xml:space="preserve">[46]</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41"/>
    <w:bookmarkStart w:id="42"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[35,42,43,46–50]</w:t>
      </w:r>
      <w:r>
        <w:t xml:space="preserve">,</w:t>
      </w:r>
      <w:r>
        <w:t xml:space="preserve"> </w:t>
      </w:r>
      <w:r>
        <w:t xml:space="preserve">two with a moderate RoB</w:t>
      </w:r>
      <w:r>
        <w:t xml:space="preserve"> </w:t>
      </w:r>
      <w:r>
        <w:t xml:space="preserve">[44,45]</w:t>
      </w:r>
      <w:r>
        <w:t xml:space="preserve"> </w:t>
      </w:r>
      <w:r>
        <w:t xml:space="preserve">and two studies with a high RoB rating</w:t>
      </w:r>
      <w:r>
        <w:t xml:space="preserve"> </w:t>
      </w:r>
      <w:r>
        <w:t xml:space="preserve">[25,41]</w:t>
      </w:r>
      <w:r>
        <w:t xml:space="preserve">.</w:t>
      </w:r>
      <w:r>
        <w:br/>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is preferable</w:t>
      </w:r>
      <w:r>
        <w:t xml:space="preserve"> </w:t>
      </w:r>
      <w:r>
        <w:t xml:space="preserve">[51]</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 4.</w:t>
      </w:r>
    </w:p>
    <w:bookmarkEnd w:id="42"/>
    <w:bookmarkStart w:id="46" w:name="meta-analysis-results"/>
    <w:p>
      <w:pPr>
        <w:pStyle w:val="Heading2"/>
      </w:pPr>
      <w:r>
        <w:t xml:space="preserve">3.3 Meta Analysis Results</w:t>
      </w:r>
    </w:p>
    <w:p>
      <w:pPr>
        <w:pStyle w:val="FirstParagraph"/>
      </w:pPr>
      <w:r>
        <w:t xml:space="preserve">The prior predictive check indicates that the specified priors are appropriate (supplementary file 3).</w:t>
      </w:r>
      <w:r>
        <w:t xml:space="preserve"> </w:t>
      </w:r>
      <w:r>
        <w:t xml:space="preserve">The posterior predictive check suggested appropriate model specification (supplementary file 4).</w:t>
      </w:r>
      <w:r>
        <w:t xml:space="preserve"> </w:t>
      </w:r>
      <m:oMath>
        <m:acc>
          <m:accPr>
            <m:chr m:val="̂"/>
          </m:accPr>
          <m:e>
            <m:r>
              <m:t>R</m:t>
            </m:r>
          </m:e>
        </m:acc>
      </m:oMath>
      <w:r>
        <w:t xml:space="preserve"> </w:t>
      </w:r>
      <w:r>
        <w:t xml:space="preserve">values indicate well converged MCMC chains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suggest well-mixed chains and good convergence (supplementary file 5).</w:t>
      </w:r>
      <w:r>
        <w:t xml:space="preserve"> </w:t>
      </w:r>
      <w:r>
        <w:t xml:space="preserve">ESS for the central part of the posterior distribution for</w:t>
      </w:r>
      <w:r>
        <w:t xml:space="preserve"> </w:t>
      </w:r>
      <m:oMath>
        <m:r>
          <m:t>μ</m:t>
        </m:r>
      </m:oMath>
      <w:r>
        <w:t xml:space="preserve"> </w:t>
      </w:r>
      <w:r>
        <w:t xml:space="preserve">is 1,796 and 2,504 for the tails of the distribution.</w:t>
      </w:r>
      <w:r>
        <w:t xml:space="preserve"> </w:t>
      </w:r>
      <w:r>
        <w:t xml:space="preserve">This corresponds to 22.5% and 31.3% of total samples respectively, indicating efficiently sampled posterior distribution of</w:t>
      </w:r>
      <w:r>
        <w:t xml:space="preserve"> </w:t>
      </w:r>
      <m:oMath>
        <m:r>
          <m:t>μ</m:t>
        </m:r>
      </m:oMath>
      <w:r>
        <w:t xml:space="preserve"> </w:t>
      </w:r>
      <w:r>
        <w:t xml:space="preserve">across both its central tendency and tail regions, and that central point estimates and credible intervals can be interpreted with confidence.</w:t>
      </w:r>
    </w:p>
    <w:p>
      <w:pPr>
        <w:pStyle w:val="BodyText"/>
      </w:pPr>
      <w:r>
        <w:t xml:space="preserve">The Bayesian random-effects meta-analysis yielded a posterior mean pooled estimate of -2.28 (95% credible interval (CrI): -3.56; -1.06) IQ points per log-unit increase in BLL (µg/dL).</w:t>
      </w:r>
      <w:r>
        <w:t xml:space="preserve"> </w:t>
      </w:r>
      <w:r>
        <w:t xml:space="preserve">The frequentist approach produced a comparable pooled estimate of -2.45 (95% confidence interval (CI): -3.7; -1.2).</w:t>
      </w:r>
      <w:r>
        <w:br/>
      </w:r>
      <w:r>
        <w:t xml:space="preserve">Substantial between-study heterogeneity was observed under both frameworks.</w:t>
      </w:r>
      <w:r>
        <w:t xml:space="preserve"> </w:t>
      </w:r>
      <w:r>
        <w:t xml:space="preserve">In the Bayesian model, between-study heterogeneity was estimated as</w:t>
      </w:r>
      <w:r>
        <w:t xml:space="preserve"> </w:t>
      </w:r>
      <m:oMath>
        <m:sSup>
          <m:e>
            <m:r>
              <m:t>τ</m:t>
            </m:r>
          </m:e>
          <m:sup>
            <m:r>
              <m:t>2</m:t>
            </m:r>
          </m:sup>
        </m:sSup>
      </m:oMath>
      <w:r>
        <w:t xml:space="preserve"> </w:t>
      </w:r>
      <w:r>
        <w:t xml:space="preserve">= 3.8 (95% CrI: 1; 9.5), corresponding to an</w:t>
      </w:r>
      <w:r>
        <w:t xml:space="preserve"> </w:t>
      </w:r>
      <m:oMath>
        <m:sSup>
          <m:e>
            <m:r>
              <m:rPr>
                <m:nor/>
                <m:sty m:val="p"/>
              </m:rPr>
              <m:t>I</m:t>
            </m:r>
          </m:e>
          <m:sup>
            <m:r>
              <m:t>2</m:t>
            </m:r>
          </m:sup>
        </m:sSup>
      </m:oMath>
      <w:r>
        <w:t xml:space="preserve"> </w:t>
      </w:r>
      <w:r>
        <w:t xml:space="preserve">of 83.3% (95% CrI: 63.9%; 94.2%).</w:t>
      </w:r>
      <w:r>
        <w:t xml:space="preserve"> </w:t>
      </w:r>
      <w:r>
        <w:t xml:space="preserve">Similarly, the frequentist model estimated</w:t>
      </w:r>
      <w:r>
        <w:t xml:space="preserve"> </w:t>
      </w:r>
      <m:oMath>
        <m:sSup>
          <m:e>
            <m:r>
              <m:t>τ</m:t>
            </m:r>
          </m:e>
          <m:sup>
            <m:r>
              <m:t>2</m:t>
            </m:r>
          </m:sup>
        </m:sSup>
      </m:oMath>
      <w:r>
        <w:t xml:space="preserve"> </w:t>
      </w:r>
      <w:r>
        <w:t xml:space="preserve">= 3.3 (95% CI: 1; 3.3), with</w:t>
      </w:r>
      <w:r>
        <w:t xml:space="preserve"> </w:t>
      </w:r>
      <m:oMath>
        <m:sSup>
          <m:e>
            <m:r>
              <m:rPr>
                <m:nor/>
                <m:sty m:val="p"/>
              </m:rPr>
              <m:t>I</m:t>
            </m:r>
          </m:e>
          <m:sup>
            <m:r>
              <m:t>2</m:t>
            </m:r>
          </m:sup>
        </m:sSup>
      </m:oMath>
      <w:r>
        <w:t xml:space="preserve"> </w:t>
      </w:r>
      <w:r>
        <w:t xml:space="preserve">= 85% (95% CI: 62.7; 95.2%).</w:t>
      </w:r>
    </w:p>
    <w:p>
      <w:pPr>
        <w:pStyle w:val="BodyText"/>
      </w:pPr>
      <w:r>
        <w:t xml:space="preserve">Forest plots of both approaches are shown in Fig.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44" name="Picture"/>
            <a:graphic>
              <a:graphicData uri="http://schemas.openxmlformats.org/drawingml/2006/picture">
                <pic:pic>
                  <pic:nvPicPr>
                    <pic:cNvPr descr="./tables_figures/main/combined_forest_plots.png" id="45" name="Picture"/>
                    <pic:cNvPicPr>
                      <a:picLocks noChangeArrowheads="1" noChangeAspect="1"/>
                    </pic:cNvPicPr>
                  </pic:nvPicPr>
                  <pic:blipFill>
                    <a:blip r:embed="rId43"/>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depicted in Fig. 2 are not the same in both approaches because the Bayesian model estimates a posterior distribution for every individual study, which is displayed in the forest plot.</w:t>
      </w:r>
      <w:r>
        <w:t xml:space="preserve"> </w:t>
      </w:r>
      <w:r>
        <w:t xml:space="preserve">The posterior distributions are influenced by all other included studies as well as the specified priors.</w:t>
      </w:r>
      <w:r>
        <w:t xml:space="preserve"> </w:t>
      </w:r>
      <w:r>
        <w:t xml:space="preserve">This leads to a shrinkage of the posterior means towards the pooled effect and is comparable to the inverse-variance weighting in frequentist meta-analyses.</w:t>
      </w:r>
    </w:p>
    <w:bookmarkEnd w:id="46"/>
    <w:bookmarkStart w:id="47" w:name="sensitivity-analysis-results"/>
    <w:p>
      <w:pPr>
        <w:pStyle w:val="Heading2"/>
      </w:pPr>
      <w:r>
        <w:t xml:space="preserve">3.4 Sensitivity Analysis Results</w:t>
      </w:r>
    </w:p>
    <w:p>
      <w:pPr>
        <w:pStyle w:val="FirstParagraph"/>
      </w:pPr>
      <w:r>
        <w:t xml:space="preserve">We conducted two sets of sensitivity analyses, results are shown in Tab. 5.</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models, the strength of the mean pooled effect decreased after removing studies with high risk of bias and slightly increased again after removing high and moderate RoB studies.</w:t>
      </w:r>
      <w:r>
        <w:t xml:space="preserve"> </w:t>
      </w:r>
      <w:r>
        <w:t xml:space="preserve">Because the margins of shifts in effects are small and the effects shifted in both directions, the results can be considered generally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ty m:val="p"/>
            <m:scr m:val="script"/>
          </m:rPr>
          <m:t>N</m:t>
        </m:r>
        <m:d>
          <m:dPr>
            <m:begChr m:val="("/>
            <m:sepChr m:val=""/>
            <m:endChr m:val=")"/>
            <m:grow/>
          </m:dPr>
          <m:e>
            <m:r>
              <m:t>0</m:t>
            </m:r>
            <m:r>
              <m:rPr>
                <m:sty m:val="p"/>
              </m:rPr>
              <m:t>,</m:t>
            </m:r>
            <m:r>
              <m:t>6</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 the posterior mean of</w:t>
      </w:r>
      <w:r>
        <w:t xml:space="preserve"> </w:t>
      </w:r>
      <m:oMath>
        <m:r>
          <m:t>μ</m:t>
        </m:r>
      </m:oMath>
      <w:r>
        <w:t xml:space="preserve"> </w:t>
      </w:r>
      <w:r>
        <w:t xml:space="preserve">increases slightly compared to the main model.</w:t>
      </w:r>
      <w:r>
        <w:t xml:space="preserve"> </w:t>
      </w:r>
      <w:r>
        <w:t xml:space="preserve">Using this set of priors, more weight is given to studies reporting high effects with large uncertainty ranges.</w:t>
      </w:r>
      <w:r>
        <w:t xml:space="preserve"> </w:t>
      </w:r>
      <w:r>
        <w:t xml:space="preserve">The results of the prior sensitivity analysis support the specified set of priors in the main analysis.</w:t>
      </w:r>
      <w:r>
        <w:t xml:space="preserve"> </w:t>
      </w:r>
      <w:r>
        <w:t xml:space="preserve">Supplementary file 6 shows prior, observed data and posterior distributions of all three prior specifications.</w:t>
      </w:r>
    </w:p>
    <w:bookmarkEnd w:id="47"/>
    <w:bookmarkEnd w:id="48"/>
    <w:bookmarkStart w:id="49"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approach to meta-analysis to a Bayesian approach that is less used in the field of environmental epidemiology to date.</w:t>
      </w:r>
      <w:r>
        <w:t xml:space="preserve"> </w:t>
      </w:r>
    </w:p>
    <w:p>
      <w:pPr>
        <w:pStyle w:val="BodyText"/>
      </w:pPr>
      <w:r>
        <w:t xml:space="preserve">While previous publications have compared both frameworks, they focus either on evidence-based medicine</w:t>
      </w:r>
      <w:r>
        <w:t xml:space="preserve"> </w:t>
      </w:r>
      <w:r>
        <w:t xml:space="preserve">[52–55]</w:t>
      </w:r>
      <w:r>
        <w:t xml:space="preserve"> </w:t>
      </w:r>
      <w:r>
        <w:t xml:space="preserve">or network meta-analysis</w:t>
      </w:r>
      <w:r>
        <w:t xml:space="preserve"> </w:t>
      </w:r>
      <w:r>
        <w:t xml:space="preserve">[56,57]</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r>
        <w:t xml:space="preserve"> </w:t>
      </w:r>
      <w:r>
        <w:t xml:space="preserve">All data and computational code are publicly available on</w:t>
      </w:r>
      <w:r>
        <w:t xml:space="preserve"> </w:t>
      </w:r>
      <w:hyperlink r:id="rId30">
        <w:r>
          <w:rPr>
            <w:rStyle w:val="Hyperlink"/>
          </w:rPr>
          <w:t xml:space="preserve">GitHub</w:t>
        </w:r>
      </w:hyperlink>
      <w:r>
        <w:t xml:space="preserve">, making the analysis fully reproducible.</w:t>
      </w:r>
    </w:p>
    <w:p>
      <w:pPr>
        <w:pStyle w:val="BodyText"/>
      </w:pPr>
      <w:r>
        <w:t xml:space="preserve">Pooled effect estimates and measures of heterogeneity were largely consistent across both approaches, though the Bayesian model yielded slightly lower mean pooled effects.</w:t>
      </w:r>
      <w:r>
        <w:t xml:space="preserve"> </w:t>
      </w:r>
      <w:r>
        <w:t xml:space="preserve">Prior sensitivity analyses indicate that this is attributable to posterior shrinkage of study-level estimates, comparable to inverse-variance weighting in frequentist meta-analysis, combined with the regularizing effect of the specified priors.</w:t>
      </w:r>
      <w:r>
        <w:t xml:space="preserve"> </w:t>
      </w:r>
      <w:r>
        <w:t xml:space="preserve">Importantly, this difference does not materially affect the overall interpretation of the association between lead exposure and IQ.</w:t>
      </w:r>
      <w:r>
        <w:t xml:space="preserve"> </w:t>
      </w:r>
      <w:r>
        <w:t xml:space="preserve">However, it illustrates that Bayesian meta-analysis can be less sensitive to outlier studies reporting large effects with substantial uncertainty, provided that priors (more specifically the prior for heterogeneity) reflecting plausible domain knowledge are specified.</w:t>
      </w:r>
      <w:r>
        <w:t xml:space="preserve"> </w:t>
      </w:r>
      <w:r>
        <w:t xml:space="preserve">In contrast, frequentist models implicitly rely on flat or non-informative priors, which result in greater sensitivity to outliers</w:t>
      </w:r>
      <w:r>
        <w:t xml:space="preserve"> </w:t>
      </w:r>
      <w:r>
        <w:t xml:space="preserve">[58]</w:t>
      </w:r>
      <w:r>
        <w:t xml:space="preserve">.</w:t>
      </w:r>
    </w:p>
    <w:p>
      <w:pPr>
        <w:pStyle w:val="BodyText"/>
      </w:pPr>
      <w:r>
        <w:t xml:space="preserve">Conducting a Bayesian meta-analysis can be demanding than frequentist approaches, requiring greater statistical knowledge, explicit consideration of modelling assumptions, and in practice often more programming effort</w:t>
      </w:r>
      <w:r>
        <w:t xml:space="preserve"> </w:t>
      </w:r>
      <w:r>
        <w:t xml:space="preserve">[59]</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lies in the nature of their results.</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br/>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probabilistically.</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 or risk thresholds are defined, exceedance probabilities can be directly obtained from the posterior, providing an intuitive and policy-relevant summary of uncertainty.</w:t>
      </w:r>
      <w:r>
        <w:br/>
      </w:r>
      <w:r>
        <w:t xml:space="preserve">Posterior distributions together with the specified statistical model can be used to generate predictions for theoretical future studies, offering an additional way of characterizing between-study heterogeneity.</w:t>
      </w:r>
      <w:r>
        <w:t xml:space="preserve"> </w:t>
      </w:r>
      <w:r>
        <w:t xml:space="preserve">They also enable estimation of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disability-adjusted life years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[60]</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[13,15,16,19]</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[20,61,62]</w:t>
      </w:r>
      <w:r>
        <w:t xml:space="preserve">, while others reported partial</w:t>
      </w:r>
      <w:r>
        <w:t xml:space="preserve"> </w:t>
      </w:r>
      <m:oMath>
        <m:r>
          <m:rPr>
            <m:nor/>
            <m:sty m:val="p"/>
          </m:rPr>
          <m:t>r</m:t>
        </m:r>
      </m:oMath>
      <w:r>
        <w:t xml:space="preserve"> </w:t>
      </w:r>
      <w:r>
        <w:t xml:space="preserve">[14]</w:t>
      </w:r>
      <w:r>
        <w:t xml:space="preserve"> </w:t>
      </w:r>
      <w:r>
        <w:t xml:space="preserve">or standardized mean differences</w:t>
      </w:r>
      <w:r>
        <w:t xml:space="preserve"> </w:t>
      </w:r>
      <w:r>
        <w:t xml:space="preserve">[63]</w:t>
      </w:r>
      <w:r>
        <w:t xml:space="preserve">.</w:t>
      </w:r>
    </w:p>
    <w:p>
      <w:pPr>
        <w:pStyle w:val="BodyText"/>
      </w:pPr>
      <w:r>
        <w:t xml:space="preserve">The RoB sensitivity analysis indicated that results are generally robust to individual-study bias.</w:t>
      </w:r>
      <w:r>
        <w:t xml:space="preserve"> </w:t>
      </w:r>
      <w:r>
        <w:t xml:space="preserve">Notably, the study published by Crump et al. (2013)</w:t>
      </w:r>
      <w:r>
        <w:t xml:space="preserve"> </w:t>
      </w:r>
      <w:r>
        <w:t xml:space="preserve">[25]</w:t>
      </w:r>
      <w:r>
        <w:t xml:space="preserve">, which is a re-analysis of the landmark study by Lanphear et al. (2005)</w:t>
      </w:r>
      <w:r>
        <w:t xml:space="preserve"> </w:t>
      </w:r>
      <w:r>
        <w:t xml:space="preserve">[16]</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[51,64,65]</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[42,48]</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[50]</w:t>
      </w:r>
      <w:r>
        <w:t xml:space="preserve">.</w:t>
      </w:r>
      <w:r>
        <w:t xml:space="preserve"> </w:t>
      </w:r>
      <w:r>
        <w:t xml:space="preserve">Additionally, studies with larger standard errors tended to report larger effects, suggesting a possible presence of publication bias.</w:t>
      </w:r>
      <w:r>
        <w:t xml:space="preserve"> </w:t>
      </w:r>
      <w:r>
        <w:t xml:space="preserve">The Bayesian approach was less sensitive to such outliers, as conservative priors downweight extreme estimates, which is a particular advantage when pooling a small number of studies.</w:t>
      </w:r>
    </w:p>
    <w:p>
      <w:pPr>
        <w:pStyle w:val="BodyText"/>
      </w:pPr>
      <w:r>
        <w:t xml:space="preserve">This study has several limitations.</w:t>
      </w:r>
      <w:r>
        <w:t xml:space="preserve"> </w:t>
      </w:r>
      <w:r>
        <w:t xml:space="preserve">The included studies are heterogeneous in terms of covariate adjustment and cohort location, which limits the generalizability of the pooled estimate to any specific population.</w:t>
      </w:r>
      <w:r>
        <w:t xml:space="preserve"> </w:t>
      </w:r>
      <w:r>
        <w:t xml:space="preserve">Publication bias was assessed only through visual inspection; formal statistical testing, such as Egger’s test, would provide a more rigorous evaluation.</w:t>
      </w:r>
      <w:r>
        <w:t xml:space="preserve"> </w:t>
      </w:r>
      <w:r>
        <w:t xml:space="preserve">The visual assessment suggested the presence of publication bias, which may lead to overestimation of the pooled effect.</w:t>
      </w:r>
      <w:r>
        <w:t xml:space="preserve"> </w:t>
      </w:r>
      <w:r>
        <w:t xml:space="preserve">Furthermore, effect estimates from studies that did not transform BLL to the logarithmic scale were excluded, as the transformation could not be justified.</w:t>
      </w:r>
      <w:r>
        <w:t xml:space="preserve"> </w:t>
      </w:r>
      <w:r>
        <w:t xml:space="preserve">This reduced the number of studies included in the meta-analysis and is an additional limitation.</w:t>
      </w:r>
    </w:p>
    <w:bookmarkEnd w:id="49"/>
    <w:bookmarkStart w:id="50"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more conventional frequentist frameworks for meta-analysis.</w:t>
      </w:r>
      <w:r>
        <w:t xml:space="preserve"> </w:t>
      </w:r>
      <w:r>
        <w:t xml:space="preserve">The resulting pooled effect estimates are consistent with previous evidence and once again emphasize the importance of reducing environmental lead contamination to reduce the public health burden this substance continues to impose.</w:t>
      </w:r>
      <w:r>
        <w:br/>
      </w: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therefore want to encourage researchers to consider Bayesian methods where capacity allows.</w:t>
      </w:r>
    </w:p>
    <w:bookmarkEnd w:id="50"/>
    <w:bookmarkStart w:id="51"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REML</w:t>
            </w:r>
          </w:p>
        </w:tc>
        <w:tc>
          <w:tcPr/>
          <w:p>
            <w:pPr>
              <w:pStyle w:val="Compact"/>
              <w:jc w:val="left"/>
            </w:pPr>
            <w:r>
              <w:t xml:space="preserve">Restricted maximum-likelihood</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51"/>
    <w:bookmarkStart w:id="52"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52"/>
    <w:bookmarkStart w:id="53"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3"/>
    <w:bookmarkStart w:id="179" w:name="bibliography"/>
    <w:p>
      <w:pPr>
        <w:pStyle w:val="Heading1"/>
      </w:pPr>
      <w:r>
        <w:t xml:space="preserve">References</w:t>
      </w:r>
    </w:p>
    <w:bookmarkStart w:id="178" w:name="refs"/>
    <w:bookmarkStart w:id="55" w:name="Xe38019c88c6d2792bb296bad7dc0a4dd55f1319"/>
    <w:p>
      <w:pPr>
        <w:pStyle w:val="Bibliography"/>
      </w:pPr>
      <w:r>
        <w:t xml:space="preserve">[1]</w:t>
      </w:r>
      <w:r>
        <w:t xml:space="preserve"> </w:t>
      </w:r>
      <w:r>
        <w:t xml:space="preserve">	</w:t>
      </w:r>
      <w:r>
        <w:t xml:space="preserve">Salamanca-Fernández E, Peinado FM, Esteban-López M, Puklova V, Poyatos RM, Govarts E, Laeremans M, Leermakers M, Den Hond E, Schoeters G, Murawski A, Pedraza-Díaz S, Szigeti T, Verheyen V, Vogel N, Weber T, Hahn D, Zimmermann P, Kolossa-Gehring M, Fernandez MF, Arrebola JP. Sociodemographic determinants and temporal variability of blood lead levels (2003–2019) in a pooled analysis of nine studies in four</w:t>
      </w:r>
      <w:r>
        <w:t xml:space="preserve"> </w:t>
      </w:r>
      <w:r>
        <w:t xml:space="preserve">European</w:t>
      </w:r>
      <w:r>
        <w:t xml:space="preserve"> </w:t>
      </w:r>
      <w:r>
        <w:t xml:space="preserve">countries. Sci Rep 2025;15:34562.</w:t>
      </w:r>
      <w:r>
        <w:t xml:space="preserve"> </w:t>
      </w:r>
      <w:hyperlink r:id="rId54">
        <w:r>
          <w:rPr>
            <w:rStyle w:val="Hyperlink"/>
          </w:rPr>
          <w:t xml:space="preserve">https://doi.org/10.1038/s41598-025-17943-w</w:t>
        </w:r>
      </w:hyperlink>
      <w:r>
        <w:t xml:space="preserve">.</w:t>
      </w:r>
    </w:p>
    <w:bookmarkEnd w:id="55"/>
    <w:bookmarkStart w:id="57" w:name="ref-lacerda2023GlobalDecreaseBlood"/>
    <w:p>
      <w:pPr>
        <w:pStyle w:val="Bibliography"/>
      </w:pPr>
      <w:r>
        <w:t xml:space="preserve">[2]</w:t>
      </w:r>
      <w:r>
        <w:t xml:space="preserve"> </w:t>
      </w:r>
      <w:r>
        <w:t xml:space="preserve">	</w:t>
      </w:r>
      <w:r>
        <w:t xml:space="preserve">Lacerda D, Pestana IA, Santos Vergilio CD, de Rezende CE. Global decrease in blood lead concentrations due to the removal of leaded gasoline. Chemosphere 2023;324:138207.</w:t>
      </w:r>
      <w:r>
        <w:t xml:space="preserve"> </w:t>
      </w:r>
      <w:hyperlink r:id="rId56">
        <w:r>
          <w:rPr>
            <w:rStyle w:val="Hyperlink"/>
          </w:rPr>
          <w:t xml:space="preserve">https://doi.org/10.1016/j.chemosphere.2023.138207</w:t>
        </w:r>
      </w:hyperlink>
      <w:r>
        <w:t xml:space="preserve">.</w:t>
      </w:r>
    </w:p>
    <w:bookmarkEnd w:id="57"/>
    <w:bookmarkStart w:id="59" w:name="X4707f3a4b72a0982487545f9dc3d674642af108"/>
    <w:p>
      <w:pPr>
        <w:pStyle w:val="Bibliography"/>
      </w:pPr>
      <w:r>
        <w:t xml:space="preserve">[3]</w:t>
      </w:r>
      <w:r>
        <w:t xml:space="preserve"> </w:t>
      </w:r>
      <w:r>
        <w:t xml:space="preserve">	</w:t>
      </w:r>
      <w:r>
        <w:t xml:space="preserve">European Food Safety Authority. Lead dietary exposure in the</w:t>
      </w:r>
      <w:r>
        <w:t xml:space="preserve"> </w:t>
      </w:r>
      <w:r>
        <w:t xml:space="preserve">European</w:t>
      </w:r>
      <w:r>
        <w:t xml:space="preserve"> </w:t>
      </w:r>
      <w:r>
        <w:t xml:space="preserve">population. EFS2 2012;10.</w:t>
      </w:r>
      <w:r>
        <w:t xml:space="preserve"> </w:t>
      </w:r>
      <w:hyperlink r:id="rId58">
        <w:r>
          <w:rPr>
            <w:rStyle w:val="Hyperlink"/>
          </w:rPr>
          <w:t xml:space="preserve">https://doi.org/10.2903/j.efsa.2012.2831</w:t>
        </w:r>
      </w:hyperlink>
      <w:r>
        <w:t xml:space="preserve">.</w:t>
      </w:r>
    </w:p>
    <w:bookmarkEnd w:id="59"/>
    <w:bookmarkStart w:id="61" w:name="ref-sy2024AssessmentLongTermExposure"/>
    <w:p>
      <w:pPr>
        <w:pStyle w:val="Bibliography"/>
      </w:pPr>
      <w:r>
        <w:t xml:space="preserve">[4]</w:t>
      </w:r>
      <w:r>
        <w:t xml:space="preserve"> </w:t>
      </w:r>
      <w:r>
        <w:t xml:space="preserve">	</w:t>
      </w:r>
      <w:r>
        <w:t xml:space="preserve">Sy M, Eleftheriadou D, Jung C, Lindtner O, Karakitsios S, Sarigiannis D, Weber T, Kolossa-Gehring M, Greiner M.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 Health 2024;16:21–39.</w:t>
      </w:r>
      <w:r>
        <w:t xml:space="preserve"> </w:t>
      </w:r>
      <w:hyperlink r:id="rId60">
        <w:r>
          <w:rPr>
            <w:rStyle w:val="Hyperlink"/>
          </w:rPr>
          <w:t xml:space="preserve">https://doi.org/10.1007/s12403-023-00535-2</w:t>
        </w:r>
      </w:hyperlink>
      <w:r>
        <w:t xml:space="preserve">.</w:t>
      </w:r>
    </w:p>
    <w:bookmarkEnd w:id="61"/>
    <w:bookmarkStart w:id="63" w:name="ref-brauer2024GlobalBurdenStrength"/>
    <w:p>
      <w:pPr>
        <w:pStyle w:val="Bibliography"/>
      </w:pPr>
      <w:r>
        <w:t xml:space="preserve">[5]</w:t>
      </w:r>
      <w:r>
        <w:t xml:space="preserve"> </w:t>
      </w:r>
      <w:r>
        <w:t xml:space="preserve">	</w:t>
      </w:r>
      <w:r>
        <w:t xml:space="preserve">Brauer M, Roth GA, Aravkin AY, Zheng P, Abate KH, Abate YH, Abbafati C, Abbasgholizadeh R, Abbasi MA, Abbasian M, Abbasifard M, Abbasi-Kangevari M, Abd ElHafeez S, Abd-Elsalam S, Abdi P, Abdollahi M, Abdoun M, Abdulah DM, Abdullahi A, Abebe M, Abedi A, Abedi A, Abegaz TM, Abeldaño Zuñiga RA, Abiodun O, Abiso TL, Aboagye RG, Abolhassani H, Abouzid M, Aboye GB, Abreu LG, Abualruz H, Abubakar B, Abu-Gharbieh E, Abukhadijah HJJ, Aburuz S, Abu-Zaid A, Adane MM, Addo IY, Addolorato G, Adedoyin RA, Adekanmbi V, Aden B, Adetunji JB, Adeyeoluwa TE, Adha R, Adibi A, Adnani QES, Adzigbli LA, Afolabi AA, Afolabi RF, Afshin A, Afyouni S, Afzal MS, Afzal S, Agampodi SB, Agbozo F, Aghamiri S, Agodi A, Agrawal A, Agyemang-Duah W, Ahinkorah BO, Ahmad A, Ahmad D, Ahmad F, Ahmad N, Ahmad S, Ahmad T, Ahmed A, Ahmed A, Ahmed A, Ahmed LA, Ahmed MB, Ahmed S, Ahmed SA, Ajami M, Akalu GT, Akara EM, Akbarialiabad H, Akhlaghi S, Akinosoglou K, Akinyemiju T, Akkaif MA, Akkala S, Akombi-Inyang B, Al Awaidy S, Al Hasan SM, Alahdab F, Al-Ahdal TMA, Alalalmeh SO, Alalwan TA, Al-Aly Z, Alam K, Alam N, Alanezi FM, Alanzi TM, Albakri A, AlBataineh MT, Aldhaleei WA, Aldridge RW, others. Global burden and strength of evidence for 88 risk factors in 204 countries and 811 subnational locations, 1990&amp;#x2013;2021: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2021. The Lancet 2024;403:2162–203.</w:t>
      </w:r>
      <w:r>
        <w:t xml:space="preserve"> </w:t>
      </w:r>
      <w:hyperlink r:id="rId62">
        <w:r>
          <w:rPr>
            <w:rStyle w:val="Hyperlink"/>
          </w:rPr>
          <w:t xml:space="preserve">https://doi.org/10.1016/S0140-6736(24)00933-4</w:t>
        </w:r>
      </w:hyperlink>
      <w:r>
        <w:t xml:space="preserve">.</w:t>
      </w:r>
    </w:p>
    <w:bookmarkEnd w:id="63"/>
    <w:bookmarkStart w:id="65" w:name="ref-harari2018BloodLeadLevels"/>
    <w:p>
      <w:pPr>
        <w:pStyle w:val="Bibliography"/>
      </w:pPr>
      <w:r>
        <w:t xml:space="preserve">[6]</w:t>
      </w:r>
      <w:r>
        <w:t xml:space="preserve"> </w:t>
      </w:r>
      <w:r>
        <w:t xml:space="preserve">	</w:t>
      </w:r>
      <w:r>
        <w:t xml:space="preserve">Harari F, Sallsten G, Christensson A, Petkovic M, Hedblad B, Forsgard N, Melander O, Nilsson PM, Borné Y, Engström G, Barregard L.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American Journal of Kidney Diseases 2018;72:381–9.</w:t>
      </w:r>
      <w:r>
        <w:t xml:space="preserve"> </w:t>
      </w:r>
      <w:hyperlink r:id="rId64">
        <w:r>
          <w:rPr>
            <w:rStyle w:val="Hyperlink"/>
          </w:rPr>
          <w:t xml:space="preserve">https://doi.org/10.1053/j.ajkd.2018.02.358</w:t>
        </w:r>
      </w:hyperlink>
      <w:r>
        <w:t xml:space="preserve">.</w:t>
      </w:r>
    </w:p>
    <w:bookmarkEnd w:id="65"/>
    <w:bookmarkStart w:id="67" w:name="ref-wan2022ChronicLeadExposure"/>
    <w:p>
      <w:pPr>
        <w:pStyle w:val="Bibliography"/>
      </w:pPr>
      <w:r>
        <w:t xml:space="preserve">[7]</w:t>
      </w:r>
      <w:r>
        <w:t xml:space="preserve"> </w:t>
      </w:r>
      <w:r>
        <w:t xml:space="preserve">	</w:t>
      </w:r>
      <w:r>
        <w:t xml:space="preserve">Wan H, Wang Y, Zhang H, Zhang K, Chen Y, Chen C, Zhang W, Xia F, Wang N, Lu Y. Chronic lead exposure induces fatty liver disease associated with the variations of gut microbiota. Ecotoxicology and Environmental Safety 2022;232:113257.</w:t>
      </w:r>
      <w:r>
        <w:t xml:space="preserve"> </w:t>
      </w:r>
      <w:hyperlink r:id="rId66">
        <w:r>
          <w:rPr>
            <w:rStyle w:val="Hyperlink"/>
          </w:rPr>
          <w:t xml:space="preserve">https://doi.org/10.1016/j.ecoenv.2022.113257</w:t>
        </w:r>
      </w:hyperlink>
      <w:r>
        <w:t xml:space="preserve">.</w:t>
      </w:r>
    </w:p>
    <w:bookmarkEnd w:id="67"/>
    <w:bookmarkStart w:id="69" w:name="ref-rosengren2025ExposureLeadCoronary"/>
    <w:p>
      <w:pPr>
        <w:pStyle w:val="Bibliography"/>
      </w:pPr>
      <w:r>
        <w:t xml:space="preserve">[8]</w:t>
      </w:r>
      <w:r>
        <w:t xml:space="preserve"> </w:t>
      </w:r>
      <w:r>
        <w:t xml:space="preserve">	</w:t>
      </w:r>
      <w:r>
        <w:t xml:space="preserve">Rosengren E, Barregard L, Sallsten G, Fagerberg B, Engström G, Fagman E, Forsgard N, Lundh T, Bergström G, Harari F.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JAHA 2025;14:e037633.</w:t>
      </w:r>
      <w:r>
        <w:t xml:space="preserve"> </w:t>
      </w:r>
      <w:hyperlink r:id="rId68">
        <w:r>
          <w:rPr>
            <w:rStyle w:val="Hyperlink"/>
          </w:rPr>
          <w:t xml:space="preserve">https://doi.org/10.1161/JAHA.124.037633</w:t>
        </w:r>
      </w:hyperlink>
      <w:r>
        <w:t xml:space="preserve">.</w:t>
      </w:r>
    </w:p>
    <w:bookmarkEnd w:id="69"/>
    <w:bookmarkStart w:id="71" w:name="ref-lanphear2018LowlevelLeadExposure"/>
    <w:p>
      <w:pPr>
        <w:pStyle w:val="Bibliography"/>
      </w:pPr>
      <w:r>
        <w:t xml:space="preserve">[9]</w:t>
      </w:r>
      <w:r>
        <w:t xml:space="preserve"> </w:t>
      </w:r>
      <w:r>
        <w:t xml:space="preserve">	</w:t>
      </w:r>
      <w:r>
        <w:t xml:space="preserve">Lanphear BP, Rauch S, Auinger P, Allen RW, Hornung RW. Low-level lead exposure and mortality in</w:t>
      </w:r>
      <w:r>
        <w:t xml:space="preserve"> </w:t>
      </w:r>
      <w:r>
        <w:t xml:space="preserve">US</w:t>
      </w:r>
      <w:r>
        <w:t xml:space="preserve"> </w:t>
      </w:r>
      <w:r>
        <w:t xml:space="preserve">adults: A population-based cohort study. The Lancet Public Health 2018;3:e177–84.</w:t>
      </w:r>
      <w:r>
        <w:t xml:space="preserve"> </w:t>
      </w:r>
      <w:hyperlink r:id="rId70">
        <w:r>
          <w:rPr>
            <w:rStyle w:val="Hyperlink"/>
          </w:rPr>
          <w:t xml:space="preserve">https://doi.org/10.1016/S2468-2667(18)30025-2</w:t>
        </w:r>
      </w:hyperlink>
      <w:r>
        <w:t xml:space="preserve">.</w:t>
      </w:r>
    </w:p>
    <w:bookmarkEnd w:id="71"/>
    <w:bookmarkStart w:id="73" w:name="ref-chang2006LowBloodLead"/>
    <w:p>
      <w:pPr>
        <w:pStyle w:val="Bibliography"/>
      </w:pPr>
      <w:r>
        <w:t xml:space="preserve">[10]</w:t>
      </w:r>
      <w:r>
        <w:t xml:space="preserve"> </w:t>
      </w:r>
      <w:r>
        <w:t xml:space="preserve">	</w:t>
      </w:r>
      <w:r>
        <w:t xml:space="preserve">Chang S-H, Cheng B-H, Lee S-L, Chuang H-Y, Yang C-Y, Sung F-C, Wu T-N. Low blood lead concentration in association with infertility in women. Environmental Research 2006;101:380–6.</w:t>
      </w:r>
      <w:r>
        <w:t xml:space="preserve"> </w:t>
      </w:r>
      <w:hyperlink r:id="rId72">
        <w:r>
          <w:rPr>
            <w:rStyle w:val="Hyperlink"/>
          </w:rPr>
          <w:t xml:space="preserve">https://doi.org/10.1016/j.envres.2005.10.004</w:t>
        </w:r>
      </w:hyperlink>
      <w:r>
        <w:t xml:space="preserve">.</w:t>
      </w:r>
    </w:p>
    <w:bookmarkEnd w:id="73"/>
    <w:bookmarkStart w:id="75" w:name="Xadfdab0209e4a364d9fdcffecfddb00700d2db9"/>
    <w:p>
      <w:pPr>
        <w:pStyle w:val="Bibliography"/>
      </w:pPr>
      <w:r>
        <w:t xml:space="preserve">[11]</w:t>
      </w:r>
      <w:r>
        <w:t xml:space="preserve"> </w:t>
      </w:r>
      <w:r>
        <w:t xml:space="preserve">	</w:t>
      </w:r>
      <w:r>
        <w:t xml:space="preserve">Dimitrov LV, Kaminski JW, Holbrook JR, Bitsko RH, Yeh M, Courtney JG, O’Masta B, Maher B, Cerles A, McGowan K, Rush M.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2024;25:225–48.</w:t>
      </w:r>
      <w:r>
        <w:t xml:space="preserve"> </w:t>
      </w:r>
      <w:hyperlink r:id="rId74">
        <w:r>
          <w:rPr>
            <w:rStyle w:val="Hyperlink"/>
          </w:rPr>
          <w:t xml:space="preserve">https://doi.org/10.1007/s11121-023-01601-6</w:t>
        </w:r>
      </w:hyperlink>
      <w:r>
        <w:t xml:space="preserve">.</w:t>
      </w:r>
    </w:p>
    <w:bookmarkEnd w:id="75"/>
    <w:bookmarkStart w:id="77" w:name="ref-shaffer2025LeadExposureAntisocial"/>
    <w:p>
      <w:pPr>
        <w:pStyle w:val="Bibliography"/>
      </w:pPr>
      <w:r>
        <w:t xml:space="preserve">[12]</w:t>
      </w:r>
      <w:r>
        <w:t xml:space="preserve"> </w:t>
      </w:r>
      <w:r>
        <w:t xml:space="preserve">	</w:t>
      </w:r>
      <w:r>
        <w:t xml:space="preserve">Shaffer RM, Carlson LM, Hester K, Kim H, Duffney P, Forsyth JE, Ferraro G, Till C, Haddock A, Strawbridge J, Lanfear CC, Gohari Z, Lee AL, Hu H, Kirrane E. Lead exposure and antisocial behavior:</w:t>
      </w:r>
      <w:r>
        <w:t xml:space="preserve"> </w:t>
      </w:r>
      <w:r>
        <w:t xml:space="preserve">A</w:t>
      </w:r>
      <w:r>
        <w:t xml:space="preserve"> </w:t>
      </w:r>
      <w:r>
        <w:t xml:space="preserve">systematic review of human and animal evidence. Environment International 2025:109786.</w:t>
      </w:r>
      <w:r>
        <w:t xml:space="preserve"> </w:t>
      </w:r>
      <w:hyperlink r:id="rId76">
        <w:r>
          <w:rPr>
            <w:rStyle w:val="Hyperlink"/>
          </w:rPr>
          <w:t xml:space="preserve">https://doi.org/10.1016/j.envint.2025.109786</w:t>
        </w:r>
      </w:hyperlink>
      <w:r>
        <w:t xml:space="preserve">.</w:t>
      </w:r>
    </w:p>
    <w:bookmarkEnd w:id="77"/>
    <w:bookmarkStart w:id="79" w:name="X06097e4c5e52362623b7f1c040457eb7d553acc"/>
    <w:p>
      <w:pPr>
        <w:pStyle w:val="Bibliography"/>
      </w:pPr>
      <w:r>
        <w:t xml:space="preserve">[13]</w:t>
      </w:r>
      <w:r>
        <w:t xml:space="preserve"> </w:t>
      </w:r>
      <w:r>
        <w:t xml:space="preserve">	</w:t>
      </w:r>
      <w:r>
        <w:t xml:space="preserve">Baghurst PA, McMichael AJ, Wigg NR, Vimpani GV, Robertson EF, Roberts RJ, Tong S-L.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1992;327:1279–84.</w:t>
      </w:r>
      <w:r>
        <w:t xml:space="preserve"> </w:t>
      </w:r>
      <w:hyperlink r:id="rId78">
        <w:r>
          <w:rPr>
            <w:rStyle w:val="Hyperlink"/>
          </w:rPr>
          <w:t xml:space="preserve">https://doi.org/10.1056/NEJM199210293271805</w:t>
        </w:r>
      </w:hyperlink>
      <w:r>
        <w:t xml:space="preserve">.</w:t>
      </w:r>
    </w:p>
    <w:bookmarkEnd w:id="79"/>
    <w:bookmarkStart w:id="81" w:name="ref-needleman1990LowLevelLeadExposure"/>
    <w:p>
      <w:pPr>
        <w:pStyle w:val="Bibliography"/>
      </w:pPr>
      <w:r>
        <w:t xml:space="preserve">[14]</w:t>
      </w:r>
      <w:r>
        <w:t xml:space="preserve"> </w:t>
      </w:r>
      <w:r>
        <w:t xml:space="preserve">	</w:t>
      </w:r>
      <w:r>
        <w:t xml:space="preserve">Needleman HL.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1990;263:673.</w:t>
      </w:r>
      <w:r>
        <w:t xml:space="preserve"> </w:t>
      </w:r>
      <w:hyperlink r:id="rId80">
        <w:r>
          <w:rPr>
            <w:rStyle w:val="Hyperlink"/>
          </w:rPr>
          <w:t xml:space="preserve">https://doi.org/10.1001/jama.1990.03440050067035</w:t>
        </w:r>
      </w:hyperlink>
      <w:r>
        <w:t xml:space="preserve">.</w:t>
      </w:r>
    </w:p>
    <w:bookmarkEnd w:id="81"/>
    <w:bookmarkStart w:id="83" w:name="ref-bellinger1992LowLevelLeadExposure"/>
    <w:p>
      <w:pPr>
        <w:pStyle w:val="Bibliography"/>
      </w:pPr>
      <w:r>
        <w:t xml:space="preserve">[15]</w:t>
      </w:r>
      <w:r>
        <w:t xml:space="preserve"> </w:t>
      </w:r>
      <w:r>
        <w:t xml:space="preserve">	</w:t>
      </w:r>
      <w:r>
        <w:t xml:space="preserve">Bellinger DC, Stiles KM, Needleman HL.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1992;90:855–61.</w:t>
      </w:r>
      <w:r>
        <w:t xml:space="preserve"> </w:t>
      </w:r>
      <w:hyperlink r:id="rId82">
        <w:r>
          <w:rPr>
            <w:rStyle w:val="Hyperlink"/>
          </w:rPr>
          <w:t xml:space="preserve">https://doi.org/10.1542/peds.90.6.855</w:t>
        </w:r>
      </w:hyperlink>
      <w:r>
        <w:t xml:space="preserve">.</w:t>
      </w:r>
    </w:p>
    <w:bookmarkEnd w:id="83"/>
    <w:bookmarkStart w:id="85" w:name="X9a8bad0b78f43066cb333fdedcdcad5d7017900"/>
    <w:p>
      <w:pPr>
        <w:pStyle w:val="Bibliography"/>
      </w:pPr>
      <w:r>
        <w:t xml:space="preserve">[16]</w:t>
      </w:r>
      <w:r>
        <w:t xml:space="preserve"> </w:t>
      </w:r>
      <w:r>
        <w:t xml:space="preserve">	</w:t>
      </w:r>
      <w:r>
        <w:t xml:space="preserve">Lanphear BP, Hornung R, Khoury J, Yolton K, Baghurst P, Bellinger DC, Canfield RL, Dietrich KN, Bornschein R, Greene T, Rothenberg SJ, Needleman HL, Schnaas L, Wasserman G, Graziano J, Roberts R.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Environmental Health Perspectives 2005;113:894–9.</w:t>
      </w:r>
      <w:r>
        <w:t xml:space="preserve"> </w:t>
      </w:r>
      <w:hyperlink r:id="rId84">
        <w:r>
          <w:rPr>
            <w:rStyle w:val="Hyperlink"/>
          </w:rPr>
          <w:t xml:space="preserve">https://doi.org/doi:10.1289/ehp.7688</w:t>
        </w:r>
      </w:hyperlink>
      <w:r>
        <w:t xml:space="preserve">.</w:t>
      </w:r>
    </w:p>
    <w:bookmarkEnd w:id="85"/>
    <w:bookmarkStart w:id="87" w:name="ref-larsen2023GlobalHealthBurden"/>
    <w:p>
      <w:pPr>
        <w:pStyle w:val="Bibliography"/>
      </w:pPr>
      <w:r>
        <w:t xml:space="preserve">[17]</w:t>
      </w:r>
      <w:r>
        <w:t xml:space="preserve"> </w:t>
      </w:r>
      <w:r>
        <w:t xml:space="preserve">	</w:t>
      </w:r>
      <w:r>
        <w:t xml:space="preserve">Larsen B, Sánchez-Triana E. Global health burden and cost of lead exposure in children and adults: A health impact and economic modelling analysis. The Lancet Planetary Health 2023;7:e831–40.</w:t>
      </w:r>
      <w:r>
        <w:t xml:space="preserve"> </w:t>
      </w:r>
      <w:hyperlink r:id="rId86">
        <w:r>
          <w:rPr>
            <w:rStyle w:val="Hyperlink"/>
          </w:rPr>
          <w:t xml:space="preserve">https://doi.org/10.1016/S2542-5196(23)00166-3</w:t>
        </w:r>
      </w:hyperlink>
      <w:r>
        <w:t xml:space="preserve">.</w:t>
      </w:r>
    </w:p>
    <w:bookmarkEnd w:id="87"/>
    <w:bookmarkStart w:id="88" w:name="Xccae642063400a60b450e4ce6d84827fa125294"/>
    <w:p>
      <w:pPr>
        <w:pStyle w:val="Bibliography"/>
      </w:pPr>
      <w:r>
        <w:t xml:space="preserve">[18]</w:t>
      </w:r>
      <w:r>
        <w:t xml:space="preserve"> </w:t>
      </w:r>
      <w:r>
        <w:t xml:space="preserve">	</w:t>
      </w:r>
      <w:r>
        <w:t xml:space="preserve">European Human Biomonitoring Initiative. Lead. 2026 n.d.</w:t>
      </w:r>
    </w:p>
    <w:bookmarkEnd w:id="88"/>
    <w:bookmarkStart w:id="90" w:name="X5615fc1cb9c455a90da75660348bda09fd0f967"/>
    <w:p>
      <w:pPr>
        <w:pStyle w:val="Bibliography"/>
      </w:pPr>
      <w:r>
        <w:t xml:space="preserve">[19]</w:t>
      </w:r>
      <w:r>
        <w:t xml:space="preserve"> </w:t>
      </w:r>
      <w:r>
        <w:t xml:space="preserve">	</w:t>
      </w:r>
      <w:r>
        <w:t xml:space="preserve">EFSA Panel on Contaminants in the Food Chain (CONTAM).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Journal 2010;8:1570.</w:t>
      </w:r>
      <w:r>
        <w:t xml:space="preserve"> </w:t>
      </w:r>
      <w:hyperlink r:id="rId89">
        <w:r>
          <w:rPr>
            <w:rStyle w:val="Hyperlink"/>
          </w:rPr>
          <w:t xml:space="preserve">https://doi.org/10.2903/j.efsa.2010.1570</w:t>
        </w:r>
      </w:hyperlink>
      <w:r>
        <w:t xml:space="preserve">.</w:t>
      </w:r>
    </w:p>
    <w:bookmarkEnd w:id="90"/>
    <w:bookmarkStart w:id="92" w:name="ref-schwartz1994LowLevelLeadExposure"/>
    <w:p>
      <w:pPr>
        <w:pStyle w:val="Bibliography"/>
      </w:pPr>
      <w:r>
        <w:t xml:space="preserve">[20]</w:t>
      </w:r>
      <w:r>
        <w:t xml:space="preserve"> </w:t>
      </w:r>
      <w:r>
        <w:t xml:space="preserve">	</w:t>
      </w:r>
      <w:r>
        <w:t xml:space="preserve">Schwartz J.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Environmental Research 1994;65:42–55.</w:t>
      </w:r>
      <w:r>
        <w:t xml:space="preserve"> </w:t>
      </w:r>
      <w:hyperlink r:id="rId91">
        <w:r>
          <w:rPr>
            <w:rStyle w:val="Hyperlink"/>
          </w:rPr>
          <w:t xml:space="preserve">https://doi.org/10.1006/enrs.1994.1020</w:t>
        </w:r>
      </w:hyperlink>
      <w:r>
        <w:t xml:space="preserve">.</w:t>
      </w:r>
    </w:p>
    <w:bookmarkEnd w:id="92"/>
    <w:bookmarkStart w:id="94" w:name="Xa2086c2c3f6a9ac4b676f66b1cdbbd5efdb3b23"/>
    <w:p>
      <w:pPr>
        <w:pStyle w:val="Bibliography"/>
      </w:pPr>
      <w:r>
        <w:t xml:space="preserve">[21]</w:t>
      </w:r>
      <w:r>
        <w:t xml:space="preserve"> </w:t>
      </w:r>
      <w:r>
        <w:t xml:space="preserve">	</w:t>
      </w:r>
      <w:r>
        <w:t xml:space="preserve">Canfield RL, Henderson CR, Cory-Slechta DA, Cox C, Jusko TA, Lanphear BP.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2003;348:1517–26.</w:t>
      </w:r>
      <w:r>
        <w:t xml:space="preserve"> </w:t>
      </w:r>
      <w:hyperlink r:id="rId93">
        <w:r>
          <w:rPr>
            <w:rStyle w:val="Hyperlink"/>
          </w:rPr>
          <w:t xml:space="preserve">https://doi.org/10.1056/NEJMoa022848</w:t>
        </w:r>
      </w:hyperlink>
      <w:r>
        <w:t xml:space="preserve">.</w:t>
      </w:r>
    </w:p>
    <w:bookmarkEnd w:id="94"/>
    <w:bookmarkStart w:id="96" w:name="X93c1fc7f8e1220d02cbab90c02ac44248f2b23e"/>
    <w:p>
      <w:pPr>
        <w:pStyle w:val="Bibliography"/>
      </w:pPr>
      <w:r>
        <w:t xml:space="preserve">[22]</w:t>
      </w:r>
      <w:r>
        <w:t xml:space="preserve"> </w:t>
      </w:r>
      <w:r>
        <w:t xml:space="preserve">	</w:t>
      </w:r>
      <w:r>
        <w:t xml:space="preserve">Carrington C, Devleesschauwer B, Gibb HJ, Bolger PM. Global burden of intellectual disability resulting from dietary exposure to lead, 2015. Environmental Research 2019;172:420–9.</w:t>
      </w:r>
      <w:r>
        <w:t xml:space="preserve"> </w:t>
      </w:r>
      <w:hyperlink r:id="rId95">
        <w:r>
          <w:rPr>
            <w:rStyle w:val="Hyperlink"/>
          </w:rPr>
          <w:t xml:space="preserve">https://doi.org/10.1016/j.envres.2019.02.023</w:t>
        </w:r>
      </w:hyperlink>
      <w:r>
        <w:t xml:space="preserve">.</w:t>
      </w:r>
    </w:p>
    <w:bookmarkEnd w:id="96"/>
    <w:bookmarkStart w:id="98" w:name="ref-figueroa2024LossCognitiveFunction"/>
    <w:p>
      <w:pPr>
        <w:pStyle w:val="Bibliography"/>
      </w:pPr>
      <w:r>
        <w:t xml:space="preserve">[23]</w:t>
      </w:r>
      <w:r>
        <w:t xml:space="preserve"> </w:t>
      </w:r>
      <w:r>
        <w:t xml:space="preserve">	</w:t>
      </w:r>
      <w:r>
        <w:t xml:space="preserve">Figueroa JL, Rodríguez-Atristain A, Bautista-Arredondo LF, Treviño CL, Martínez MR, Valdivia BT, Avalos-Alvarez SV, Sánchez-Morales JE, Fuller R, Bautista-Arredondo S, Téllez-Rojo MM. Loss of cognitive function in</w:t>
      </w:r>
      <w:r>
        <w:t xml:space="preserve"> </w:t>
      </w:r>
      <w:r>
        <w:t xml:space="preserve">Mexican</w:t>
      </w:r>
      <w:r>
        <w:t xml:space="preserve"> </w:t>
      </w:r>
      <w:r>
        <w:t xml:space="preserve">children due to lead exposure and the associated economic costs. Environmental Research 2024;263:120013.</w:t>
      </w:r>
      <w:r>
        <w:t xml:space="preserve"> </w:t>
      </w:r>
      <w:hyperlink r:id="rId97">
        <w:r>
          <w:rPr>
            <w:rStyle w:val="Hyperlink"/>
          </w:rPr>
          <w:t xml:space="preserve">https://doi.org/10.1016/j.envres.2024.120013</w:t>
        </w:r>
      </w:hyperlink>
      <w:r>
        <w:t xml:space="preserve">.</w:t>
      </w:r>
    </w:p>
    <w:bookmarkEnd w:id="98"/>
    <w:bookmarkStart w:id="100" w:name="ref-mcfarland2022HalfUSPopulation"/>
    <w:p>
      <w:pPr>
        <w:pStyle w:val="Bibliography"/>
      </w:pPr>
      <w:r>
        <w:t xml:space="preserve">[24]</w:t>
      </w:r>
      <w:r>
        <w:t xml:space="preserve"> </w:t>
      </w:r>
      <w:r>
        <w:t xml:space="preserve">	</w:t>
      </w:r>
      <w:r>
        <w:t xml:space="preserve">McFarland MJ, Hauer ME, Reuben A. Half of</w:t>
      </w:r>
      <w:r>
        <w:t xml:space="preserve"> </w:t>
      </w:r>
      <w:r>
        <w:t xml:space="preserve">US</w:t>
      </w:r>
      <w:r>
        <w:t xml:space="preserve"> </w:t>
      </w:r>
      <w:r>
        <w:t xml:space="preserve">population exposed to adverse lead levels in early childhood. Proc Natl Acad Sci USA 2022;119:e2118631119.</w:t>
      </w:r>
      <w:r>
        <w:t xml:space="preserve"> </w:t>
      </w:r>
      <w:hyperlink r:id="rId99">
        <w:r>
          <w:rPr>
            <w:rStyle w:val="Hyperlink"/>
          </w:rPr>
          <w:t xml:space="preserve">https://doi.org/10.1073/pnas.2118631119</w:t>
        </w:r>
      </w:hyperlink>
      <w:r>
        <w:t xml:space="preserve">.</w:t>
      </w:r>
    </w:p>
    <w:bookmarkEnd w:id="100"/>
    <w:bookmarkStart w:id="102" w:name="ref-crump2013StatisticalReevaluationData"/>
    <w:p>
      <w:pPr>
        <w:pStyle w:val="Bibliography"/>
      </w:pPr>
      <w:r>
        <w:t xml:space="preserve">[25]</w:t>
      </w:r>
      <w:r>
        <w:t xml:space="preserve"> </w:t>
      </w:r>
      <w:r>
        <w:t xml:space="preserve">	</w:t>
      </w:r>
      <w:r>
        <w:t xml:space="preserve">Crump KS, Van Landingham C, Bowers TS, Cahoy D, Chandalia JK.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2013;43:785–99.</w:t>
      </w:r>
      <w:r>
        <w:t xml:space="preserve"> </w:t>
      </w:r>
      <w:hyperlink r:id="rId101">
        <w:r>
          <w:rPr>
            <w:rStyle w:val="Hyperlink"/>
          </w:rPr>
          <w:t xml:space="preserve">https://doi.org/10.3109/10408444.2013.832726</w:t>
        </w:r>
      </w:hyperlink>
      <w:r>
        <w:t xml:space="preserve">.</w:t>
      </w:r>
    </w:p>
    <w:bookmarkEnd w:id="102"/>
    <w:bookmarkStart w:id="104" w:name="X33f03e29791f20cdbbbbf0729c723b16e55ed16"/>
    <w:p>
      <w:pPr>
        <w:pStyle w:val="Bibliography"/>
      </w:pPr>
      <w:r>
        <w:t xml:space="preserve">[26]</w:t>
      </w:r>
      <w:r>
        <w:t xml:space="preserve"> </w:t>
      </w:r>
      <w:r>
        <w:t xml:space="preserve">	</w:t>
      </w:r>
      <w:r>
        <w:t xml:space="preserve">Lanphear BP, Hornung R, Khoury J, Yolton K, Baghurst P, Bellinger DC, Canfield RL, Dietrich KN, Bornschein R, Greene T, Rothenberg SJ, Needleman HL, Schnaas L, Wasserman G, Graziano J, Roberts R.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2019;127:099001.</w:t>
      </w:r>
      <w:r>
        <w:t xml:space="preserve"> </w:t>
      </w:r>
      <w:hyperlink r:id="rId103">
        <w:r>
          <w:rPr>
            <w:rStyle w:val="Hyperlink"/>
          </w:rPr>
          <w:t xml:space="preserve">https://doi.org/10.1289/EHP5685</w:t>
        </w:r>
      </w:hyperlink>
      <w:r>
        <w:t xml:space="preserve">.</w:t>
      </w:r>
    </w:p>
    <w:bookmarkEnd w:id="104"/>
    <w:bookmarkStart w:id="106" w:name="X035620408d1fb22c7ed381e74f0468c30df4612"/>
    <w:p>
      <w:pPr>
        <w:pStyle w:val="Bibliography"/>
      </w:pPr>
      <w:r>
        <w:t xml:space="preserve">[27]</w:t>
      </w:r>
      <w:r>
        <w:t xml:space="preserve"> </w:t>
      </w:r>
      <w:r>
        <w:t xml:space="preserve">	</w:t>
      </w:r>
      <w:r>
        <w:t xml:space="preserve">Grant R, Di Tanna GL. Bayesian</w:t>
      </w:r>
      <w:r>
        <w:t xml:space="preserve"> </w:t>
      </w:r>
      <w:r>
        <w:t xml:space="preserve">Meta-Analysis</w:t>
      </w:r>
      <w:r>
        <w:t xml:space="preserve">:</w:t>
      </w:r>
      <w:r>
        <w:t xml:space="preserve"> </w:t>
      </w:r>
      <w:r>
        <w:t xml:space="preserve">A Practical Introduction</w:t>
      </w:r>
      <w:r>
        <w:t xml:space="preserve">. 1st ed. Boca Raton:</w:t>
      </w:r>
      <w:r>
        <w:t xml:space="preserve"> </w:t>
      </w:r>
      <w:r>
        <w:t xml:space="preserve">Chapman and Hall/CRC</w:t>
      </w:r>
      <w:r>
        <w:t xml:space="preserve">; 2025.</w:t>
      </w:r>
      <w:r>
        <w:t xml:space="preserve"> </w:t>
      </w:r>
      <w:hyperlink r:id="rId105">
        <w:r>
          <w:rPr>
            <w:rStyle w:val="Hyperlink"/>
          </w:rPr>
          <w:t xml:space="preserve">https://doi.org/10.1201/9781003375821</w:t>
        </w:r>
      </w:hyperlink>
      <w:r>
        <w:t xml:space="preserve">.</w:t>
      </w:r>
    </w:p>
    <w:bookmarkEnd w:id="106"/>
    <w:bookmarkStart w:id="108" w:name="X837f91f784566061977da85c17a5755a81dedde"/>
    <w:p>
      <w:pPr>
        <w:pStyle w:val="Bibliography"/>
      </w:pPr>
      <w:r>
        <w:t xml:space="preserve">[28]</w:t>
      </w:r>
      <w:r>
        <w:t xml:space="preserve"> </w:t>
      </w:r>
      <w:r>
        <w:t xml:space="preserve">	</w:t>
      </w:r>
      <w:r>
        <w:t xml:space="preserve">Hoekstra R, Morey RD, Rouder JN, Wagenmakers E-J. Robust misinterpretation of confidence intervals. Psychon Bull Rev 2014;21:1157–64.</w:t>
      </w:r>
      <w:r>
        <w:t xml:space="preserve"> </w:t>
      </w:r>
      <w:hyperlink r:id="rId107">
        <w:r>
          <w:rPr>
            <w:rStyle w:val="Hyperlink"/>
          </w:rPr>
          <w:t xml:space="preserve">https://doi.org/10.3758/s13423-013-0572-3</w:t>
        </w:r>
      </w:hyperlink>
      <w:r>
        <w:t xml:space="preserve">.</w:t>
      </w:r>
    </w:p>
    <w:bookmarkEnd w:id="108"/>
    <w:bookmarkStart w:id="110" w:name="ref-page2021PRISMA2020Statement"/>
    <w:p>
      <w:pPr>
        <w:pStyle w:val="Bibliography"/>
      </w:pPr>
      <w:r>
        <w:t xml:space="preserve">[29]</w:t>
      </w:r>
      <w:r>
        <w:t xml:space="preserve"> </w:t>
      </w:r>
      <w:r>
        <w:t xml:space="preserve">	</w:t>
      </w: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Moher D. The</w:t>
      </w:r>
      <w:r>
        <w:t xml:space="preserve"> </w:t>
      </w:r>
      <w:r>
        <w:t xml:space="preserve">PRISMA</w:t>
      </w:r>
      <w:r>
        <w:t xml:space="preserve"> </w:t>
      </w:r>
      <w:r>
        <w:t xml:space="preserve">2020 statement: An updated guideline for reporting systematic reviews. BMJ 2021:n71.</w:t>
      </w:r>
      <w:r>
        <w:t xml:space="preserve"> </w:t>
      </w:r>
      <w:hyperlink r:id="rId109">
        <w:r>
          <w:rPr>
            <w:rStyle w:val="Hyperlink"/>
          </w:rPr>
          <w:t xml:space="preserve">https://doi.org/10.1136/bmj.n71</w:t>
        </w:r>
      </w:hyperlink>
      <w:r>
        <w:t xml:space="preserve">.</w:t>
      </w:r>
    </w:p>
    <w:bookmarkEnd w:id="110"/>
    <w:bookmarkStart w:id="112" w:name="X5cae6442bbe0e1f5d8df6cd5008aab2dbfb65a6"/>
    <w:p>
      <w:pPr>
        <w:pStyle w:val="Bibliography"/>
      </w:pPr>
      <w:r>
        <w:t xml:space="preserve">[30]</w:t>
      </w:r>
      <w:r>
        <w:t xml:space="preserve"> </w:t>
      </w:r>
      <w:r>
        <w:t xml:space="preserve">	</w:t>
      </w:r>
      <w:r>
        <w:t xml:space="preserve">Kruschke JK. Bayesian</w:t>
      </w:r>
      <w:r>
        <w:t xml:space="preserve"> </w:t>
      </w:r>
      <w:r>
        <w:t xml:space="preserve">Analysis Reporting Guidelines</w:t>
      </w:r>
      <w:r>
        <w:t xml:space="preserve">. Nat Hum Behav 2021;5:1282–91.</w:t>
      </w:r>
      <w:r>
        <w:t xml:space="preserve"> </w:t>
      </w:r>
      <w:hyperlink r:id="rId111">
        <w:r>
          <w:rPr>
            <w:rStyle w:val="Hyperlink"/>
          </w:rPr>
          <w:t xml:space="preserve">https://doi.org/10.1038/s41562-021-01177-7</w:t>
        </w:r>
      </w:hyperlink>
      <w:r>
        <w:t xml:space="preserve">.</w:t>
      </w:r>
    </w:p>
    <w:bookmarkEnd w:id="112"/>
    <w:bookmarkStart w:id="113" w:name="Xf5486a80753c915bf34b5d8f3ad5e46aac479a7"/>
    <w:p>
      <w:pPr>
        <w:pStyle w:val="Bibliography"/>
      </w:pPr>
      <w:r>
        <w:t xml:space="preserve">[31]</w:t>
      </w:r>
      <w:r>
        <w:t xml:space="preserve"> </w:t>
      </w:r>
      <w:r>
        <w:t xml:space="preserve">	</w:t>
      </w:r>
      <w:r>
        <w:t xml:space="preserve">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w:t>
      </w:r>
      <w:r>
        <w:t xml:space="preserve">2019.</w:t>
      </w:r>
    </w:p>
    <w:bookmarkEnd w:id="113"/>
    <w:bookmarkStart w:id="115" w:name="ref-plate2024DevelopmentToolRapid"/>
    <w:p>
      <w:pPr>
        <w:pStyle w:val="Bibliography"/>
      </w:pPr>
      <w:r>
        <w:t xml:space="preserve">[32]</w:t>
      </w:r>
      <w:r>
        <w:t xml:space="preserve"> </w:t>
      </w:r>
      <w:r>
        <w:t xml:space="preserve">	</w:t>
      </w:r>
      <w:r>
        <w:t xml:space="preserve">Plate K, Knüppel S, Hornbacher A, Greiner M, Müller-Graf C. Development of a tool for rapid assessment of the evidence of human observational epidemiological studies with focus on risk of bias in the context of public health and risk assessment. EFS3 2024;21.</w:t>
      </w:r>
      <w:r>
        <w:t xml:space="preserve"> </w:t>
      </w:r>
      <w:hyperlink r:id="rId114">
        <w:r>
          <w:rPr>
            <w:rStyle w:val="Hyperlink"/>
          </w:rPr>
          <w:t xml:space="preserve">https://doi.org/10.2903/sp.efsa.2024.EN-8925</w:t>
        </w:r>
      </w:hyperlink>
      <w:r>
        <w:t xml:space="preserve">.</w:t>
      </w:r>
    </w:p>
    <w:bookmarkEnd w:id="115"/>
    <w:bookmarkStart w:id="117" w:name="ref-halabicky2023LowLevelLead"/>
    <w:p>
      <w:pPr>
        <w:pStyle w:val="Bibliography"/>
      </w:pPr>
      <w:r>
        <w:t xml:space="preserve">[33]</w:t>
      </w:r>
      <w:r>
        <w:t xml:space="preserve"> </w:t>
      </w:r>
      <w:r>
        <w:t xml:space="preserve">	</w:t>
      </w:r>
      <w:r>
        <w:t xml:space="preserve">Halabicky OM, Pinto-Martin JA, Compton P, Liu J. Low level lead exposure in early childhood and parental education on adolescent</w:t>
      </w:r>
      <w:r>
        <w:t xml:space="preserve"> </w:t>
      </w:r>
      <w:r>
        <w:t xml:space="preserve">IQ</w:t>
      </w:r>
      <w:r>
        <w:t xml:space="preserve"> </w:t>
      </w:r>
      <w:r>
        <w:t xml:space="preserve">and working memory: A cohort study. Journal of Exposure Science &amp; Environmental Epidemiology 2023;33:168–76.</w:t>
      </w:r>
      <w:r>
        <w:t xml:space="preserve"> </w:t>
      </w:r>
      <w:hyperlink r:id="rId116">
        <w:r>
          <w:rPr>
            <w:rStyle w:val="Hyperlink"/>
          </w:rPr>
          <w:t xml:space="preserve">https://doi.org/10.1038/s41370-022-00450-9</w:t>
        </w:r>
      </w:hyperlink>
      <w:r>
        <w:t xml:space="preserve">.</w:t>
      </w:r>
    </w:p>
    <w:bookmarkEnd w:id="117"/>
    <w:bookmarkStart w:id="119" w:name="ref-chen2005IQBloodLead"/>
    <w:p>
      <w:pPr>
        <w:pStyle w:val="Bibliography"/>
      </w:pPr>
      <w:r>
        <w:t xml:space="preserve">[34]</w:t>
      </w:r>
      <w:r>
        <w:t xml:space="preserve"> </w:t>
      </w:r>
      <w:r>
        <w:t xml:space="preserve">	</w:t>
      </w:r>
      <w:r>
        <w:t xml:space="preserve">Chen A, Dietrich KN, Ware JH, Radcliffe J, Rogan WJ.</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Environmental Health Perspectives 2005;113:597–601.</w:t>
      </w:r>
      <w:r>
        <w:t xml:space="preserve"> </w:t>
      </w:r>
      <w:hyperlink r:id="rId118">
        <w:r>
          <w:rPr>
            <w:rStyle w:val="Hyperlink"/>
          </w:rPr>
          <w:t xml:space="preserve">https://doi.org/doi:10.1289/ehp.7625</w:t>
        </w:r>
      </w:hyperlink>
      <w:r>
        <w:t xml:space="preserve">.</w:t>
      </w:r>
    </w:p>
    <w:bookmarkEnd w:id="119"/>
    <w:bookmarkStart w:id="121" w:name="Xcf7993c3f58afaabaf73be6238c67f4f63053d9"/>
    <w:p>
      <w:pPr>
        <w:pStyle w:val="Bibliography"/>
      </w:pPr>
      <w:r>
        <w:t xml:space="preserve">[35]</w:t>
      </w:r>
      <w:r>
        <w:t xml:space="preserve"> </w:t>
      </w:r>
      <w:r>
        <w:t xml:space="preserve">	</w:t>
      </w:r>
      <w:r>
        <w:t xml:space="preserve">Schnaas L, Rothenberg Stephen J, Flores M-F, Martinez S, Hernandez C, Osorio E, Velasco Silvia R, Perroni E.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Environmental Health Perspectives 2006;114:791–7.</w:t>
      </w:r>
      <w:r>
        <w:t xml:space="preserve"> </w:t>
      </w:r>
      <w:hyperlink r:id="rId120">
        <w:r>
          <w:rPr>
            <w:rStyle w:val="Hyperlink"/>
          </w:rPr>
          <w:t xml:space="preserve">https://doi.org/10.1289/ehp.8552</w:t>
        </w:r>
      </w:hyperlink>
      <w:r>
        <w:t xml:space="preserve">.</w:t>
      </w:r>
    </w:p>
    <w:bookmarkEnd w:id="121"/>
    <w:bookmarkStart w:id="122" w:name="X4bd034c52731e178b4de125c2c778bdc533803c"/>
    <w:p>
      <w:pPr>
        <w:pStyle w:val="Bibliography"/>
      </w:pPr>
      <w:r>
        <w:t xml:space="preserve">[36]</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w:t>
      </w:r>
      <w:r>
        <w:t xml:space="preserve">2024.</w:t>
      </w:r>
    </w:p>
    <w:bookmarkEnd w:id="122"/>
    <w:bookmarkStart w:id="124" w:name="ref-burkner2017BrmsPackageBayesian"/>
    <w:p>
      <w:pPr>
        <w:pStyle w:val="Bibliography"/>
      </w:pPr>
      <w:r>
        <w:t xml:space="preserve">[37]</w:t>
      </w:r>
      <w:r>
        <w:t xml:space="preserve"> </w:t>
      </w:r>
      <w:r>
        <w:t xml:space="preserve">	</w:t>
      </w:r>
      <w:r>
        <w:t xml:space="preserve">Bürkner P-C.</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 2017;80.</w:t>
      </w:r>
      <w:r>
        <w:t xml:space="preserve"> </w:t>
      </w:r>
      <w:hyperlink r:id="rId123">
        <w:r>
          <w:rPr>
            <w:rStyle w:val="Hyperlink"/>
          </w:rPr>
          <w:t xml:space="preserve">https://doi.org/10.18637/jss.v080.i01</w:t>
        </w:r>
      </w:hyperlink>
      <w:r>
        <w:t xml:space="preserve">.</w:t>
      </w:r>
    </w:p>
    <w:bookmarkEnd w:id="124"/>
    <w:bookmarkStart w:id="126" w:name="ref-hoffman2011NoUTurnSamplerAdaptively"/>
    <w:p>
      <w:pPr>
        <w:pStyle w:val="Bibliography"/>
      </w:pPr>
      <w:r>
        <w:t xml:space="preserve">[38]</w:t>
      </w:r>
      <w:r>
        <w:t xml:space="preserve"> </w:t>
      </w:r>
      <w:r>
        <w:t xml:space="preserve">	</w:t>
      </w:r>
      <w:r>
        <w:t xml:space="preserve">Hoffman MD, Gelman A. The</w:t>
      </w:r>
      <w:r>
        <w:t xml:space="preserve"> </w:t>
      </w:r>
      <w:r>
        <w:t xml:space="preserve">No-U-Turn Sampler</w:t>
      </w:r>
      <w:r>
        <w:t xml:space="preserve">:</w:t>
      </w:r>
      <w:r>
        <w:t xml:space="preserve"> </w:t>
      </w:r>
      <w:r>
        <w:t xml:space="preserve">Adaptively Setting Path Lengths</w:t>
      </w:r>
      <w:r>
        <w:t xml:space="preserve"> </w:t>
      </w:r>
      <w:r>
        <w:t xml:space="preserve">in</w:t>
      </w:r>
      <w:r>
        <w:t xml:space="preserve"> </w:t>
      </w:r>
      <w:r>
        <w:t xml:space="preserve">Hamiltonian Monte Carlo</w:t>
      </w:r>
      <w:r>
        <w:t xml:space="preserve"> </w:t>
      </w:r>
      <w:r>
        <w:t xml:space="preserve">2011.</w:t>
      </w:r>
      <w:r>
        <w:t xml:space="preserve"> </w:t>
      </w:r>
      <w:hyperlink r:id="rId125">
        <w:r>
          <w:rPr>
            <w:rStyle w:val="Hyperlink"/>
          </w:rPr>
          <w:t xml:space="preserve">https://doi.org/10.48550/ARXIV.1111.4246</w:t>
        </w:r>
      </w:hyperlink>
      <w:r>
        <w:t xml:space="preserve">.</w:t>
      </w:r>
    </w:p>
    <w:bookmarkEnd w:id="126"/>
    <w:bookmarkStart w:id="127" w:name="X21bf392f662dc1b38e9a7fa4b314fc7a471696b"/>
    <w:p>
      <w:pPr>
        <w:pStyle w:val="Bibliography"/>
      </w:pPr>
      <w:r>
        <w:t xml:space="preserve">[39]</w:t>
      </w:r>
      <w:r>
        <w:t xml:space="preserve"> </w:t>
      </w:r>
      <w:r>
        <w:t xml:space="preserve">	</w:t>
      </w:r>
      <w:r>
        <w:t xml:space="preserve">Gabry J, Mahr T. Bayesplot:</w:t>
      </w:r>
      <w:r>
        <w:t xml:space="preserve"> </w:t>
      </w:r>
      <w:r>
        <w:t xml:space="preserve">Plotting</w:t>
      </w:r>
      <w:r>
        <w:t xml:space="preserve"> </w:t>
      </w:r>
      <w:r>
        <w:t xml:space="preserve">for</w:t>
      </w:r>
      <w:r>
        <w:t xml:space="preserve"> </w:t>
      </w:r>
      <w:r>
        <w:t xml:space="preserve">Bayesian Models</w:t>
      </w:r>
      <w:r>
        <w:t xml:space="preserve"> </w:t>
      </w:r>
      <w:r>
        <w:t xml:space="preserve">2025.</w:t>
      </w:r>
    </w:p>
    <w:bookmarkEnd w:id="127"/>
    <w:bookmarkStart w:id="129" w:name="X111bb06244f8f2a1a6d0d2f1f41c24b71f248e6"/>
    <w:p>
      <w:pPr>
        <w:pStyle w:val="Bibliography"/>
      </w:pPr>
      <w:r>
        <w:t xml:space="preserve">[40]</w:t>
      </w:r>
      <w:r>
        <w:t xml:space="preserve"> </w:t>
      </w:r>
      <w:r>
        <w:t xml:space="preserve">	</w:t>
      </w:r>
      <w:r>
        <w:t xml:space="preserve">Wolfgang Viechtbauer.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2010;36:1–48.</w:t>
      </w:r>
      <w:r>
        <w:t xml:space="preserve"> </w:t>
      </w:r>
      <w:hyperlink r:id="rId128">
        <w:r>
          <w:rPr>
            <w:rStyle w:val="Hyperlink"/>
          </w:rPr>
          <w:t xml:space="preserve">https://doi.org/10.18637/jss.v036.i03</w:t>
        </w:r>
      </w:hyperlink>
      <w:r>
        <w:t xml:space="preserve">.</w:t>
      </w:r>
    </w:p>
    <w:bookmarkEnd w:id="129"/>
    <w:bookmarkStart w:id="131" w:name="ref-earl2016LowlevelEnvironmentalLead"/>
    <w:p>
      <w:pPr>
        <w:pStyle w:val="Bibliography"/>
      </w:pPr>
      <w:r>
        <w:t xml:space="preserve">[41]</w:t>
      </w:r>
      <w:r>
        <w:t xml:space="preserve"> </w:t>
      </w:r>
      <w:r>
        <w:t xml:space="preserve">	</w:t>
      </w:r>
      <w:r>
        <w:t xml:space="preserve">Earl R, Burns N, Nettelbeck T, Baghurst P. Low-level environmental lead exposure still negatively associated with children’s cognitive abilities. Australian Journal of Psychology 2016;68:98–106.</w:t>
      </w:r>
      <w:r>
        <w:t xml:space="preserve"> </w:t>
      </w:r>
      <w:hyperlink r:id="rId130">
        <w:r>
          <w:rPr>
            <w:rStyle w:val="Hyperlink"/>
          </w:rPr>
          <w:t xml:space="preserve">https://doi.org/10.1111/ajpy.12096</w:t>
        </w:r>
      </w:hyperlink>
      <w:r>
        <w:t xml:space="preserve">.</w:t>
      </w:r>
    </w:p>
    <w:bookmarkEnd w:id="131"/>
    <w:bookmarkStart w:id="133" w:name="ref-bauer2020AssociationsMetalMixture"/>
    <w:p>
      <w:pPr>
        <w:pStyle w:val="Bibliography"/>
      </w:pPr>
      <w:r>
        <w:t xml:space="preserve">[42]</w:t>
      </w:r>
      <w:r>
        <w:t xml:space="preserve"> </w:t>
      </w:r>
      <w:r>
        <w:t xml:space="preserve">	</w:t>
      </w:r>
      <w:r>
        <w:t xml:space="preserve">Bauer JA, Devick KL, Bobb JF, Coull BA, Bellinger D, Benedetti C, Cagna G, Fedrighi C, Guazzetti S, Oppini M, Placidi D, Webster TF, White RF, Yang Q, Zoni S, Wright RO, Smith DR, Lucchini RG, Henn BC.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Environmental Health Perspectives 2020;128:097002.</w:t>
      </w:r>
      <w:r>
        <w:t xml:space="preserve"> </w:t>
      </w:r>
      <w:hyperlink r:id="rId132">
        <w:r>
          <w:rPr>
            <w:rStyle w:val="Hyperlink"/>
          </w:rPr>
          <w:t xml:space="preserve">https://doi.org/doi:10.1289/EHP6803</w:t>
        </w:r>
      </w:hyperlink>
      <w:r>
        <w:t xml:space="preserve">.</w:t>
      </w:r>
    </w:p>
    <w:bookmarkEnd w:id="133"/>
    <w:bookmarkStart w:id="135" w:name="ref-hong2015EnvironmentalLeadExposure"/>
    <w:p>
      <w:pPr>
        <w:pStyle w:val="Bibliography"/>
      </w:pPr>
      <w:r>
        <w:t xml:space="preserve">[43]</w:t>
      </w:r>
      <w:r>
        <w:t xml:space="preserve"> </w:t>
      </w:r>
      <w:r>
        <w:t xml:space="preserve">	</w:t>
      </w:r>
      <w:r>
        <w:t xml:space="preserve">Hong S-B, Im M-H, Kim J-W, Park E-J, Shin M-S, Kim B-N, Yoo H-J, Cho I-H, Bhang S-Y, Hong Y-C, Cho S-C.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Environmental Health Perspectives 2015;123:271–6.</w:t>
      </w:r>
      <w:r>
        <w:t xml:space="preserve"> </w:t>
      </w:r>
      <w:hyperlink r:id="rId134">
        <w:r>
          <w:rPr>
            <w:rStyle w:val="Hyperlink"/>
          </w:rPr>
          <w:t xml:space="preserve">https://doi.org/doi:10.1289/ehp.1307420</w:t>
        </w:r>
      </w:hyperlink>
      <w:r>
        <w:t xml:space="preserve">.</w:t>
      </w:r>
    </w:p>
    <w:bookmarkEnd w:id="135"/>
    <w:bookmarkStart w:id="137" w:name="Xb0421be95a139ca5af39ce6040517bf1be79427"/>
    <w:p>
      <w:pPr>
        <w:pStyle w:val="Bibliography"/>
      </w:pPr>
      <w:r>
        <w:t xml:space="preserve">[44]</w:t>
      </w:r>
      <w:r>
        <w:t xml:space="preserve"> </w:t>
      </w:r>
      <w:r>
        <w:t xml:space="preserve">	</w:t>
      </w:r>
      <w:r>
        <w:t xml:space="preserve">Lucchini RG, Zoni S, Guazzetti S, Bontempi E, Micheletti S, Broberg K, Parrinello G, Smith DR. Inverse association of intellectual function with very low blood lead but not with manganese exposure in</w:t>
      </w:r>
      <w:r>
        <w:t xml:space="preserve"> </w:t>
      </w:r>
      <w:r>
        <w:t xml:space="preserve">Italian</w:t>
      </w:r>
      <w:r>
        <w:t xml:space="preserve"> </w:t>
      </w:r>
      <w:r>
        <w:t xml:space="preserve">adolescents. Environmental Research 2012;118:65–71.</w:t>
      </w:r>
      <w:r>
        <w:t xml:space="preserve"> </w:t>
      </w:r>
      <w:hyperlink r:id="rId136">
        <w:r>
          <w:rPr>
            <w:rStyle w:val="Hyperlink"/>
          </w:rPr>
          <w:t xml:space="preserve">https://doi.org/10.1016/j.envres.2012.08.003</w:t>
        </w:r>
      </w:hyperlink>
      <w:r>
        <w:t xml:space="preserve">.</w:t>
      </w:r>
    </w:p>
    <w:bookmarkEnd w:id="137"/>
    <w:bookmarkStart w:id="139" w:name="X716dc31ca13dac7355fea3a0f7dea95779ecabb"/>
    <w:p>
      <w:pPr>
        <w:pStyle w:val="Bibliography"/>
      </w:pPr>
      <w:r>
        <w:t xml:space="preserve">[45]</w:t>
      </w:r>
      <w:r>
        <w:t xml:space="preserve"> </w:t>
      </w:r>
      <w:r>
        <w:t xml:space="preserve">	</w:t>
      </w:r>
      <w:r>
        <w:t xml:space="preserve">Lucchini RG, Guazzetti S, Renzetti S, Conversano M, Cagna G, Fedrighi C, Giorgino A, Peli M, Placidi D, Zoni S, Forte G, Majorani C, Pino A, Senofonte O, Petrucci F, Alimonti A. Neurocognitive impact of metal exposure and social stressors among schoolchildren in</w:t>
      </w:r>
      <w:r>
        <w:t xml:space="preserve"> </w:t>
      </w:r>
      <w:r>
        <w:t xml:space="preserve">Taranto</w:t>
      </w:r>
      <w:r>
        <w:t xml:space="preserve">,</w:t>
      </w:r>
      <w:r>
        <w:t xml:space="preserve"> </w:t>
      </w:r>
      <w:r>
        <w:t xml:space="preserve">Italy</w:t>
      </w:r>
      <w:r>
        <w:t xml:space="preserve">. Environmental Health 2019;18:67.</w:t>
      </w:r>
      <w:r>
        <w:t xml:space="preserve"> </w:t>
      </w:r>
      <w:hyperlink r:id="rId138">
        <w:r>
          <w:rPr>
            <w:rStyle w:val="Hyperlink"/>
          </w:rPr>
          <w:t xml:space="preserve">https://doi.org/10.1186/s12940-019-0505-3</w:t>
        </w:r>
      </w:hyperlink>
      <w:r>
        <w:t xml:space="preserve">.</w:t>
      </w:r>
    </w:p>
    <w:bookmarkEnd w:id="139"/>
    <w:bookmarkStart w:id="141" w:name="ref-roy2013EffectModificationTransferrin"/>
    <w:p>
      <w:pPr>
        <w:pStyle w:val="Bibliography"/>
      </w:pPr>
      <w:r>
        <w:t xml:space="preserve">[46]</w:t>
      </w:r>
      <w:r>
        <w:t xml:space="preserve"> </w:t>
      </w:r>
      <w:r>
        <w:t xml:space="preserve">	</w:t>
      </w:r>
      <w:r>
        <w:t xml:space="preserve">Roy A, Ettinger AS, Hu H, Bellinger D, Schwartz J, Modali R, Wright RO, Palaniappan K, Balakrishnan K.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2013;38:17–22.</w:t>
      </w:r>
      <w:r>
        <w:t xml:space="preserve"> </w:t>
      </w:r>
      <w:hyperlink r:id="rId140">
        <w:r>
          <w:rPr>
            <w:rStyle w:val="Hyperlink"/>
          </w:rPr>
          <w:t xml:space="preserve">https://doi.org/10.1016/j.neuro.2013.05.005</w:t>
        </w:r>
      </w:hyperlink>
      <w:r>
        <w:t xml:space="preserve">.</w:t>
      </w:r>
    </w:p>
    <w:bookmarkEnd w:id="141"/>
    <w:bookmarkStart w:id="143" w:name="ref-dantzer2020ComparisonBloodToenails"/>
    <w:p>
      <w:pPr>
        <w:pStyle w:val="Bibliography"/>
      </w:pPr>
      <w:r>
        <w:t xml:space="preserve">[47]</w:t>
      </w:r>
      <w:r>
        <w:t xml:space="preserve"> </w:t>
      </w:r>
      <w:r>
        <w:t xml:space="preserve">	</w:t>
      </w:r>
      <w:r>
        <w:t xml:space="preserve">Dantzer J, Ryan P, Yolton K, Parsons PJ, Palmer CD, Cecil K, Unrine JM. A comparison of blood and toenails as biomarkers of children’s exposure to lead and their correlation with cognitive function. Science of The Total Environment 2020;700:134519.</w:t>
      </w:r>
      <w:r>
        <w:t xml:space="preserve"> </w:t>
      </w:r>
      <w:hyperlink r:id="rId142">
        <w:r>
          <w:rPr>
            <w:rStyle w:val="Hyperlink"/>
          </w:rPr>
          <w:t xml:space="preserve">https://doi.org/10.1016/j.scitotenv.2019.134519</w:t>
        </w:r>
      </w:hyperlink>
      <w:r>
        <w:t xml:space="preserve">.</w:t>
      </w:r>
    </w:p>
    <w:bookmarkEnd w:id="143"/>
    <w:bookmarkStart w:id="145" w:name="X6bc65313eadd1b86059eb4ba10c8cf9d91be17d"/>
    <w:p>
      <w:pPr>
        <w:pStyle w:val="Bibliography"/>
      </w:pPr>
      <w:r>
        <w:t xml:space="preserve">[48]</w:t>
      </w:r>
      <w:r>
        <w:t xml:space="preserve"> </w:t>
      </w:r>
      <w:r>
        <w:t xml:space="preserve">	</w:t>
      </w:r>
      <w:r>
        <w:t xml:space="preserve">Desrochers-Couture M, Oulhote Y, Arbuckle TE, Fraser WD, Séguin JR, Ouellet E, Forget-Dubois N, Ayotte P, Boivin M, Lanphear BP, Muckle G.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Environment International 2018;121:1235–42.</w:t>
      </w:r>
      <w:r>
        <w:t xml:space="preserve"> </w:t>
      </w:r>
      <w:hyperlink r:id="rId144">
        <w:r>
          <w:rPr>
            <w:rStyle w:val="Hyperlink"/>
          </w:rPr>
          <w:t xml:space="preserve">https://doi.org/10.1016/j.envint.2018.10.043</w:t>
        </w:r>
      </w:hyperlink>
      <w:r>
        <w:t xml:space="preserve">.</w:t>
      </w:r>
    </w:p>
    <w:bookmarkEnd w:id="145"/>
    <w:bookmarkStart w:id="147" w:name="ref-lee2021PrenatalPostnatalExposures"/>
    <w:p>
      <w:pPr>
        <w:pStyle w:val="Bibliography"/>
      </w:pPr>
      <w:r>
        <w:t xml:space="preserve">[49]</w:t>
      </w:r>
      <w:r>
        <w:t xml:space="preserve"> </w:t>
      </w:r>
      <w:r>
        <w:t xml:space="preserve">	</w:t>
      </w:r>
      <w:r>
        <w:t xml:space="preserve">Lee K-S, Kim K-N, Ahn YD, Choi Y-J, Cho J, Jang Y, Lim Y-H, Kim JI, Shin CH, Lee YA, Kim B-N, Hong Y-C.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Environment International 2021;157:106798.</w:t>
      </w:r>
      <w:r>
        <w:t xml:space="preserve"> </w:t>
      </w:r>
      <w:hyperlink r:id="rId146">
        <w:r>
          <w:rPr>
            <w:rStyle w:val="Hyperlink"/>
          </w:rPr>
          <w:t xml:space="preserve">https://doi.org/10.1016/j.envint.2021.106798</w:t>
        </w:r>
      </w:hyperlink>
      <w:r>
        <w:t xml:space="preserve">.</w:t>
      </w:r>
    </w:p>
    <w:bookmarkEnd w:id="147"/>
    <w:bookmarkStart w:id="148" w:name="X33fe7de6e8b65c86af337dbdb8d7cc8651c48a8"/>
    <w:p>
      <w:pPr>
        <w:pStyle w:val="Bibliography"/>
      </w:pPr>
      <w:r>
        <w:t xml:space="preserve">[50]</w:t>
      </w:r>
      <w:r>
        <w:t xml:space="preserve"> </w:t>
      </w:r>
      <w:r>
        <w:t xml:space="preserve">	</w:t>
      </w:r>
      <w:r>
        <w:t xml:space="preserve">Menezes-Filho JA, Carvalho CF, Rodrigues JLG, Araújo CFS, Dos Santos NR, Lima CS, Bandeira MJ, Marques BL de S, Anjos ALS, Bah HAF, Abreu N, Philibert A, Mergler D.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2018;15:2418.</w:t>
      </w:r>
    </w:p>
    <w:bookmarkEnd w:id="148"/>
    <w:bookmarkStart w:id="150" w:name="ref-smith2018StepAwayStepwise"/>
    <w:p>
      <w:pPr>
        <w:pStyle w:val="Bibliography"/>
      </w:pPr>
      <w:r>
        <w:t xml:space="preserve">[51]</w:t>
      </w:r>
      <w:r>
        <w:t xml:space="preserve"> </w:t>
      </w:r>
      <w:r>
        <w:t xml:space="preserve">	</w:t>
      </w:r>
      <w:r>
        <w:t xml:space="preserve">Smith G. Step away from stepwise. J Big Data 2018;5:32.</w:t>
      </w:r>
      <w:r>
        <w:t xml:space="preserve"> </w:t>
      </w:r>
      <w:hyperlink r:id="rId149">
        <w:r>
          <w:rPr>
            <w:rStyle w:val="Hyperlink"/>
          </w:rPr>
          <w:t xml:space="preserve">https://doi.org/10.1186/s40537-018-0143-6</w:t>
        </w:r>
      </w:hyperlink>
      <w:r>
        <w:t xml:space="preserve">.</w:t>
      </w:r>
    </w:p>
    <w:bookmarkEnd w:id="150"/>
    <w:bookmarkStart w:id="152" w:name="ref-kazi2026PvaluesBayesFactor"/>
    <w:p>
      <w:pPr>
        <w:pStyle w:val="Bibliography"/>
      </w:pPr>
      <w:r>
        <w:t xml:space="preserve">[52]</w:t>
      </w:r>
      <w:r>
        <w:t xml:space="preserve"> </w:t>
      </w:r>
      <w:r>
        <w:t xml:space="preserve">	</w:t>
      </w:r>
      <w:r>
        <w:t xml:space="preserve">Kazi M.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2026;17:241–8.</w:t>
      </w:r>
      <w:r>
        <w:t xml:space="preserve"> </w:t>
      </w:r>
      <w:hyperlink r:id="rId151">
        <w:r>
          <w:rPr>
            <w:rStyle w:val="Hyperlink"/>
          </w:rPr>
          <w:t xml:space="preserve">https://doi.org/10.1007/s13193-025-02314-8</w:t>
        </w:r>
      </w:hyperlink>
      <w:r>
        <w:t xml:space="preserve">.</w:t>
      </w:r>
    </w:p>
    <w:bookmarkEnd w:id="152"/>
    <w:bookmarkStart w:id="154" w:name="X946754e67e3c74fad7a8806aa9d2819ed4ec186"/>
    <w:p>
      <w:pPr>
        <w:pStyle w:val="Bibliography"/>
      </w:pPr>
      <w:r>
        <w:t xml:space="preserve">[53]</w:t>
      </w:r>
      <w:r>
        <w:t xml:space="preserve"> </w:t>
      </w:r>
      <w:r>
        <w:t xml:space="preserve">	</w:t>
      </w:r>
      <w:r>
        <w:t xml:space="preserve">Yao M, Deng K, Wang Y, Mei F, Zou K, Li L, Sun X. Random-effects meta-analysis models for pooling rare events data: A comparison between frequentist and bayesian methods. BMC Med Res Methodol 2025;25:228.</w:t>
      </w:r>
      <w:r>
        <w:t xml:space="preserve"> </w:t>
      </w:r>
      <w:hyperlink r:id="rId153">
        <w:r>
          <w:rPr>
            <w:rStyle w:val="Hyperlink"/>
          </w:rPr>
          <w:t xml:space="preserve">https://doi.org/10.1186/s12874-025-02664-5</w:t>
        </w:r>
      </w:hyperlink>
      <w:r>
        <w:t xml:space="preserve">.</w:t>
      </w:r>
    </w:p>
    <w:bookmarkEnd w:id="154"/>
    <w:bookmarkStart w:id="156" w:name="ref-ciyer2025BayesianMetaanalysis21st"/>
    <w:p>
      <w:pPr>
        <w:pStyle w:val="Bibliography"/>
      </w:pPr>
      <w:r>
        <w:t xml:space="preserve">[54]</w:t>
      </w:r>
      <w:r>
        <w:t xml:space="preserve"> </w:t>
      </w:r>
      <w:r>
        <w:t xml:space="preserve">	</w:t>
      </w:r>
      <w:r>
        <w:t xml:space="preserve">C Iyer S, Yap QV, Soong J, Cove M. Bayesian meta-analysis in the 21st century:</w:t>
      </w:r>
      <w:r>
        <w:t xml:space="preserve"> </w:t>
      </w:r>
      <w:r>
        <w:t xml:space="preserve">Fad</w:t>
      </w:r>
      <w:r>
        <w:t xml:space="preserve"> </w:t>
      </w:r>
      <w:r>
        <w:t xml:space="preserve">or future of evidence synthesis? Ann Acad Med Singap 2025;54:437.</w:t>
      </w:r>
      <w:r>
        <w:t xml:space="preserve"> </w:t>
      </w:r>
      <w:hyperlink r:id="rId155">
        <w:r>
          <w:rPr>
            <w:rStyle w:val="Hyperlink"/>
          </w:rPr>
          <w:t xml:space="preserve">https://doi.org/10.47102/annals-acadmedsg.2025104</w:t>
        </w:r>
      </w:hyperlink>
      <w:r>
        <w:t xml:space="preserve">.</w:t>
      </w:r>
    </w:p>
    <w:bookmarkEnd w:id="156"/>
    <w:bookmarkStart w:id="158" w:name="ref-hong2013ComparingBayesianFrequentist"/>
    <w:p>
      <w:pPr>
        <w:pStyle w:val="Bibliography"/>
      </w:pPr>
      <w:r>
        <w:t xml:space="preserve">[55]</w:t>
      </w:r>
      <w:r>
        <w:t xml:space="preserve"> </w:t>
      </w:r>
      <w:r>
        <w:t xml:space="preserve">	</w:t>
      </w:r>
      <w:r>
        <w:t xml:space="preserve">Hong H, Carlin BP, Shamliyan TA, Wyman JF, Ramakrishnan R, Sainfort F, Kane RL.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2013;33:702–14.</w:t>
      </w:r>
      <w:r>
        <w:t xml:space="preserve"> </w:t>
      </w:r>
      <w:hyperlink r:id="rId157">
        <w:r>
          <w:rPr>
            <w:rStyle w:val="Hyperlink"/>
          </w:rPr>
          <w:t xml:space="preserve">https://doi.org/10.1177/0272989X13481110</w:t>
        </w:r>
      </w:hyperlink>
      <w:r>
        <w:t xml:space="preserve">.</w:t>
      </w:r>
    </w:p>
    <w:bookmarkEnd w:id="158"/>
    <w:bookmarkStart w:id="160" w:name="ref-sadeghirad2023TheoryPracticeBayesian"/>
    <w:p>
      <w:pPr>
        <w:pStyle w:val="Bibliography"/>
      </w:pPr>
      <w:r>
        <w:t xml:space="preserve">[56]</w:t>
      </w:r>
      <w:r>
        <w:t xml:space="preserve"> </w:t>
      </w:r>
      <w:r>
        <w:t xml:space="preserve">	</w:t>
      </w:r>
      <w:r>
        <w:t xml:space="preserve">Sadeghirad B, Foroutan F, Zoratti MJ, Busse JW, Brignardello-Petersen R, Guyatt G, Thabane L. Theory and practice of</w:t>
      </w:r>
      <w:r>
        <w:t xml:space="preserve"> </w:t>
      </w:r>
      <w:r>
        <w:t xml:space="preserve">Bayesian</w:t>
      </w:r>
      <w:r>
        <w:t xml:space="preserve"> </w:t>
      </w:r>
      <w:r>
        <w:t xml:space="preserve">and frequentist frameworks for network meta-analysis. BMJ EBM 2023;28:204–9.</w:t>
      </w:r>
      <w:r>
        <w:t xml:space="preserve"> </w:t>
      </w:r>
      <w:hyperlink r:id="rId159">
        <w:r>
          <w:rPr>
            <w:rStyle w:val="Hyperlink"/>
          </w:rPr>
          <w:t xml:space="preserve">https://doi.org/10.1136/bmjebm-2022-111928</w:t>
        </w:r>
      </w:hyperlink>
      <w:r>
        <w:t xml:space="preserve">.</w:t>
      </w:r>
    </w:p>
    <w:bookmarkEnd w:id="160"/>
    <w:bookmarkStart w:id="162" w:name="X55ae1a8b757df519e0a47e2002b3acc0b2e73ec"/>
    <w:p>
      <w:pPr>
        <w:pStyle w:val="Bibliography"/>
      </w:pPr>
      <w:r>
        <w:t xml:space="preserve">[57]</w:t>
      </w:r>
      <w:r>
        <w:t xml:space="preserve"> </w:t>
      </w:r>
      <w:r>
        <w:t xml:space="preserve">	</w:t>
      </w:r>
      <w:r>
        <w:t xml:space="preserve">Seide SE, Jensen K, Kieser M. A comparison of</w:t>
      </w:r>
      <w:r>
        <w:t xml:space="preserve"> </w:t>
      </w:r>
      <w:r>
        <w:t xml:space="preserve">Bayesian</w:t>
      </w:r>
      <w:r>
        <w:t xml:space="preserve"> </w:t>
      </w:r>
      <w:r>
        <w:t xml:space="preserve">and frequentist methods in random-effects network meta-analysis of binary data. Research Synthesis Methods 2020;11:363–78.</w:t>
      </w:r>
      <w:r>
        <w:t xml:space="preserve"> </w:t>
      </w:r>
      <w:hyperlink r:id="rId161">
        <w:r>
          <w:rPr>
            <w:rStyle w:val="Hyperlink"/>
          </w:rPr>
          <w:t xml:space="preserve">https://doi.org/10.1002/jrsm.1397</w:t>
        </w:r>
      </w:hyperlink>
      <w:r>
        <w:t xml:space="preserve">.</w:t>
      </w:r>
    </w:p>
    <w:bookmarkEnd w:id="162"/>
    <w:bookmarkStart w:id="164" w:name="ref-gelman2013Chapter4Asymptotics"/>
    <w:p>
      <w:pPr>
        <w:pStyle w:val="Bibliography"/>
      </w:pPr>
      <w:r>
        <w:t xml:space="preserve">[58]</w:t>
      </w:r>
      <w:r>
        <w:t xml:space="preserve"> </w:t>
      </w:r>
      <w:r>
        <w:t xml:space="preserve">	</w:t>
      </w:r>
      <w:r>
        <w:t xml:space="preserve">Gelman A, Carlin JB, Stern HS, David B. Dunson, Vehtari A, Rubin DB. Chapter 4 -</w:t>
      </w:r>
      <w:r>
        <w:t xml:space="preserve"> </w:t>
      </w:r>
      <w:r>
        <w:t xml:space="preserve">Asymptotics</w:t>
      </w:r>
      <w:r>
        <w:t xml:space="preserve"> </w:t>
      </w:r>
      <w:r>
        <w:t xml:space="preserve">and connections to non-</w:t>
      </w:r>
      <w:r>
        <w:t xml:space="preserve">Bayesian</w:t>
      </w:r>
      <w:r>
        <w:t xml:space="preserve"> </w:t>
      </w:r>
      <w:r>
        <w:t xml:space="preserve">approaches. Bayesian</w:t>
      </w:r>
      <w:r>
        <w:t xml:space="preserve"> </w:t>
      </w:r>
      <w:r>
        <w:t xml:space="preserve">Data Analysis</w:t>
      </w:r>
      <w:r>
        <w:t xml:space="preserve">. 3rd ed.,</w:t>
      </w:r>
      <w:r>
        <w:t xml:space="preserve"> </w:t>
      </w:r>
      <w:r>
        <w:t xml:space="preserve">Chapman and Hall/CRC</w:t>
      </w:r>
      <w:r>
        <w:t xml:space="preserve">; 2013.</w:t>
      </w:r>
      <w:r>
        <w:t xml:space="preserve"> </w:t>
      </w:r>
      <w:hyperlink r:id="rId163">
        <w:r>
          <w:rPr>
            <w:rStyle w:val="Hyperlink"/>
          </w:rPr>
          <w:t xml:space="preserve">https://doi.org/10.1201/b16018</w:t>
        </w:r>
      </w:hyperlink>
      <w:r>
        <w:t xml:space="preserve">.</w:t>
      </w:r>
    </w:p>
    <w:bookmarkEnd w:id="164"/>
    <w:bookmarkStart w:id="166" w:name="ref-gelman2020BayesianWorkflow"/>
    <w:p>
      <w:pPr>
        <w:pStyle w:val="Bibliography"/>
      </w:pPr>
      <w:r>
        <w:t xml:space="preserve">[59]</w:t>
      </w:r>
      <w:r>
        <w:t xml:space="preserve"> </w:t>
      </w:r>
      <w:r>
        <w:t xml:space="preserve">	</w:t>
      </w:r>
      <w:r>
        <w:t xml:space="preserve">Gelman A, Vehtari A, Simpson D, Margossian CC, Carpenter B, Yao Y, Kennedy L, Gabry J, Bürkner P-C, Modrák M. Bayesian</w:t>
      </w:r>
      <w:r>
        <w:t xml:space="preserve"> </w:t>
      </w:r>
      <w:r>
        <w:t xml:space="preserve">Workflow</w:t>
      </w:r>
      <w:r>
        <w:t xml:space="preserve"> </w:t>
      </w:r>
      <w:r>
        <w:t xml:space="preserve">2020.</w:t>
      </w:r>
      <w:r>
        <w:t xml:space="preserve"> </w:t>
      </w:r>
      <w:hyperlink r:id="rId165">
        <w:r>
          <w:rPr>
            <w:rStyle w:val="Hyperlink"/>
          </w:rPr>
          <w:t xml:space="preserve">https://doi.org/10.48550/ARXIV.2011.01808</w:t>
        </w:r>
      </w:hyperlink>
      <w:r>
        <w:t xml:space="preserve">.</w:t>
      </w:r>
    </w:p>
    <w:bookmarkEnd w:id="166"/>
    <w:bookmarkStart w:id="167" w:name="Xd915bcb040430c17655975a5ceb4d7b4bdd04ac"/>
    <w:p>
      <w:pPr>
        <w:pStyle w:val="Bibliography"/>
      </w:pPr>
      <w:r>
        <w:t xml:space="preserve">[60]</w:t>
      </w:r>
      <w:r>
        <w:t xml:space="preserve"> </w:t>
      </w:r>
      <w:r>
        <w:t xml:space="preserve">	</w:t>
      </w:r>
      <w:r>
        <w:t xml:space="preserve">Prüss-Üstün A, Mathers C, Corvalán C, Woodward A. Assessing the environmental burden of disease at national and local levels: Introduction and methods. Environmental Burden of Disease Series 2003.</w:t>
      </w:r>
    </w:p>
    <w:bookmarkEnd w:id="167"/>
    <w:bookmarkStart w:id="169" w:name="ref-goodman2023SexDifferencePre"/>
    <w:p>
      <w:pPr>
        <w:pStyle w:val="Bibliography"/>
      </w:pPr>
      <w:r>
        <w:t xml:space="preserve">[61]</w:t>
      </w:r>
      <w:r>
        <w:t xml:space="preserve"> </w:t>
      </w:r>
      <w:r>
        <w:t xml:space="preserve">	</w:t>
      </w:r>
      <w:r>
        <w:t xml:space="preserve">Goodman CV, Green R, DaCosta A, Flora D, Lanphear B, Till C. Sex difference of pre- and post-natal exposure to six developmental neurotoxicants on intellectual abilities: A systematic review and meta-analysis of human studies. Environ Health 2023;22:80.</w:t>
      </w:r>
      <w:r>
        <w:t xml:space="preserve"> </w:t>
      </w:r>
      <w:hyperlink r:id="rId168">
        <w:r>
          <w:rPr>
            <w:rStyle w:val="Hyperlink"/>
          </w:rPr>
          <w:t xml:space="preserve">https://doi.org/10.1186/s12940-023-01029-z</w:t>
        </w:r>
      </w:hyperlink>
      <w:r>
        <w:t xml:space="preserve">.</w:t>
      </w:r>
    </w:p>
    <w:bookmarkEnd w:id="169"/>
    <w:bookmarkStart w:id="171" w:name="ref-pocock1994EnvironmentalLeadChildrens"/>
    <w:p>
      <w:pPr>
        <w:pStyle w:val="Bibliography"/>
      </w:pPr>
      <w:r>
        <w:t xml:space="preserve">[62]</w:t>
      </w:r>
      <w:r>
        <w:t xml:space="preserve"> </w:t>
      </w:r>
      <w:r>
        <w:t xml:space="preserve">	</w:t>
      </w:r>
      <w:r>
        <w:t xml:space="preserve">Pocock SJ, Smith M, Baghurst P. Environmental lead and children’s intelligence: A systematic review of the epidemiological evidence. BMJ 1994;309:1189–97.</w:t>
      </w:r>
      <w:r>
        <w:t xml:space="preserve"> </w:t>
      </w:r>
      <w:hyperlink r:id="rId170">
        <w:r>
          <w:rPr>
            <w:rStyle w:val="Hyperlink"/>
          </w:rPr>
          <w:t xml:space="preserve">https://doi.org/10.1136/bmj.309.6963.1189</w:t>
        </w:r>
      </w:hyperlink>
      <w:r>
        <w:t xml:space="preserve">.</w:t>
      </w:r>
    </w:p>
    <w:bookmarkEnd w:id="171"/>
    <w:bookmarkStart w:id="173" w:name="ref-heidari2022EffectLeadExposurea"/>
    <w:p>
      <w:pPr>
        <w:pStyle w:val="Bibliography"/>
      </w:pPr>
      <w:r>
        <w:t xml:space="preserve">[63]</w:t>
      </w:r>
      <w:r>
        <w:t xml:space="preserve"> </w:t>
      </w:r>
      <w:r>
        <w:t xml:space="preserve">	</w:t>
      </w:r>
      <w:r>
        <w:t xml:space="preserve">Heidari S, Mostafaei S, Razazian N, Rajati M, Saeedi A, Rajati F. The effect of lead exposure on</w:t>
      </w:r>
      <w:r>
        <w:t xml:space="preserve"> </w:t>
      </w:r>
      <w:r>
        <w:t xml:space="preserve">IQ</w:t>
      </w:r>
      <w:r>
        <w:t xml:space="preserve"> </w:t>
      </w:r>
      <w:r>
        <w:t xml:space="preserve">test scores in children under 12 years: A systematic review and meta-analysis of case-control studies. Syst Rev 2022;11:106.</w:t>
      </w:r>
      <w:r>
        <w:t xml:space="preserve"> </w:t>
      </w:r>
      <w:hyperlink r:id="rId172">
        <w:r>
          <w:rPr>
            <w:rStyle w:val="Hyperlink"/>
          </w:rPr>
          <w:t xml:space="preserve">https://doi.org/10.1186/s13643-022-01963-y</w:t>
        </w:r>
      </w:hyperlink>
      <w:r>
        <w:t xml:space="preserve">.</w:t>
      </w:r>
    </w:p>
    <w:bookmarkEnd w:id="173"/>
    <w:bookmarkStart w:id="175" w:name="X99fa6bd9cd2521340285769f289a6c9d4bfe17b"/>
    <w:p>
      <w:pPr>
        <w:pStyle w:val="Bibliography"/>
      </w:pPr>
      <w:r>
        <w:t xml:space="preserve">[64]</w:t>
      </w:r>
      <w:r>
        <w:t xml:space="preserve"> </w:t>
      </w:r>
      <w:r>
        <w:t xml:space="preserve">	</w:t>
      </w:r>
      <w:r>
        <w:t xml:space="preserve">Thompson B.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Educational and Psychological Measurement 1995;55:525–34.</w:t>
      </w:r>
      <w:r>
        <w:t xml:space="preserve"> </w:t>
      </w:r>
      <w:hyperlink r:id="rId174">
        <w:r>
          <w:rPr>
            <w:rStyle w:val="Hyperlink"/>
          </w:rPr>
          <w:t xml:space="preserve">https://doi.org/10.1177/0013164495055004001</w:t>
        </w:r>
      </w:hyperlink>
      <w:r>
        <w:t xml:space="preserve">.</w:t>
      </w:r>
    </w:p>
    <w:bookmarkEnd w:id="175"/>
    <w:bookmarkStart w:id="177" w:name="Xec30ec7c912152a14c0f622040312567154bf15"/>
    <w:p>
      <w:pPr>
        <w:pStyle w:val="Bibliography"/>
      </w:pPr>
      <w:r>
        <w:t xml:space="preserve">[65]</w:t>
      </w:r>
      <w:r>
        <w:t xml:space="preserve"> </w:t>
      </w:r>
      <w:r>
        <w:t xml:space="preserve">	</w:t>
      </w:r>
      <w:r>
        <w:t xml:space="preserve">Harrell FE.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Cham: Springer International Publishing; 2015.</w:t>
      </w:r>
      <w:r>
        <w:t xml:space="preserve"> </w:t>
      </w:r>
      <w:hyperlink r:id="rId176">
        <w:r>
          <w:rPr>
            <w:rStyle w:val="Hyperlink"/>
          </w:rPr>
          <w:t xml:space="preserve">https://doi.org/10.1007/978-3-319-19425-7</w:t>
        </w:r>
      </w:hyperlink>
      <w:r>
        <w:t xml:space="preserve">.</w:t>
      </w:r>
    </w:p>
    <w:bookmarkEnd w:id="177"/>
    <w:bookmarkEnd w:id="178"/>
    <w:bookmarkEnd w:id="179"/>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38" Target="media/rId38.png" /><Relationship Type="http://schemas.openxmlformats.org/officeDocument/2006/relationships/hyperlink" Id="rId80" Target="https://doi.org/10.1001/jama.1990.03440050067035" TargetMode="External" /><Relationship Type="http://schemas.openxmlformats.org/officeDocument/2006/relationships/hyperlink" Id="rId161" Target="https://doi.org/10.1002/jrsm.1397" TargetMode="External" /><Relationship Type="http://schemas.openxmlformats.org/officeDocument/2006/relationships/hyperlink" Id="rId91" Target="https://doi.org/10.1006/enrs.1994.1020" TargetMode="External" /><Relationship Type="http://schemas.openxmlformats.org/officeDocument/2006/relationships/hyperlink" Id="rId176" Target="https://doi.org/10.1007/978-3-319-19425-7" TargetMode="External" /><Relationship Type="http://schemas.openxmlformats.org/officeDocument/2006/relationships/hyperlink" Id="rId74" Target="https://doi.org/10.1007/s11121-023-01601-6" TargetMode="External" /><Relationship Type="http://schemas.openxmlformats.org/officeDocument/2006/relationships/hyperlink" Id="rId60" Target="https://doi.org/10.1007/s12403-023-00535-2" TargetMode="External" /><Relationship Type="http://schemas.openxmlformats.org/officeDocument/2006/relationships/hyperlink" Id="rId151" Target="https://doi.org/10.1007/s13193-025-02314-8" TargetMode="External" /><Relationship Type="http://schemas.openxmlformats.org/officeDocument/2006/relationships/hyperlink" Id="rId62" Target="https://doi.org/10.1016/S0140-6736(24)00933-4" TargetMode="External" /><Relationship Type="http://schemas.openxmlformats.org/officeDocument/2006/relationships/hyperlink" Id="rId70" Target="https://doi.org/10.1016/S2468-2667(18)30025-2" TargetMode="External" /><Relationship Type="http://schemas.openxmlformats.org/officeDocument/2006/relationships/hyperlink" Id="rId86" Target="https://doi.org/10.1016/S2542-5196(23)00166-3" TargetMode="External" /><Relationship Type="http://schemas.openxmlformats.org/officeDocument/2006/relationships/hyperlink" Id="rId56" Target="https://doi.org/10.1016/j.chemosphere.2023.138207" TargetMode="External" /><Relationship Type="http://schemas.openxmlformats.org/officeDocument/2006/relationships/hyperlink" Id="rId66" Target="https://doi.org/10.1016/j.ecoenv.2022.113257" TargetMode="External" /><Relationship Type="http://schemas.openxmlformats.org/officeDocument/2006/relationships/hyperlink" Id="rId144" Target="https://doi.org/10.1016/j.envint.2018.10.043" TargetMode="External" /><Relationship Type="http://schemas.openxmlformats.org/officeDocument/2006/relationships/hyperlink" Id="rId146" Target="https://doi.org/10.1016/j.envint.2021.106798" TargetMode="External" /><Relationship Type="http://schemas.openxmlformats.org/officeDocument/2006/relationships/hyperlink" Id="rId76" Target="https://doi.org/10.1016/j.envint.2025.109786" TargetMode="External" /><Relationship Type="http://schemas.openxmlformats.org/officeDocument/2006/relationships/hyperlink" Id="rId72" Target="https://doi.org/10.1016/j.envres.2005.10.004" TargetMode="External" /><Relationship Type="http://schemas.openxmlformats.org/officeDocument/2006/relationships/hyperlink" Id="rId136" Target="https://doi.org/10.1016/j.envres.2012.08.003" TargetMode="External" /><Relationship Type="http://schemas.openxmlformats.org/officeDocument/2006/relationships/hyperlink" Id="rId95" Target="https://doi.org/10.1016/j.envres.2019.02.023" TargetMode="External" /><Relationship Type="http://schemas.openxmlformats.org/officeDocument/2006/relationships/hyperlink" Id="rId97" Target="https://doi.org/10.1016/j.envres.2024.120013" TargetMode="External" /><Relationship Type="http://schemas.openxmlformats.org/officeDocument/2006/relationships/hyperlink" Id="rId140" Target="https://doi.org/10.1016/j.neuro.2013.05.005" TargetMode="External" /><Relationship Type="http://schemas.openxmlformats.org/officeDocument/2006/relationships/hyperlink" Id="rId142" Target="https://doi.org/10.1016/j.scitotenv.2019.134519" TargetMode="External" /><Relationship Type="http://schemas.openxmlformats.org/officeDocument/2006/relationships/hyperlink" Id="rId116" Target="https://doi.org/10.1038/s41370-022-00450-9" TargetMode="External" /><Relationship Type="http://schemas.openxmlformats.org/officeDocument/2006/relationships/hyperlink" Id="rId111" Target="https://doi.org/10.1038/s41562-021-01177-7" TargetMode="External" /><Relationship Type="http://schemas.openxmlformats.org/officeDocument/2006/relationships/hyperlink" Id="rId54" Target="https://doi.org/10.1038/s41598-025-17943-w" TargetMode="External" /><Relationship Type="http://schemas.openxmlformats.org/officeDocument/2006/relationships/hyperlink" Id="rId64" Target="https://doi.org/10.1053/j.ajkd.2018.02.358" TargetMode="External" /><Relationship Type="http://schemas.openxmlformats.org/officeDocument/2006/relationships/hyperlink" Id="rId78" Target="https://doi.org/10.1056/NEJM199210293271805" TargetMode="External" /><Relationship Type="http://schemas.openxmlformats.org/officeDocument/2006/relationships/hyperlink" Id="rId93" Target="https://doi.org/10.1056/NEJMoa022848" TargetMode="External" /><Relationship Type="http://schemas.openxmlformats.org/officeDocument/2006/relationships/hyperlink" Id="rId99" Target="https://doi.org/10.1073/pnas.2118631119" TargetMode="External" /><Relationship Type="http://schemas.openxmlformats.org/officeDocument/2006/relationships/hyperlink" Id="rId130" Target="https://doi.org/10.1111/ajpy.12096" TargetMode="External" /><Relationship Type="http://schemas.openxmlformats.org/officeDocument/2006/relationships/hyperlink" Id="rId170" Target="https://doi.org/10.1136/bmj.309.6963.1189" TargetMode="External" /><Relationship Type="http://schemas.openxmlformats.org/officeDocument/2006/relationships/hyperlink" Id="rId109" Target="https://doi.org/10.1136/bmj.n71" TargetMode="External" /><Relationship Type="http://schemas.openxmlformats.org/officeDocument/2006/relationships/hyperlink" Id="rId159" Target="https://doi.org/10.1136/bmjebm-2022-111928" TargetMode="External" /><Relationship Type="http://schemas.openxmlformats.org/officeDocument/2006/relationships/hyperlink" Id="rId68" Target="https://doi.org/10.1161/JAHA.124.037633" TargetMode="External" /><Relationship Type="http://schemas.openxmlformats.org/officeDocument/2006/relationships/hyperlink" Id="rId174" Target="https://doi.org/10.1177/0013164495055004001" TargetMode="External" /><Relationship Type="http://schemas.openxmlformats.org/officeDocument/2006/relationships/hyperlink" Id="rId157" Target="https://doi.org/10.1177/0272989X13481110" TargetMode="External" /><Relationship Type="http://schemas.openxmlformats.org/officeDocument/2006/relationships/hyperlink" Id="rId153" Target="https://doi.org/10.1186/s12874-025-02664-5" TargetMode="External" /><Relationship Type="http://schemas.openxmlformats.org/officeDocument/2006/relationships/hyperlink" Id="rId138" Target="https://doi.org/10.1186/s12940-019-0505-3" TargetMode="External" /><Relationship Type="http://schemas.openxmlformats.org/officeDocument/2006/relationships/hyperlink" Id="rId168" Target="https://doi.org/10.1186/s12940-023-01029-z" TargetMode="External" /><Relationship Type="http://schemas.openxmlformats.org/officeDocument/2006/relationships/hyperlink" Id="rId172" Target="https://doi.org/10.1186/s13643-022-01963-y" TargetMode="External" /><Relationship Type="http://schemas.openxmlformats.org/officeDocument/2006/relationships/hyperlink" Id="rId149" Target="https://doi.org/10.1186/s40537-018-0143-6" TargetMode="External" /><Relationship Type="http://schemas.openxmlformats.org/officeDocument/2006/relationships/hyperlink" Id="rId105" Target="https://doi.org/10.1201/9781003375821" TargetMode="External" /><Relationship Type="http://schemas.openxmlformats.org/officeDocument/2006/relationships/hyperlink" Id="rId163" Target="https://doi.org/10.1201/b16018" TargetMode="External" /><Relationship Type="http://schemas.openxmlformats.org/officeDocument/2006/relationships/hyperlink" Id="rId103" Target="https://doi.org/10.1289/EHP5685" TargetMode="External" /><Relationship Type="http://schemas.openxmlformats.org/officeDocument/2006/relationships/hyperlink" Id="rId120" Target="https://doi.org/10.1289/ehp.8552" TargetMode="External" /><Relationship Type="http://schemas.openxmlformats.org/officeDocument/2006/relationships/hyperlink" Id="rId82" Target="https://doi.org/10.1542/peds.90.6.855" TargetMode="External" /><Relationship Type="http://schemas.openxmlformats.org/officeDocument/2006/relationships/hyperlink" Id="rId128" Target="https://doi.org/10.18637/jss.v036.i03" TargetMode="External" /><Relationship Type="http://schemas.openxmlformats.org/officeDocument/2006/relationships/hyperlink" Id="rId123" Target="https://doi.org/10.18637/jss.v080.i01" TargetMode="External" /><Relationship Type="http://schemas.openxmlformats.org/officeDocument/2006/relationships/hyperlink" Id="rId89" Target="https://doi.org/10.2903/j.efsa.2010.1570" TargetMode="External" /><Relationship Type="http://schemas.openxmlformats.org/officeDocument/2006/relationships/hyperlink" Id="rId58" Target="https://doi.org/10.2903/j.efsa.2012.2831" TargetMode="External" /><Relationship Type="http://schemas.openxmlformats.org/officeDocument/2006/relationships/hyperlink" Id="rId114" Target="https://doi.org/10.2903/sp.efsa.2024.EN-8925" TargetMode="External" /><Relationship Type="http://schemas.openxmlformats.org/officeDocument/2006/relationships/hyperlink" Id="rId101" Target="https://doi.org/10.3109/10408444.2013.832726" TargetMode="External" /><Relationship Type="http://schemas.openxmlformats.org/officeDocument/2006/relationships/hyperlink" Id="rId107" Target="https://doi.org/10.3758/s13423-013-0572-3" TargetMode="External" /><Relationship Type="http://schemas.openxmlformats.org/officeDocument/2006/relationships/hyperlink" Id="rId155" Target="https://doi.org/10.47102/annals-acadmedsg.2025104" TargetMode="External" /><Relationship Type="http://schemas.openxmlformats.org/officeDocument/2006/relationships/hyperlink" Id="rId125" Target="https://doi.org/10.48550/ARXIV.1111.4246" TargetMode="External" /><Relationship Type="http://schemas.openxmlformats.org/officeDocument/2006/relationships/hyperlink" Id="rId165" Target="https://doi.org/10.48550/ARXIV.2011.01808" TargetMode="External" /><Relationship Type="http://schemas.openxmlformats.org/officeDocument/2006/relationships/hyperlink" Id="rId132" Target="https://doi.org/doi:10.1289/EHP6803" TargetMode="External" /><Relationship Type="http://schemas.openxmlformats.org/officeDocument/2006/relationships/hyperlink" Id="rId134" Target="https://doi.org/doi:10.1289/ehp.1307420" TargetMode="External" /><Relationship Type="http://schemas.openxmlformats.org/officeDocument/2006/relationships/hyperlink" Id="rId118" Target="https://doi.org/doi:10.1289/ehp.7625" TargetMode="External" /><Relationship Type="http://schemas.openxmlformats.org/officeDocument/2006/relationships/hyperlink" Id="rId84" Target="https://doi.org/doi:10.1289/ehp.7688" TargetMode="External" /><Relationship Type="http://schemas.openxmlformats.org/officeDocument/2006/relationships/hyperlink" Id="rId30" Target="https://github.com/PaulinaSell/lead-IQ_meta-analysis" TargetMode="External" /><Relationship Type="http://schemas.openxmlformats.org/officeDocument/2006/relationships/hyperlink" Id="rId25" Target="https://www.eu-parc.eu"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01/jama.1990.03440050067035" TargetMode="External" /><Relationship Type="http://schemas.openxmlformats.org/officeDocument/2006/relationships/hyperlink" Id="rId161" Target="https://doi.org/10.1002/jrsm.1397" TargetMode="External" /><Relationship Type="http://schemas.openxmlformats.org/officeDocument/2006/relationships/hyperlink" Id="rId91" Target="https://doi.org/10.1006/enrs.1994.1020" TargetMode="External" /><Relationship Type="http://schemas.openxmlformats.org/officeDocument/2006/relationships/hyperlink" Id="rId176" Target="https://doi.org/10.1007/978-3-319-19425-7" TargetMode="External" /><Relationship Type="http://schemas.openxmlformats.org/officeDocument/2006/relationships/hyperlink" Id="rId74" Target="https://doi.org/10.1007/s11121-023-01601-6" TargetMode="External" /><Relationship Type="http://schemas.openxmlformats.org/officeDocument/2006/relationships/hyperlink" Id="rId60" Target="https://doi.org/10.1007/s12403-023-00535-2" TargetMode="External" /><Relationship Type="http://schemas.openxmlformats.org/officeDocument/2006/relationships/hyperlink" Id="rId151" Target="https://doi.org/10.1007/s13193-025-02314-8" TargetMode="External" /><Relationship Type="http://schemas.openxmlformats.org/officeDocument/2006/relationships/hyperlink" Id="rId62" Target="https://doi.org/10.1016/S0140-6736(24)00933-4" TargetMode="External" /><Relationship Type="http://schemas.openxmlformats.org/officeDocument/2006/relationships/hyperlink" Id="rId70" Target="https://doi.org/10.1016/S2468-2667(18)30025-2" TargetMode="External" /><Relationship Type="http://schemas.openxmlformats.org/officeDocument/2006/relationships/hyperlink" Id="rId86" Target="https://doi.org/10.1016/S2542-5196(23)00166-3" TargetMode="External" /><Relationship Type="http://schemas.openxmlformats.org/officeDocument/2006/relationships/hyperlink" Id="rId56" Target="https://doi.org/10.1016/j.chemosphere.2023.138207" TargetMode="External" /><Relationship Type="http://schemas.openxmlformats.org/officeDocument/2006/relationships/hyperlink" Id="rId66" Target="https://doi.org/10.1016/j.ecoenv.2022.113257" TargetMode="External" /><Relationship Type="http://schemas.openxmlformats.org/officeDocument/2006/relationships/hyperlink" Id="rId144" Target="https://doi.org/10.1016/j.envint.2018.10.043" TargetMode="External" /><Relationship Type="http://schemas.openxmlformats.org/officeDocument/2006/relationships/hyperlink" Id="rId146" Target="https://doi.org/10.1016/j.envint.2021.106798" TargetMode="External" /><Relationship Type="http://schemas.openxmlformats.org/officeDocument/2006/relationships/hyperlink" Id="rId76" Target="https://doi.org/10.1016/j.envint.2025.109786" TargetMode="External" /><Relationship Type="http://schemas.openxmlformats.org/officeDocument/2006/relationships/hyperlink" Id="rId72" Target="https://doi.org/10.1016/j.envres.2005.10.004" TargetMode="External" /><Relationship Type="http://schemas.openxmlformats.org/officeDocument/2006/relationships/hyperlink" Id="rId136" Target="https://doi.org/10.1016/j.envres.2012.08.003" TargetMode="External" /><Relationship Type="http://schemas.openxmlformats.org/officeDocument/2006/relationships/hyperlink" Id="rId95" Target="https://doi.org/10.1016/j.envres.2019.02.023" TargetMode="External" /><Relationship Type="http://schemas.openxmlformats.org/officeDocument/2006/relationships/hyperlink" Id="rId97" Target="https://doi.org/10.1016/j.envres.2024.120013" TargetMode="External" /><Relationship Type="http://schemas.openxmlformats.org/officeDocument/2006/relationships/hyperlink" Id="rId140" Target="https://doi.org/10.1016/j.neuro.2013.05.005" TargetMode="External" /><Relationship Type="http://schemas.openxmlformats.org/officeDocument/2006/relationships/hyperlink" Id="rId142" Target="https://doi.org/10.1016/j.scitotenv.2019.134519" TargetMode="External" /><Relationship Type="http://schemas.openxmlformats.org/officeDocument/2006/relationships/hyperlink" Id="rId116" Target="https://doi.org/10.1038/s41370-022-00450-9" TargetMode="External" /><Relationship Type="http://schemas.openxmlformats.org/officeDocument/2006/relationships/hyperlink" Id="rId111" Target="https://doi.org/10.1038/s41562-021-01177-7" TargetMode="External" /><Relationship Type="http://schemas.openxmlformats.org/officeDocument/2006/relationships/hyperlink" Id="rId54" Target="https://doi.org/10.1038/s41598-025-17943-w" TargetMode="External" /><Relationship Type="http://schemas.openxmlformats.org/officeDocument/2006/relationships/hyperlink" Id="rId64" Target="https://doi.org/10.1053/j.ajkd.2018.02.358" TargetMode="External" /><Relationship Type="http://schemas.openxmlformats.org/officeDocument/2006/relationships/hyperlink" Id="rId78" Target="https://doi.org/10.1056/NEJM199210293271805" TargetMode="External" /><Relationship Type="http://schemas.openxmlformats.org/officeDocument/2006/relationships/hyperlink" Id="rId93" Target="https://doi.org/10.1056/NEJMoa022848" TargetMode="External" /><Relationship Type="http://schemas.openxmlformats.org/officeDocument/2006/relationships/hyperlink" Id="rId99" Target="https://doi.org/10.1073/pnas.2118631119" TargetMode="External" /><Relationship Type="http://schemas.openxmlformats.org/officeDocument/2006/relationships/hyperlink" Id="rId130" Target="https://doi.org/10.1111/ajpy.12096" TargetMode="External" /><Relationship Type="http://schemas.openxmlformats.org/officeDocument/2006/relationships/hyperlink" Id="rId170" Target="https://doi.org/10.1136/bmj.309.6963.1189" TargetMode="External" /><Relationship Type="http://schemas.openxmlformats.org/officeDocument/2006/relationships/hyperlink" Id="rId109" Target="https://doi.org/10.1136/bmj.n71" TargetMode="External" /><Relationship Type="http://schemas.openxmlformats.org/officeDocument/2006/relationships/hyperlink" Id="rId159" Target="https://doi.org/10.1136/bmjebm-2022-111928" TargetMode="External" /><Relationship Type="http://schemas.openxmlformats.org/officeDocument/2006/relationships/hyperlink" Id="rId68" Target="https://doi.org/10.1161/JAHA.124.037633" TargetMode="External" /><Relationship Type="http://schemas.openxmlformats.org/officeDocument/2006/relationships/hyperlink" Id="rId174" Target="https://doi.org/10.1177/0013164495055004001" TargetMode="External" /><Relationship Type="http://schemas.openxmlformats.org/officeDocument/2006/relationships/hyperlink" Id="rId157" Target="https://doi.org/10.1177/0272989X13481110" TargetMode="External" /><Relationship Type="http://schemas.openxmlformats.org/officeDocument/2006/relationships/hyperlink" Id="rId153" Target="https://doi.org/10.1186/s12874-025-02664-5" TargetMode="External" /><Relationship Type="http://schemas.openxmlformats.org/officeDocument/2006/relationships/hyperlink" Id="rId138" Target="https://doi.org/10.1186/s12940-019-0505-3" TargetMode="External" /><Relationship Type="http://schemas.openxmlformats.org/officeDocument/2006/relationships/hyperlink" Id="rId168" Target="https://doi.org/10.1186/s12940-023-01029-z" TargetMode="External" /><Relationship Type="http://schemas.openxmlformats.org/officeDocument/2006/relationships/hyperlink" Id="rId172" Target="https://doi.org/10.1186/s13643-022-01963-y" TargetMode="External" /><Relationship Type="http://schemas.openxmlformats.org/officeDocument/2006/relationships/hyperlink" Id="rId149" Target="https://doi.org/10.1186/s40537-018-0143-6" TargetMode="External" /><Relationship Type="http://schemas.openxmlformats.org/officeDocument/2006/relationships/hyperlink" Id="rId105" Target="https://doi.org/10.1201/9781003375821" TargetMode="External" /><Relationship Type="http://schemas.openxmlformats.org/officeDocument/2006/relationships/hyperlink" Id="rId163" Target="https://doi.org/10.1201/b16018" TargetMode="External" /><Relationship Type="http://schemas.openxmlformats.org/officeDocument/2006/relationships/hyperlink" Id="rId103" Target="https://doi.org/10.1289/EHP5685" TargetMode="External" /><Relationship Type="http://schemas.openxmlformats.org/officeDocument/2006/relationships/hyperlink" Id="rId120" Target="https://doi.org/10.1289/ehp.8552" TargetMode="External" /><Relationship Type="http://schemas.openxmlformats.org/officeDocument/2006/relationships/hyperlink" Id="rId82" Target="https://doi.org/10.1542/peds.90.6.855" TargetMode="External" /><Relationship Type="http://schemas.openxmlformats.org/officeDocument/2006/relationships/hyperlink" Id="rId128" Target="https://doi.org/10.18637/jss.v036.i03" TargetMode="External" /><Relationship Type="http://schemas.openxmlformats.org/officeDocument/2006/relationships/hyperlink" Id="rId123" Target="https://doi.org/10.18637/jss.v080.i01" TargetMode="External" /><Relationship Type="http://schemas.openxmlformats.org/officeDocument/2006/relationships/hyperlink" Id="rId89" Target="https://doi.org/10.2903/j.efsa.2010.1570" TargetMode="External" /><Relationship Type="http://schemas.openxmlformats.org/officeDocument/2006/relationships/hyperlink" Id="rId58" Target="https://doi.org/10.2903/j.efsa.2012.2831" TargetMode="External" /><Relationship Type="http://schemas.openxmlformats.org/officeDocument/2006/relationships/hyperlink" Id="rId114" Target="https://doi.org/10.2903/sp.efsa.2024.EN-8925" TargetMode="External" /><Relationship Type="http://schemas.openxmlformats.org/officeDocument/2006/relationships/hyperlink" Id="rId101" Target="https://doi.org/10.3109/10408444.2013.832726" TargetMode="External" /><Relationship Type="http://schemas.openxmlformats.org/officeDocument/2006/relationships/hyperlink" Id="rId107" Target="https://doi.org/10.3758/s13423-013-0572-3" TargetMode="External" /><Relationship Type="http://schemas.openxmlformats.org/officeDocument/2006/relationships/hyperlink" Id="rId155" Target="https://doi.org/10.47102/annals-acadmedsg.2025104" TargetMode="External" /><Relationship Type="http://schemas.openxmlformats.org/officeDocument/2006/relationships/hyperlink" Id="rId125" Target="https://doi.org/10.48550/ARXIV.1111.4246" TargetMode="External" /><Relationship Type="http://schemas.openxmlformats.org/officeDocument/2006/relationships/hyperlink" Id="rId165" Target="https://doi.org/10.48550/ARXIV.2011.01808" TargetMode="External" /><Relationship Type="http://schemas.openxmlformats.org/officeDocument/2006/relationships/hyperlink" Id="rId132" Target="https://doi.org/doi:10.1289/EHP6803" TargetMode="External" /><Relationship Type="http://schemas.openxmlformats.org/officeDocument/2006/relationships/hyperlink" Id="rId134" Target="https://doi.org/doi:10.1289/ehp.1307420" TargetMode="External" /><Relationship Type="http://schemas.openxmlformats.org/officeDocument/2006/relationships/hyperlink" Id="rId118" Target="https://doi.org/doi:10.1289/ehp.7625" TargetMode="External" /><Relationship Type="http://schemas.openxmlformats.org/officeDocument/2006/relationships/hyperlink" Id="rId84" Target="https://doi.org/doi:10.1289/ehp.7688" TargetMode="External" /><Relationship Type="http://schemas.openxmlformats.org/officeDocument/2006/relationships/hyperlink" Id="rId30" Target="https://github.com/PaulinaSell/lead-IQ_meta-analysis" TargetMode="External" /><Relationship Type="http://schemas.openxmlformats.org/officeDocument/2006/relationships/hyperlink" Id="rId25" Target="https://www.eu-parc.eu"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2026-03-18T16:01:05Z</dcterms:created>
  <dcterms:modified xsi:type="dcterms:W3CDTF">2026-03-18T16:01:05Z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elsevier-vancouver-no-et-al.csl</vt:lpwstr>
  </property>
  <property fmtid="{D5CDD505-2E9C-101B-9397-08002B2CF9AE}" pid="8" name="date-format">
    <vt:lpwstr>D MMMM YYYY</vt:lpwstr>
  </property>
  <property fmtid="{D5CDD505-2E9C-101B-9397-08002B2CF9AE}" pid="9" name="date-modified">
    <vt:lpwstr>18 March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