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Lead exposure and IQ loss in children: a Bayesian and frequentist meta-analysis of recent epidemiological studies</w:t>
      </w:r>
    </w:p>
    <w:p>
      <w:pPr>
        <w:pStyle w:val="Author"/>
      </w:pPr>
      <w:r>
        <w:t xml:space="preserve">Paulina Sell</w:t>
      </w:r>
    </w:p>
    <w:p>
      <w:pPr>
        <w:pStyle w:val="Author"/>
      </w:pPr>
      <w:r>
        <w:t xml:space="preserve">Margaux Sanchez</w:t>
      </w:r>
    </w:p>
    <w:p>
      <w:pPr>
        <w:pStyle w:val="Author"/>
      </w:pPr>
      <w:r>
        <w:t xml:space="preserve">Philippe Palmont</w:t>
      </w:r>
    </w:p>
    <w:p>
      <w:pPr>
        <w:pStyle w:val="Author"/>
      </w:pPr>
      <w:r>
        <w:t xml:space="preserve">Dietrich Plass</w:t>
      </w:r>
    </w:p>
    <w:bookmarkStart w:id="23" w:name="notes"/>
    <w:p>
      <w:pPr>
        <w:pStyle w:val="Heading1"/>
      </w:pPr>
      <w:r>
        <w:t xml:space="preserve">Notes</w:t>
      </w:r>
    </w:p>
    <w:p>
      <w:pPr>
        <w:pStyle w:val="Compact"/>
        <w:numPr>
          <w:ilvl w:val="0"/>
          <w:numId w:val="1001"/>
        </w:numPr>
      </w:pPr>
      <w:r>
        <w:t xml:space="preserve">Journal:</w:t>
      </w:r>
      <w:r>
        <w:t xml:space="preserve"> </w:t>
      </w:r>
      <w:hyperlink r:id="rId20">
        <w:r>
          <w:rPr>
            <w:rStyle w:val="Hyperlink"/>
          </w:rPr>
          <w:t xml:space="preserve">Population Health Metrics, BMC</w:t>
        </w:r>
      </w:hyperlink>
    </w:p>
    <w:p>
      <w:pPr>
        <w:pStyle w:val="Compact"/>
        <w:numPr>
          <w:ilvl w:val="0"/>
          <w:numId w:val="1001"/>
        </w:numPr>
      </w:pPr>
      <w:r>
        <w:t xml:space="preserve">Using</w:t>
      </w:r>
      <w:r>
        <w:t xml:space="preserve"> </w:t>
      </w:r>
      <w:hyperlink r:id="rId21">
        <w:r>
          <w:rPr>
            <w:rStyle w:val="Hyperlink"/>
          </w:rPr>
          <w:t xml:space="preserve">PRISMA 2020 checklist</w:t>
        </w:r>
      </w:hyperlink>
      <w:r>
        <w:t xml:space="preserve"> </w:t>
      </w:r>
      <w:r>
        <w:t xml:space="preserve">for structure</w:t>
      </w:r>
    </w:p>
    <w:p>
      <w:pPr>
        <w:pStyle w:val="Compact"/>
        <w:numPr>
          <w:ilvl w:val="0"/>
          <w:numId w:val="1001"/>
        </w:numPr>
      </w:pPr>
      <w:r>
        <w:t xml:space="preserve">Using</w:t>
      </w:r>
      <w:r>
        <w:t xml:space="preserve"> </w:t>
      </w:r>
      <w:hyperlink r:id="rId22">
        <w:r>
          <w:rPr>
            <w:rStyle w:val="Hyperlink"/>
          </w:rPr>
          <w:t xml:space="preserve">raRoB tool</w:t>
        </w:r>
      </w:hyperlink>
      <w:r>
        <w:t xml:space="preserve"> </w:t>
      </w:r>
      <w:r>
        <w:t xml:space="preserve">for Risk of Bias Assessment</w:t>
      </w:r>
    </w:p>
    <w:bookmarkEnd w:id="23"/>
    <w:bookmarkStart w:id="24" w:name="abstract"/>
    <w:p>
      <w:pPr>
        <w:pStyle w:val="Heading1"/>
      </w:pPr>
      <w:r>
        <w:t xml:space="preserve">Abstract</w:t>
      </w:r>
    </w:p>
    <w:p>
      <w:r>
        <w:br w:type="page"/>
      </w:r>
    </w:p>
    <w:bookmarkEnd w:id="24"/>
    <w:bookmarkStart w:id="26" w:name="background"/>
    <w:p>
      <w:pPr>
        <w:pStyle w:val="Heading1"/>
      </w:pPr>
      <w:r>
        <w:t xml:space="preserve">1. Background</w:t>
      </w:r>
    </w:p>
    <w:p>
      <w:pPr>
        <w:pStyle w:val="Compact"/>
        <w:numPr>
          <w:ilvl w:val="0"/>
          <w:numId w:val="1002"/>
        </w:numPr>
      </w:pPr>
      <w:r>
        <w:t xml:space="preserve">Intro: Lead, health effects, burden of disease</w:t>
      </w:r>
    </w:p>
    <w:p>
      <w:pPr>
        <w:pStyle w:val="Compact"/>
        <w:numPr>
          <w:ilvl w:val="0"/>
          <w:numId w:val="1003"/>
        </w:numPr>
      </w:pPr>
      <w:r>
        <w:t xml:space="preserve">Currently used ERFs</w:t>
      </w:r>
    </w:p>
    <w:p>
      <w:pPr>
        <w:pStyle w:val="Compact"/>
        <w:numPr>
          <w:ilvl w:val="0"/>
          <w:numId w:val="1004"/>
        </w:numPr>
      </w:pPr>
      <w:r>
        <w:t xml:space="preserve">Rationale for methodological comparison (BMA - FMA)</w:t>
      </w:r>
    </w:p>
    <w:p>
      <w:pPr>
        <w:pStyle w:val="Compact"/>
        <w:numPr>
          <w:ilvl w:val="0"/>
          <w:numId w:val="1005"/>
        </w:numPr>
      </w:pPr>
      <w:r>
        <w:t xml:space="preserve">Aim of this study</w:t>
      </w:r>
      <w:r>
        <w:br/>
      </w:r>
    </w:p>
    <w:p>
      <w:pPr>
        <w:pStyle w:val="FirstParagraph"/>
      </w:pPr>
      <w:r>
        <w:t xml:space="preserve">Lead (Pb) is a pervasive environmental pollutant originating from anthropogenic and natural sources.</w:t>
      </w:r>
      <w:r>
        <w:t xml:space="preserve"> </w:t>
      </w:r>
      <w:r>
        <w:t xml:space="preserve">Although concentrations have declined globally in past decades following the phase-out of leaded gasoline, lead remains present in the environment and human blood</w:t>
      </w:r>
      <w:r>
        <w:t xml:space="preserve"> </w:t>
      </w:r>
      <w:r>
        <w:t xml:space="preserve">(1,2)</w:t>
      </w:r>
      <w:r>
        <w:t xml:space="preserve">.</w:t>
      </w:r>
      <w:r>
        <w:t xml:space="preserve"> </w:t>
      </w:r>
      <w:r>
        <w:t xml:space="preserve">In Europe, primary exposure sources include dietary products, drinking water, and indoor dust</w:t>
      </w:r>
      <w:r>
        <w:t xml:space="preserve"> </w:t>
      </w:r>
      <w:r>
        <w:t xml:space="preserve">(3,4)</w:t>
      </w:r>
      <w:r>
        <w:t xml:space="preserve">.</w:t>
      </w:r>
      <w:r>
        <w:t xml:space="preserve"> </w:t>
      </w:r>
      <w:r>
        <w:t xml:space="preserve">The most recent Global Burden of Disease Study estimated that in 2023, 3.4 million (95% Uncertainty Interval (UI): 2.7; 4.0 million) Disability-Adjusted Life Years (DALYs) were attributable to lead exposure in the European Union (EU)</w:t>
      </w:r>
      <w:r>
        <w:t xml:space="preserve"> </w:t>
      </w:r>
      <w:r>
        <w:t xml:space="preserve">(5)</w:t>
      </w:r>
      <w:r>
        <w:t xml:space="preserve">.</w:t>
      </w:r>
      <w:r>
        <w:t xml:space="preserve"> </w:t>
      </w:r>
      <w:r>
        <w:t xml:space="preserve">This highlights the continued public health significance even of low-level exposure.</w:t>
      </w:r>
    </w:p>
    <w:p>
      <w:pPr>
        <w:pStyle w:val="BodyText"/>
      </w:pPr>
      <w:r>
        <w:t xml:space="preserve">Lead exposure is associated with multiple adverse health outcomes across the human life course, including</w:t>
      </w:r>
      <w:r>
        <w:t xml:space="preserve"> </w:t>
      </w:r>
      <w:r>
        <w:t xml:space="preserve">decreased kidney function</w:t>
      </w:r>
      <w:r>
        <w:t xml:space="preserve"> </w:t>
      </w:r>
      <w:r>
        <w:t xml:space="preserve">(6)</w:t>
      </w:r>
      <w:r>
        <w:t xml:space="preserve">,</w:t>
      </w:r>
      <w:r>
        <w:t xml:space="preserve"> </w:t>
      </w:r>
      <w:r>
        <w:t xml:space="preserve">liver disease</w:t>
      </w:r>
      <w:r>
        <w:t xml:space="preserve"> </w:t>
      </w:r>
      <w:r>
        <w:t xml:space="preserve">(7)</w:t>
      </w:r>
      <w:r>
        <w:t xml:space="preserve">,</w:t>
      </w:r>
      <w:r>
        <w:t xml:space="preserve"> </w:t>
      </w:r>
      <w:r>
        <w:t xml:space="preserve">coronary artery atherosclerosis</w:t>
      </w:r>
      <w:r>
        <w:t xml:space="preserve"> </w:t>
      </w:r>
      <w:r>
        <w:t xml:space="preserve">(8)</w:t>
      </w:r>
      <w:r>
        <w:t xml:space="preserve">,</w:t>
      </w:r>
      <w:r>
        <w:t xml:space="preserve"> </w:t>
      </w:r>
      <w:r>
        <w:t xml:space="preserve">cardiovascular mortality</w:t>
      </w:r>
      <w:r>
        <w:t xml:space="preserve"> </w:t>
      </w:r>
      <w:r>
        <w:t xml:space="preserve">(9)</w:t>
      </w:r>
      <w:r>
        <w:t xml:space="preserve">,</w:t>
      </w:r>
      <w:r>
        <w:t xml:space="preserve"> </w:t>
      </w:r>
      <w:r>
        <w:t xml:space="preserve">infertility in women</w:t>
      </w:r>
      <w:r>
        <w:t xml:space="preserve"> </w:t>
      </w:r>
      <w:r>
        <w:t xml:space="preserve">(10)</w:t>
      </w:r>
      <w:r>
        <w:t xml:space="preserve">,</w:t>
      </w:r>
      <w:r>
        <w:t xml:space="preserve"> </w:t>
      </w:r>
      <w:r>
        <w:t xml:space="preserve">attention-deficit/hyperactivity disorder in children</w:t>
      </w:r>
      <w:r>
        <w:t xml:space="preserve"> </w:t>
      </w:r>
      <w:r>
        <w:t xml:space="preserve">(11)</w:t>
      </w:r>
      <w:r>
        <w:t xml:space="preserve">, and</w:t>
      </w:r>
      <w:r>
        <w:t xml:space="preserve"> </w:t>
      </w:r>
      <w:r>
        <w:t xml:space="preserve">antisocial behavior</w:t>
      </w:r>
      <w:r>
        <w:t xml:space="preserve"> </w:t>
      </w:r>
      <w:r>
        <w:t xml:space="preserve">(12)</w:t>
      </w:r>
      <w:r>
        <w:t xml:space="preserve">.</w:t>
      </w:r>
      <w:r>
        <w:t xml:space="preserve"> </w:t>
      </w:r>
      <w:r>
        <w:t xml:space="preserve">Among these endpoints, impaired cognitive development in children — manifested as reduced IQ scores —</w:t>
      </w:r>
      <w:r>
        <w:t xml:space="preserve"> </w:t>
      </w:r>
      <w:r>
        <w:t xml:space="preserve">(13–16)</w:t>
      </w:r>
      <w:r>
        <w:t xml:space="preserve"> </w:t>
      </w:r>
      <w:r>
        <w:t xml:space="preserve">represents a particularly critical endpoint for public health policy.</w:t>
      </w:r>
      <w:r>
        <w:t xml:space="preserve"> </w:t>
      </w:r>
      <w:r>
        <w:t xml:space="preserve">Children are especially vulnerable to lead’s neurotoxic effects due to their developing nervous systems and relatively high exposure per body mass.</w:t>
      </w:r>
      <w:r>
        <w:t xml:space="preserve"> </w:t>
      </w:r>
      <w:r>
        <w:t xml:space="preserve">Because lead-associated IQ decrements are irreversible and persist throughout life, they lead to substantial and enduring societal costs</w:t>
      </w:r>
      <w:r>
        <w:t xml:space="preserve"> </w:t>
      </w:r>
      <w:r>
        <w:t xml:space="preserve">(17)</w:t>
      </w:r>
      <w:r>
        <w:t xml:space="preserve">, making continued efforts to accurately characterize the exposure-response relationship important for evidence-based policy.</w:t>
      </w:r>
    </w:p>
    <w:p>
      <w:pPr>
        <w:pStyle w:val="BodyText"/>
      </w:pPr>
      <w:r>
        <w:t xml:space="preserve">Contemporary blood lead levels (BLL) in the EU have declined markedly and now predominantly fall below 5 µg/dL (</w:t>
      </w:r>
      <w:hyperlink r:id="rId25">
        <w:r>
          <w:rPr>
            <w:rStyle w:val="Hyperlink"/>
          </w:rPr>
          <w:t xml:space="preserve">HBM4EU Dashboard</w:t>
        </w:r>
      </w:hyperlink>
      <w:r>
        <w:t xml:space="preserve">), well below the concentrations examined in many earlier studies (&lt;10 µg/dL).</w:t>
      </w:r>
      <w:r>
        <w:t xml:space="preserve"> </w:t>
      </w:r>
      <w:r>
        <w:t xml:space="preserve">Importantly, there is no evidence for a threshold concentration below which the effects of lead on the IQ can be assumed to be negligible</w:t>
      </w:r>
      <w:r>
        <w:t xml:space="preserve"> </w:t>
      </w:r>
      <w:r>
        <w:t xml:space="preserve">(18,19)</w:t>
      </w:r>
      <w:r>
        <w:t xml:space="preserve">.</w:t>
      </w:r>
      <w:r>
        <w:t xml:space="preserve"> </w:t>
      </w:r>
      <w:r>
        <w:t xml:space="preserve">There is evidence for a supralinear exposure-response relationship with steeper IQ decrements per unit increase in BLL at low concentrations compared to higher concentration ranges</w:t>
      </w:r>
      <w:r>
        <w:t xml:space="preserve"> </w:t>
      </w:r>
      <w:r>
        <w:t xml:space="preserve">(16,20)</w:t>
      </w:r>
      <w:r>
        <w:t xml:space="preserve">.</w:t>
      </w:r>
      <w:r>
        <w:t xml:space="preserve"> </w:t>
      </w:r>
      <w:r>
        <w:t xml:space="preserve">These findings highlight the need for an updated quantitative synthesis that reflects both recent epidemiological evidence and the lower exposure range now predominant in European populations, incorporating recent data to inform risk assessment at currently relevant exposure levels.</w:t>
      </w:r>
    </w:p>
    <w:p>
      <w:pPr>
        <w:pStyle w:val="BodyText"/>
      </w:pPr>
      <w:r>
        <w:t xml:space="preserve">Existing burden of disease assessments at national and global scales</w:t>
      </w:r>
      <w:r>
        <w:t xml:space="preserve"> </w:t>
      </w:r>
      <w:r>
        <w:t xml:space="preserve">(5,17,21–23)</w:t>
      </w:r>
      <w:r>
        <w:t xml:space="preserve"> </w:t>
      </w:r>
      <w:r>
        <w:t xml:space="preserve">rely predominantly on two foundational studies: a pooled analysis of seven cohort-studies by Lanphear et al. (2005) or the subsequent re-analysis by Crump et al. (2013)</w:t>
      </w:r>
      <w:r>
        <w:t xml:space="preserve"> </w:t>
      </w:r>
      <w:r>
        <w:t xml:space="preserve">(16,24)</w:t>
      </w:r>
      <w:r>
        <w:t xml:space="preserve">.</w:t>
      </w:r>
      <w:r>
        <w:t xml:space="preserve"> </w:t>
      </w:r>
      <w:r>
        <w:t xml:space="preserve">While these landmark studies have substantially shaped research and policy on childhood lead exposure, methodological issues and errors in the Lanphear et al. 2005 article have been raised</w:t>
      </w:r>
      <w:r>
        <w:t xml:space="preserve"> </w:t>
      </w:r>
      <w:r>
        <w:t xml:space="preserve">(24,25)</w:t>
      </w:r>
      <w:r>
        <w:t xml:space="preserve"> </w:t>
      </w:r>
      <w:r>
        <w:t xml:space="preserve">and the stepwise backward-elimination regression approach used by Crump et al. (2013), which is central to their findings, has received substantial criticism</w:t>
      </w:r>
      <w:r>
        <w:t xml:space="preserve"> </w:t>
      </w:r>
      <w:r>
        <w:t xml:space="preserve">(26–28)</w:t>
      </w:r>
      <w:r>
        <w:t xml:space="preserve">.</w:t>
      </w:r>
      <w:r>
        <w:t xml:space="preserve"> </w:t>
      </w:r>
      <w:r>
        <w:t xml:space="preserve">These limitations, combined with the availability of more recent epidemiological data, underscore the need not only for an updated evidence synthesis but also for methodologically robust approaches that can provide reliable exposure-response estimates for burden of disease and risk assessments.</w:t>
      </w:r>
    </w:p>
    <w:p>
      <w:pPr>
        <w:pStyle w:val="BodyText"/>
      </w:pPr>
      <w:r>
        <w:t xml:space="preserve">Methodological advances in meta-analysis offer an opportunity to enhance the utility of synthesized estimates for burden of disease and risk assessment applications.</w:t>
      </w:r>
      <w:r>
        <w:t xml:space="preserve"> </w:t>
      </w:r>
      <w:r>
        <w:t xml:space="preserve">While frequentist meta-analysis has been a conventional approach in environmental epidemiology, Bayesian meta-analysis provides a coherent framework for uncertainty quantification through posterior distributions that inherently incorporate both within-study and between-study variability</w:t>
      </w:r>
      <w:r>
        <w:t xml:space="preserve"> </w:t>
      </w:r>
      <w:r>
        <w:t xml:space="preserve">(29)</w:t>
      </w:r>
      <w:r>
        <w:t xml:space="preserve">.</w:t>
      </w:r>
      <w:r>
        <w:t xml:space="preserve"> </w:t>
      </w:r>
      <w:r>
        <w:t xml:space="preserve">Unlike frequentist confidence intervals, which are often misinterpreted as probabilistic</w:t>
      </w:r>
      <w:r>
        <w:t xml:space="preserve"> </w:t>
      </w:r>
      <w:r>
        <w:t xml:space="preserve">(30)</w:t>
      </w:r>
      <w:r>
        <w:t xml:space="preserve">, Bayesian credible intervals directly represent the probability distribution of the parameter of interest, facilitating transparent communication of uncertainty.</w:t>
      </w:r>
      <w:r>
        <w:t xml:space="preserve"> </w:t>
      </w:r>
      <w:r>
        <w:t xml:space="preserve">Furthermore, Bayesian posterior distributions can be directly propagated into probabilistic burden of disease and risk assessments, providing seamless integration with probabilistic frameworks in public health decision-making.</w:t>
      </w:r>
      <w:r>
        <w:t xml:space="preserve"> </w:t>
      </w:r>
      <w:r>
        <w:t xml:space="preserve">By comparing frequentist and Bayesian approaches, we will explore how inferential framework and uncertainty quantification influence exposure-response estimates and their application.</w:t>
      </w:r>
    </w:p>
    <w:p>
      <w:pPr>
        <w:pStyle w:val="BodyText"/>
      </w:pPr>
      <w:r>
        <w:t xml:space="preserve">The aim of this study is twofold: first, to synthesize and quantitatively pool available epidemiological findings on the association between blood lead levels and IQ scores in children; and second, to conduct both a frequentist and Bayesian meta-analyses, comparing how these analytical frameworks influence exposure-response estimates, uncertainty characterization, and applicability to burden of disease and risk assessment.</w:t>
      </w:r>
    </w:p>
    <w:bookmarkEnd w:id="26"/>
    <w:bookmarkStart w:id="41" w:name="methods"/>
    <w:p>
      <w:pPr>
        <w:pStyle w:val="Heading1"/>
      </w:pPr>
      <w:r>
        <w:t xml:space="preserve">2. Methods</w:t>
      </w:r>
    </w:p>
    <w:p>
      <w:pPr>
        <w:pStyle w:val="Compact"/>
        <w:numPr>
          <w:ilvl w:val="0"/>
          <w:numId w:val="1006"/>
        </w:numPr>
      </w:pPr>
      <w:r>
        <w:t xml:space="preserve">Overview: systematic review and meta-analysis, comparing a frequentist to a Bayesian approach</w:t>
      </w:r>
    </w:p>
    <w:p>
      <w:pPr>
        <w:pStyle w:val="Compact"/>
        <w:numPr>
          <w:ilvl w:val="0"/>
          <w:numId w:val="1007"/>
        </w:numPr>
      </w:pPr>
      <w:r>
        <w:t xml:space="preserve">Inclusion &amp; exclusion criteria, databases, search strategy, screening process</w:t>
      </w:r>
    </w:p>
    <w:p>
      <w:pPr>
        <w:pStyle w:val="Compact"/>
        <w:numPr>
          <w:ilvl w:val="0"/>
          <w:numId w:val="1008"/>
        </w:numPr>
      </w:pPr>
      <w:r>
        <w:t xml:space="preserve">Risk of bias analysis method</w:t>
      </w:r>
    </w:p>
    <w:p>
      <w:pPr>
        <w:pStyle w:val="Compact"/>
        <w:numPr>
          <w:ilvl w:val="0"/>
          <w:numId w:val="1009"/>
        </w:numPr>
      </w:pPr>
      <w:r>
        <w:t xml:space="preserve">Description &amp; rationale of harmonization of reported effect measures</w:t>
      </w:r>
    </w:p>
    <w:p>
      <w:pPr>
        <w:pStyle w:val="Compact"/>
        <w:numPr>
          <w:ilvl w:val="0"/>
          <w:numId w:val="1010"/>
        </w:numPr>
      </w:pPr>
      <w:r>
        <w:t xml:space="preserve">Description of meta-analysis methodology (frequentist &amp; Bayesian), models and software used, heterogeneity identification</w:t>
      </w:r>
    </w:p>
    <w:p>
      <w:pPr>
        <w:pStyle w:val="Compact"/>
        <w:numPr>
          <w:ilvl w:val="0"/>
          <w:numId w:val="1011"/>
        </w:numPr>
      </w:pPr>
      <w:r>
        <w:t xml:space="preserve">Sensitivity analysis</w:t>
      </w:r>
      <w:r>
        <w:br/>
      </w:r>
    </w:p>
    <w:bookmarkStart w:id="27" w:name="literature-review"/>
    <w:p>
      <w:pPr>
        <w:pStyle w:val="Heading2"/>
      </w:pPr>
      <w:r>
        <w:t xml:space="preserve">2.1 Literature Review</w:t>
      </w:r>
    </w:p>
    <w:p>
      <w:pPr>
        <w:pStyle w:val="FirstParagraph"/>
      </w:pPr>
      <w:r>
        <w:t xml:space="preserve">This review adheres to the Preferred Reporting Items for Systematic reviews and Meta-Analyses (PRISMA) guidelines</w:t>
      </w:r>
      <w:r>
        <w:t xml:space="preserve"> </w:t>
      </w:r>
      <w:r>
        <w:t xml:space="preserve">(31)</w:t>
      </w:r>
      <w:r>
        <w:t xml:space="preserve">.</w:t>
      </w:r>
      <w:r>
        <w:t xml:space="preserve"> </w:t>
      </w:r>
      <w:r>
        <w:t xml:space="preserve">The checklist can be found in the supplementary files.</w:t>
      </w:r>
      <w:r>
        <w:t xml:space="preserve"> </w:t>
      </w:r>
      <w:r>
        <w:t xml:space="preserve">The reporting of the Bayesian methods and their results was guided by the Bayesian Analysis Reporting Guidelines (BARG)</w:t>
      </w:r>
      <w:r>
        <w:t xml:space="preserve"> </w:t>
      </w:r>
      <w:r>
        <w:t xml:space="preserve">(32)</w:t>
      </w:r>
      <w:r>
        <w:t xml:space="preserve">.</w:t>
      </w:r>
      <w:r>
        <w:br/>
      </w:r>
    </w:p>
    <w:p>
      <w:pPr>
        <w:pStyle w:val="BodyText"/>
      </w:pPr>
      <w:r>
        <w:t xml:space="preserve">We conducted a literature review to identify recent studies investigating associations between prenatal or postnatal exposure to Pb and IQ loss in children.</w:t>
      </w:r>
      <w:r>
        <w:t xml:space="preserve"> </w:t>
      </w:r>
      <w:r>
        <w:t xml:space="preserve">Within the larger project that this study was conducted in, there was another study done on the association of (methyl)mercury and lead on IQ loss for different exposure timeframes.</w:t>
      </w:r>
      <w:r>
        <w:t xml:space="preserve"> </w:t>
      </w:r>
      <w:r>
        <w:t xml:space="preserve">Therefore, one joint literature review was conducted for both of these associations.</w:t>
      </w:r>
      <w:r>
        <w:t xml:space="preserve"> </w:t>
      </w:r>
      <w:r>
        <w:t xml:space="preserve">Here, we will only report results for the literature on concurrent lead exposure and IQ loss, but the flowcharts and supplementary material does contain parts of the serach for the other associations and exposure timeframes.</w:t>
      </w:r>
      <w:r>
        <w:br/>
      </w:r>
      <w:r>
        <w:t xml:space="preserve">We searched for articles published between January 2005 and July 2023.</w:t>
      </w:r>
      <w:r>
        <w:t xml:space="preserve"> </w:t>
      </w:r>
      <w:r>
        <w:t xml:space="preserve">We only considered studies published after 2005, given the previously-used ERFs in the literature were published before 2005. (source!)</w:t>
      </w:r>
      <w:r>
        <w:t xml:space="preserve"> </w:t>
      </w:r>
      <w:r>
        <w:t xml:space="preserve">Search queries in Pubmed and Scopus included the following terms:</w:t>
      </w:r>
      <w:r>
        <w:t xml:space="preserve"> </w:t>
      </w:r>
      <w:r>
        <w:t xml:space="preserve">substance (Pb - including Mesh terms), outcome (IQ and neurodevelopment), population (children) and results (association, ERF) (Table 1).</w:t>
      </w:r>
      <w:r>
        <w:t xml:space="preserve"> </w:t>
      </w:r>
      <w:r>
        <w:t xml:space="preserve">We prioritized references naming substance (the word</w:t>
      </w:r>
      <w:r>
        <w:t xml:space="preserve"> </w:t>
      </w:r>
      <w:r>
        <w:t xml:space="preserve">“substance”</w:t>
      </w:r>
      <w:r>
        <w:t xml:space="preserve">? - to be confirmed) in the title in order to decrease the volume of results.</w:t>
      </w:r>
      <w:r>
        <w:br/>
      </w:r>
      <w:r>
        <w:t xml:space="preserve">All titles and abstracts were screened by two reviewers.</w:t>
      </w:r>
      <w:r>
        <w:t xml:space="preserve"> </w:t>
      </w:r>
      <w:r>
        <w:t xml:space="preserve">Any conflicts were resolved by a third person.</w:t>
      </w:r>
      <w:r>
        <w:t xml:space="preserve"> </w:t>
      </w:r>
      <w:r>
        <w:t xml:space="preserve">Full text was then assessed by one reviewer.</w:t>
      </w:r>
      <w:r>
        <w:t xml:space="preserve"> </w:t>
      </w:r>
      <w:r>
        <w:t xml:space="preserve">Papers were considered relevant according to predefined PECOTS – Population (children aged 0 to 11 and , pregnant women and women of childbearing age), Exposure (biological measures of Pb, MeHg or Hg from all matrices), Comparator (no exposure or lower levels of exposure), Outcome (IQ or similar indicator), Timing of exposure (no restriction) and Setting (no restriction) (Table 2).</w:t>
      </w:r>
      <w:r>
        <w:t xml:space="preserve"> </w:t>
      </w:r>
      <w:r>
        <w:t xml:space="preserve">We excluded reviews and background articles that inventoried the literature with no new results.</w:t>
      </w:r>
      <w:r>
        <w:t xml:space="preserve"> </w:t>
      </w:r>
      <w:r>
        <w:t xml:space="preserve">We also excluded references written in languages other than English.</w:t>
      </w:r>
      <w:r>
        <w:br/>
      </w:r>
      <w:r>
        <w:t xml:space="preserve">From the papers considered relevant after the two-round screening, we collected several descriptive key data from these papers using a grid based on the one proposed by NTP OHAT (2015).</w:t>
      </w:r>
      <w:r>
        <w:t xml:space="preserve"> </w:t>
      </w:r>
      <w:r>
        <w:t xml:space="preserve">When mercury speciation was not clearly stated, we considered total mercury to be methylmercury (Berglund et al. 2005).</w:t>
      </w:r>
    </w:p>
    <w:bookmarkEnd w:id="27"/>
    <w:bookmarkStart w:id="28" w:name="data-extraction"/>
    <w:p>
      <w:pPr>
        <w:pStyle w:val="Heading2"/>
      </w:pPr>
      <w:r>
        <w:t xml:space="preserve">2.2 Data Extraction</w:t>
      </w:r>
    </w:p>
    <w:p>
      <w:pPr>
        <w:pStyle w:val="FirstParagraph"/>
      </w:pPr>
      <w:r>
        <w:t xml:space="preserve">For all studies, adjusted effect estimates were extracted and the set of confounders adjused for recorded.</w:t>
      </w:r>
    </w:p>
    <w:bookmarkEnd w:id="28"/>
    <w:bookmarkStart w:id="29" w:name="risk-of-bias-assessment"/>
    <w:p>
      <w:pPr>
        <w:pStyle w:val="Heading2"/>
      </w:pPr>
      <w:r>
        <w:t xml:space="preserve">2.3 Risk of Bias Assessment</w:t>
      </w:r>
    </w:p>
    <w:p>
      <w:pPr>
        <w:pStyle w:val="FirstParagraph"/>
      </w:pPr>
      <w:r>
        <w:t xml:space="preserve">To assess study quality, we conducted a Risk of Bias assessment using the rapid Risk of Bias (RoB) tool with a specific focus on human observational epidemiological studies</w:t>
      </w:r>
      <w:r>
        <w:t xml:space="preserve"> </w:t>
      </w:r>
      <w:r>
        <w:t xml:space="preserve">(33)</w:t>
      </w:r>
      <w:r>
        <w:t xml:space="preserve">.</w:t>
      </w:r>
      <w:r>
        <w:t xml:space="preserve"> </w:t>
      </w:r>
      <w:r>
        <w:t xml:space="preserve">Each included publication was assessed for RoB in the domains selection, exposure, outcome, confounding, follow-up, analysis, and selective reporting.</w:t>
      </w:r>
      <w:r>
        <w:t xml:space="preserve"> </w:t>
      </w:r>
      <w:r>
        <w:t xml:space="preserve">In total, 15 items were evaluated for each study.‚</w:t>
      </w:r>
      <w:r>
        <w:t xml:space="preserve"> </w:t>
      </w:r>
      <w:r>
        <w:t xml:space="preserve">The overall RoB for each individual study was then categorized by one researcher as either low, moderate or high, following two different summary metrics of the RoB tool (for more information, see</w:t>
      </w:r>
      <w:r>
        <w:t xml:space="preserve"> </w:t>
      </w:r>
      <w:r>
        <w:t xml:space="preserve">(33)</w:t>
      </w:r>
      <w:r>
        <w:t xml:space="preserve">).</w:t>
      </w:r>
      <w:r>
        <w:t xml:space="preserve"> </w:t>
      </w:r>
      <w:r>
        <w:t xml:space="preserve">Each publication was first assessed by one researcher.</w:t>
      </w:r>
      <w:r>
        <w:t xml:space="preserve"> </w:t>
      </w:r>
      <w:r>
        <w:t xml:space="preserve">Subsequently, consensus with a large language model (LLM) was sought.</w:t>
      </w:r>
      <w:r>
        <w:t xml:space="preserve"> </w:t>
      </w:r>
      <w:r>
        <w:t xml:space="preserve">This was done by uploading the list of all raRoB items along with the respective publication.</w:t>
      </w:r>
      <w:r>
        <w:t xml:space="preserve"> </w:t>
      </w:r>
      <w:r>
        <w:t xml:space="preserve">Then, the LLM was promted to assess the study, using the raRoB items and possible answer categories.</w:t>
      </w:r>
      <w:r>
        <w:t xml:space="preserve"> </w:t>
      </w:r>
      <w:r>
        <w:t xml:space="preserve">If there were any deviations in the judgement of the researcher and the LLM, the respective item was revisited by the researcher and they made the final decision.</w:t>
      </w:r>
    </w:p>
    <w:bookmarkEnd w:id="29"/>
    <w:bookmarkStart w:id="31" w:name="harmonization-of-effect-estimates"/>
    <w:p>
      <w:pPr>
        <w:pStyle w:val="Heading2"/>
      </w:pPr>
      <w:r>
        <w:t xml:space="preserve">2.4 Harmonization of Effect Estimates</w:t>
      </w:r>
    </w:p>
    <w:p>
      <w:pPr>
        <w:pStyle w:val="FirstParagraph"/>
      </w:pPr>
      <w:r>
        <w:t xml:space="preserve">Studies investigating the association between lead exposure and childhood IQ have made different assumptions regarding the shape of the exposure-response relationship.</w:t>
      </w:r>
      <w:r>
        <w:t xml:space="preserve"> </w:t>
      </w:r>
      <w:r>
        <w:t xml:space="preserve">While some studies assume a linear relationship</w:t>
      </w:r>
      <w:r>
        <w:t xml:space="preserve"> </w:t>
      </w:r>
      <w:r>
        <w:t xml:space="preserve">(34,35)</w:t>
      </w:r>
      <w:r>
        <w:t xml:space="preserve">, this assumption may only be valid at very low concentration ranges</w:t>
      </w:r>
      <w:r>
        <w:t xml:space="preserve"> </w:t>
      </w:r>
      <w:r>
        <w:t xml:space="preserve">(24)</w:t>
      </w:r>
      <w:r>
        <w:t xml:space="preserve">.</w:t>
      </w:r>
      <w:r>
        <w:t xml:space="preserve"> </w:t>
      </w:r>
      <w:r>
        <w:t xml:space="preserve">Studies that tested multiple shapes of the exposure-response function have concluded that a log-linear relationship, where BLL are logarithmically transformed, provides a more appropriate model</w:t>
      </w:r>
      <w:r>
        <w:t xml:space="preserve"> </w:t>
      </w:r>
      <w:r>
        <w:t xml:space="preserve">(24,36)</w:t>
      </w:r>
      <w:r>
        <w:t xml:space="preserve">.</w:t>
      </w:r>
    </w:p>
    <w:p>
      <w:pPr>
        <w:pStyle w:val="BodyText"/>
      </w:pPr>
      <w:r>
        <w:t xml:space="preserve">The general form of regression model used for a log-linear association is:</w:t>
      </w:r>
    </w:p>
    <w:p>
      <w:pPr>
        <w:pStyle w:val="BodyText"/>
      </w:pPr>
      <w:bookmarkStart w:id="30" w:name="eq-regression-model"/>
      <m:oMathPara>
        <m:oMathParaPr>
          <m:jc m:val="center"/>
        </m:oMathParaPr>
        <m:oMath>
          <m:r>
            <m:t>y</m:t>
          </m:r>
          <m:r>
            <m:rPr>
              <m:sty m:val="p"/>
            </m:rPr>
            <m:t>=</m:t>
          </m:r>
          <m:r>
            <m:t>α</m:t>
          </m:r>
          <m:r>
            <m:rPr>
              <m:sty m:val="p"/>
            </m:rPr>
            <m:t>+</m:t>
          </m:r>
          <m:r>
            <m:t>β</m:t>
          </m:r>
          <m:r>
            <m:rPr>
              <m:sty m:val="p"/>
            </m:rPr>
            <m:t>⋅</m:t>
          </m:r>
          <m:r>
            <m:t>l</m:t>
          </m:r>
          <m:r>
            <m:t>o</m:t>
          </m:r>
          <m:sSub>
            <m:e>
              <m:r>
                <m:t>g</m:t>
              </m:r>
            </m:e>
            <m:sub>
              <m:r>
                <m:t>b</m:t>
              </m:r>
            </m:sub>
          </m:sSub>
          <m:d>
            <m:dPr>
              <m:begChr m:val="("/>
              <m:sepChr m:val=""/>
              <m:endChr m:val=")"/>
              <m:grow/>
            </m:dPr>
            <m:e>
              <m:r>
                <m:t>X</m:t>
              </m:r>
            </m:e>
          </m:d>
          <m:r>
            <m:rPr>
              <m:sty m:val="p"/>
            </m:rPr>
            <m:t>+</m:t>
          </m:r>
          <m:r>
            <m:t>ε</m:t>
          </m:r>
          <m:r>
            <m:t>  </m:t>
          </m:r>
          <m:d>
            <m:dPr>
              <m:begChr m:val="("/>
              <m:sepChr m:val=""/>
              <m:endChr m:val=")"/>
              <m:grow/>
            </m:dPr>
            <m:e>
              <m:r>
                <m:t>1</m:t>
              </m:r>
            </m:e>
          </m:d>
        </m:oMath>
      </m:oMathPara>
      <w:bookmarkEnd w:id="30"/>
    </w:p>
    <w:p>
      <w:pPr>
        <w:pStyle w:val="FirstParagraph"/>
      </w:pPr>
      <w:r>
        <w:t xml:space="preserve">Where</w:t>
      </w:r>
      <w:r>
        <w:t xml:space="preserve"> </w:t>
      </w:r>
      <m:oMath>
        <m:r>
          <m:t>y</m:t>
        </m:r>
      </m:oMath>
      <w:r>
        <w:t xml:space="preserve"> </w:t>
      </w:r>
      <w:r>
        <w:t xml:space="preserve">represents the IQ score,</w:t>
      </w:r>
      <w:r>
        <w:t xml:space="preserve"> </w:t>
      </w:r>
      <m:oMath>
        <m:r>
          <m:t>α</m:t>
        </m:r>
      </m:oMath>
      <w:r>
        <w:t xml:space="preserve"> </w:t>
      </w:r>
      <w:r>
        <w:t xml:space="preserve">is the intercept,</w:t>
      </w:r>
      <w:r>
        <w:t xml:space="preserve"> </w:t>
      </w:r>
      <m:oMath>
        <m:r>
          <m:t>β</m:t>
        </m:r>
      </m:oMath>
      <w:r>
        <w:t xml:space="preserve"> </w:t>
      </w:r>
      <w:r>
        <w:t xml:space="preserve">is the regression coefficient (slope),</w:t>
      </w:r>
      <w:r>
        <w:t xml:space="preserve"> </w:t>
      </w:r>
      <m:oMath>
        <m:r>
          <m:t>X</m:t>
        </m:r>
      </m:oMath>
      <w:r>
        <w:t xml:space="preserve"> </w:t>
      </w:r>
      <w:r>
        <w:t xml:space="preserve">denotes BLL,</w:t>
      </w:r>
      <w:r>
        <w:t xml:space="preserve"> </w:t>
      </w:r>
      <m:oMath>
        <m:r>
          <m:t>b</m:t>
        </m:r>
      </m:oMath>
      <w:r>
        <w:t xml:space="preserve"> </w:t>
      </w:r>
      <w:r>
        <w:t xml:space="preserve">is the logarithmic base, and</w:t>
      </w:r>
      <w:r>
        <w:t xml:space="preserve"> </w:t>
      </w:r>
      <m:oMath>
        <m:r>
          <m:t>ε</m:t>
        </m:r>
      </m:oMath>
      <w:r>
        <w:t xml:space="preserve"> </w:t>
      </w:r>
      <w:r>
        <w:t xml:space="preserve">is the error term.</w:t>
      </w:r>
    </w:p>
    <w:p>
      <w:pPr>
        <w:pStyle w:val="BodyText"/>
      </w:pPr>
      <w:r>
        <w:t xml:space="preserve">Studies have used different logarithmic bases: the natural logarithm (</w:t>
      </w:r>
      <m:oMath>
        <m:sSub>
          <m:e>
            <m:r>
              <m:rPr>
                <m:sty m:val="p"/>
              </m:rPr>
              <m:t>log</m:t>
            </m:r>
          </m:e>
          <m:sub>
            <m:r>
              <m:t>e</m:t>
            </m:r>
          </m:sub>
        </m:sSub>
      </m:oMath>
      <w:r>
        <w:t xml:space="preserve">​ where</w:t>
      </w:r>
      <w:r>
        <w:t xml:space="preserve"> </w:t>
      </w:r>
      <m:oMath>
        <m:r>
          <m:t>e</m:t>
        </m:r>
        <m:r>
          <m:rPr>
            <m:sty m:val="p"/>
          </m:rPr>
          <m:t>≈</m:t>
        </m:r>
        <m:r>
          <m:t>2.71828</m:t>
        </m:r>
      </m:oMath>
      <w:r>
        <w:t xml:space="preserve">), base 2, and base 10.</w:t>
      </w:r>
      <w:r>
        <w:t xml:space="preserve"> </w:t>
      </w:r>
      <w:r>
        <w:t xml:space="preserve">To enable pooling of the effect estimates, we harmonized all regression coefficients and their standard error (SE) to the natural logarithm scale (</w:t>
      </w:r>
      <m:oMath>
        <m:sSub>
          <m:e>
            <m:r>
              <m:rPr>
                <m:sty m:val="p"/>
              </m:rPr>
              <m:t>log</m:t>
            </m:r>
          </m:e>
          <m:sub>
            <m:r>
              <m:t>e</m:t>
            </m:r>
          </m:sub>
        </m:sSub>
      </m:oMath>
      <w:r>
        <w:t xml:space="preserve">) using the standardization framework proposed by Rodríguez-Barranco et al. (2017)</w:t>
      </w:r>
      <w:r>
        <w:t xml:space="preserve"> </w:t>
      </w:r>
      <w:r>
        <w:t xml:space="preserve">(37)</w:t>
      </w:r>
      <w:r>
        <w:t xml:space="preserve">.</w:t>
      </w:r>
      <w:r>
        <w:t xml:space="preserve"> </w:t>
      </w:r>
      <w:r>
        <w:t xml:space="preserve">The transformations are fully documented in suppl. file x</w:t>
      </w:r>
      <w:r>
        <w:br/>
      </w:r>
      <w:r>
        <w:t xml:space="preserve">Studies that left BLL on the original (untransformed) linear scale were excluded from the meta-analysis, as transformation from linear to log-linear effect estimates could not be justified based on visual inspection (supplement: plots?).</w:t>
      </w:r>
    </w:p>
    <w:bookmarkEnd w:id="31"/>
    <w:bookmarkStart w:id="37" w:name="meta-analysis-methodology"/>
    <w:p>
      <w:pPr>
        <w:pStyle w:val="Heading2"/>
      </w:pPr>
      <w:r>
        <w:t xml:space="preserve">2.5 Meta-Analysis Methodology</w:t>
      </w:r>
    </w:p>
    <w:p>
      <w:pPr>
        <w:pStyle w:val="FirstParagraph"/>
      </w:pPr>
      <w:r>
        <w:t xml:space="preserve">In order to quantitatively synthesize the available epidemiological literature on the association of children’s blood lead levels and their IQ, we conducted a meta-analysis of the results, comparing a Bayesian to a frequentist approach.</w:t>
      </w:r>
      <w:r>
        <w:br/>
      </w:r>
      <w:r>
        <w:t xml:space="preserve">In both approaches, the same studies and effect estimates were included and analogous models were chosen to enable comparison betwen the results.</w:t>
      </w:r>
      <w:r>
        <w:t xml:space="preserve"> </w:t>
      </w:r>
      <w:r>
        <w:t xml:space="preserve">We estimated pooled beta estimates for the absolute loss of IQ points per unit increase in</w:t>
      </w:r>
      <w:r>
        <w:t xml:space="preserve"> </w:t>
      </w:r>
      <m:oMath>
        <m:sSub>
          <m:e>
            <m:r>
              <m:rPr>
                <m:sty m:val="p"/>
              </m:rPr>
              <m:t>log</m:t>
            </m:r>
          </m:e>
          <m:sub>
            <m:r>
              <m:t>e</m:t>
            </m:r>
          </m:sub>
        </m:sSub>
      </m:oMath>
      <w:r>
        <w:t xml:space="preserve">-transformed blood lead concentration (µg/dL).</w:t>
      </w:r>
      <w:r>
        <w:br/>
      </w:r>
      <w:r>
        <w:t xml:space="preserve">Within studies, results from the most-adjusted models were chosen to enter the meta-analysis; unadjusted results were not considered.</w:t>
      </w:r>
      <w:r>
        <w:br/>
      </w:r>
      <w:r>
        <w:t xml:space="preserve">R version 4.4.2 (2024-10-31)</w:t>
      </w:r>
      <w:r>
        <w:t xml:space="preserve"> </w:t>
      </w:r>
      <w:r>
        <w:t xml:space="preserve">(38)</w:t>
      </w:r>
      <w:r>
        <w:t xml:space="preserve"> </w:t>
      </w:r>
      <w:r>
        <w:t xml:space="preserve">and Positron version 2026.01.0-147 were used for all computations.</w:t>
      </w:r>
      <w:r>
        <w:t xml:space="preserve"> </w:t>
      </w:r>
      <w:r>
        <w:t xml:space="preserve">All of the computational code for this study is publicly available on</w:t>
      </w:r>
      <w:r>
        <w:t xml:space="preserve"> </w:t>
      </w:r>
      <w:hyperlink r:id="rId32">
        <w:r>
          <w:rPr>
            <w:rStyle w:val="Hyperlink"/>
          </w:rPr>
          <w:t xml:space="preserve">GitHub</w:t>
        </w:r>
      </w:hyperlink>
      <w:r>
        <w:t xml:space="preserve">.</w:t>
      </w:r>
    </w:p>
    <w:bookmarkStart w:id="33" w:name="frequentist-meta-analysis"/>
    <w:p>
      <w:pPr>
        <w:pStyle w:val="Heading3"/>
      </w:pPr>
      <w:r>
        <w:t xml:space="preserve">2.5.1 Frequentist Meta-Analysis</w:t>
      </w:r>
    </w:p>
    <w:p>
      <w:pPr>
        <w:pStyle w:val="FirstParagraph"/>
      </w:pPr>
      <w:r>
        <w:t xml:space="preserve">For the frequentist meta-analysis, we employed a random-effects model using the restricted maximum-likelihood estimation from the R package</w:t>
      </w:r>
      <w:r>
        <w:t xml:space="preserve"> </w:t>
      </w:r>
      <w:r>
        <w:rPr>
          <w:rStyle w:val="VerbatimChar"/>
        </w:rPr>
        <w:t xml:space="preserve">metafor</w:t>
      </w:r>
      <w:r>
        <w:t xml:space="preserve"> </w:t>
      </w:r>
      <w:r>
        <w:t xml:space="preserve">version 4.8-0</w:t>
      </w:r>
      <w:r>
        <w:t xml:space="preserve"> </w:t>
      </w:r>
      <w:r>
        <w:t xml:space="preserve">(39)</w:t>
      </w:r>
      <w:r>
        <w:t xml:space="preserve">.</w:t>
      </w:r>
      <w:r>
        <w:t xml:space="preserve"> </w:t>
      </w:r>
      <w:r>
        <w:t xml:space="preserve">The I² statistic was used as a quantitative indication of heterogeneity.</w:t>
      </w:r>
    </w:p>
    <w:bookmarkEnd w:id="33"/>
    <w:bookmarkStart w:id="35" w:name="bayesian-meta-analysis"/>
    <w:p>
      <w:pPr>
        <w:pStyle w:val="Heading3"/>
      </w:pPr>
      <w:r>
        <w:t xml:space="preserve">2.5.2 Bayesian Meta-Analysis</w:t>
      </w:r>
    </w:p>
    <w:p>
      <w:pPr>
        <w:pStyle w:val="FirstParagraph"/>
      </w:pPr>
      <w:r>
        <w:t xml:space="preserve">To synthesize results across studies, we employed a Bayesian random-effects meta-analysis model with two hierarchical levels.</w:t>
      </w:r>
      <w:r>
        <w:t xml:space="preserve"> </w:t>
      </w:r>
      <w:r>
        <w:t xml:space="preserve">At the first level, the observed effect size from each study</w:t>
      </w:r>
      <w:r>
        <w:t xml:space="preserve"> </w:t>
      </w:r>
      <m:oMath>
        <m:sSub>
          <m:e>
            <m:acc>
              <m:accPr>
                <m:chr m:val="̂"/>
              </m:accPr>
              <m:e>
                <m:r>
                  <m:t>θ</m:t>
                </m:r>
              </m:e>
            </m:acc>
          </m:e>
          <m:sub>
            <m:r>
              <m:t>k</m:t>
            </m:r>
          </m:sub>
        </m:sSub>
      </m:oMath>
      <w:r>
        <w:t xml:space="preserve"> </w:t>
      </w:r>
      <w:r>
        <w:t xml:space="preserve">is modeled as an estimate of that study’s true underlying effect</w:t>
      </w:r>
      <w:r>
        <w:t xml:space="preserve"> </w:t>
      </w:r>
      <m:oMath>
        <m:sSub>
          <m:e>
            <m:r>
              <m:t>θ</m:t>
            </m:r>
          </m:e>
          <m:sub>
            <m:r>
              <m:t>k</m:t>
            </m:r>
          </m:sub>
        </m:sSub>
      </m:oMath>
      <w:r>
        <w:t xml:space="preserve">, with deviation from the true effect determined by the within-study sampling error</w:t>
      </w:r>
      <w:r>
        <w:t xml:space="preserve"> </w:t>
      </w:r>
      <m:oMath>
        <m:sSub>
          <m:e>
            <m:r>
              <m:t>σ</m:t>
            </m:r>
          </m:e>
          <m:sub>
            <m:r>
              <m:t>k</m:t>
            </m:r>
          </m:sub>
        </m:sSub>
      </m:oMath>
      <w:r>
        <w:t xml:space="preserve"> </w:t>
      </w:r>
      <w:r>
        <w:t xml:space="preserve">​(treated as known based on reported study statistics).</w:t>
      </w:r>
      <w:r>
        <w:t xml:space="preserve"> </w:t>
      </w:r>
      <w:r>
        <w:t xml:space="preserve">At the second level, these study-specific true effects are themselves assumed to vary across studies following a normal distribution, characterized by an overall pooled effect</w:t>
      </w:r>
      <w:r>
        <w:t xml:space="preserve"> </w:t>
      </w:r>
      <m:oMath>
        <m:r>
          <m:t>μ</m:t>
        </m:r>
      </m:oMath>
      <w:r>
        <w:t xml:space="preserve"> </w:t>
      </w:r>
      <w:r>
        <w:t xml:space="preserve">and between-study heterogeneity</w:t>
      </w:r>
      <w:r>
        <w:t xml:space="preserve"> </w:t>
      </w:r>
      <m:oMath>
        <m:r>
          <m:t>τ</m:t>
        </m:r>
      </m:oMath>
      <w:r>
        <w:t xml:space="preserve">.</w:t>
      </w:r>
    </w:p>
    <w:p>
      <w:pPr>
        <w:pStyle w:val="BodyText"/>
      </w:pPr>
      <w:bookmarkStart w:id="34" w:name="eq-model"/>
      <m:oMathPara>
        <m:oMathParaPr>
          <m:jc m:val="center"/>
        </m:oMathParaPr>
        <m:oMath>
          <m:m>
            <m:mPr>
              <m:baseJc m:val="center"/>
              <m:plcHide m:val="on"/>
              <m:mcs>
                <m:mc>
                  <m:mcPr>
                    <m:mcJc m:val="right"/>
                    <m:count m:val="1"/>
                  </m:mcPr>
                </m:mc>
                <m:mc>
                  <m:mcPr>
                    <m:mcJc m:val="left"/>
                    <m:count m:val="1"/>
                  </m:mcPr>
                </m:mc>
              </m:mcs>
            </m:mPr>
            <m:mr>
              <m:e>
                <m:sSub>
                  <m:e>
                    <m:acc>
                      <m:accPr>
                        <m:chr m:val="̂"/>
                      </m:accPr>
                      <m:e>
                        <m:r>
                          <m:t>θ</m:t>
                        </m:r>
                      </m:e>
                    </m:acc>
                  </m:e>
                  <m:sub>
                    <m:r>
                      <m:t>k</m:t>
                    </m:r>
                  </m:sub>
                </m:sSub>
              </m:e>
              <m:e>
                <m:r>
                  <m:rPr>
                    <m:sty m:val="p"/>
                  </m:rPr>
                  <m:t>∼</m:t>
                </m:r>
                <m:r>
                  <m:rPr>
                    <m:sty m:val="p"/>
                    <m:scr m:val="script"/>
                  </m:rPr>
                  <m:t>N</m:t>
                </m:r>
                <m:d>
                  <m:dPr>
                    <m:begChr m:val="("/>
                    <m:sepChr m:val=""/>
                    <m:endChr m:val=")"/>
                    <m:grow/>
                  </m:dPr>
                  <m:e>
                    <m:sSub>
                      <m:e>
                        <m:r>
                          <m:t>θ</m:t>
                        </m:r>
                      </m:e>
                      <m:sub>
                        <m:r>
                          <m:t>k</m:t>
                        </m:r>
                      </m:sub>
                    </m:sSub>
                    <m:r>
                      <m:rPr>
                        <m:sty m:val="p"/>
                      </m:rPr>
                      <m:t>,</m:t>
                    </m:r>
                    <m:sSub>
                      <m:e>
                        <m:r>
                          <m:t>σ</m:t>
                        </m:r>
                      </m:e>
                      <m:sub>
                        <m:r>
                          <m:t>k</m:t>
                        </m:r>
                      </m:sub>
                    </m:sSub>
                  </m:e>
                </m:d>
              </m:e>
            </m:mr>
            <m:mr>
              <m:e>
                <m:sSub>
                  <m:e>
                    <m:r>
                      <m:t>θ</m:t>
                    </m:r>
                  </m:e>
                  <m:sub>
                    <m:r>
                      <m:t>k</m:t>
                    </m:r>
                  </m:sub>
                </m:sSub>
              </m:e>
              <m:e>
                <m:r>
                  <m:rPr>
                    <m:sty m:val="p"/>
                  </m:rPr>
                  <m:t>∼</m:t>
                </m:r>
                <m:r>
                  <m:rPr>
                    <m:sty m:val="p"/>
                    <m:scr m:val="script"/>
                  </m:rPr>
                  <m:t>N</m:t>
                </m:r>
                <m:d>
                  <m:dPr>
                    <m:begChr m:val="("/>
                    <m:sepChr m:val=""/>
                    <m:endChr m:val=")"/>
                    <m:grow/>
                  </m:dPr>
                  <m:e>
                    <m:r>
                      <m:t>μ</m:t>
                    </m:r>
                    <m:r>
                      <m:rPr>
                        <m:sty m:val="p"/>
                      </m:rPr>
                      <m:t>,</m:t>
                    </m:r>
                    <m:r>
                      <m:t>τ</m:t>
                    </m:r>
                  </m:e>
                </m:d>
              </m:e>
            </m:mr>
            <m:mr>
              <m:e/>
            </m:mr>
          </m:m>
          <m:r>
            <m:t>  </m:t>
          </m:r>
          <m:d>
            <m:dPr>
              <m:begChr m:val="("/>
              <m:sepChr m:val=""/>
              <m:endChr m:val=")"/>
              <m:grow/>
            </m:dPr>
            <m:e>
              <m:r>
                <m:t>2</m:t>
              </m:r>
            </m:e>
          </m:d>
        </m:oMath>
      </m:oMathPara>
      <w:bookmarkEnd w:id="34"/>
    </w:p>
    <w:p>
      <w:pPr>
        <w:pStyle w:val="FirstParagraph"/>
      </w:pPr>
      <w:r>
        <w:t xml:space="preserve">Where:</w:t>
      </w:r>
      <w:r>
        <w:br/>
      </w:r>
      <m:oMath>
        <m:sSub>
          <m:e>
            <m:acc>
              <m:accPr>
                <m:chr m:val="̂"/>
              </m:accPr>
              <m:e>
                <m:r>
                  <m:t>θ</m:t>
                </m:r>
              </m:e>
            </m:acc>
          </m:e>
          <m:sub>
            <m:r>
              <m:t>k</m:t>
            </m:r>
          </m:sub>
        </m:sSub>
      </m:oMath>
      <w:r>
        <w:t xml:space="preserve"> </w:t>
      </w:r>
      <w:r>
        <w:t xml:space="preserve">= Observed effect size for study</w:t>
      </w:r>
      <w:r>
        <w:t xml:space="preserve"> </w:t>
      </w:r>
      <m:oMath>
        <m:r>
          <m:t>k</m:t>
        </m:r>
      </m:oMath>
      <w:r>
        <w:br/>
      </w:r>
      <m:oMath>
        <m:sSub>
          <m:e>
            <m:r>
              <m:t>σ</m:t>
            </m:r>
          </m:e>
          <m:sub>
            <m:r>
              <m:t>k</m:t>
            </m:r>
          </m:sub>
        </m:sSub>
      </m:oMath>
      <w:r>
        <w:t xml:space="preserve"> </w:t>
      </w:r>
      <w:r>
        <w:t xml:space="preserve">= Within-study sampling standard deviation for study</w:t>
      </w:r>
      <w:r>
        <w:t xml:space="preserve"> </w:t>
      </w:r>
      <m:oMath>
        <m:r>
          <m:t>k</m:t>
        </m:r>
      </m:oMath>
      <w:r>
        <w:br/>
      </w:r>
      <m:oMath>
        <m:sSub>
          <m:e>
            <m:r>
              <m:t>θ</m:t>
            </m:r>
          </m:e>
          <m:sub>
            <m:r>
              <m:t>k</m:t>
            </m:r>
          </m:sub>
        </m:sSub>
      </m:oMath>
      <w:r>
        <w:t xml:space="preserve"> </w:t>
      </w:r>
      <w:r>
        <w:t xml:space="preserve">= True underlying effect for study</w:t>
      </w:r>
      <w:r>
        <w:t xml:space="preserve"> </w:t>
      </w:r>
      <m:oMath>
        <m:r>
          <m:t>k</m:t>
        </m:r>
      </m:oMath>
      <w:r>
        <w:br/>
      </w:r>
      <m:oMath>
        <m:r>
          <m:t>μ</m:t>
        </m:r>
      </m:oMath>
      <w:r>
        <w:t xml:space="preserve"> </w:t>
      </w:r>
      <w:r>
        <w:t xml:space="preserve">= Overall pooled effect</w:t>
      </w:r>
      <w:r>
        <w:br/>
      </w:r>
      <m:oMath>
        <m:r>
          <m:t>τ</m:t>
        </m:r>
      </m:oMath>
      <w:r>
        <w:t xml:space="preserve"> </w:t>
      </w:r>
      <w:r>
        <w:t xml:space="preserve">= Between-study standard deviation (heterogeneity)</w:t>
      </w:r>
      <w:r>
        <w:br/>
      </w:r>
    </w:p>
    <w:bookmarkEnd w:id="35"/>
    <w:bookmarkStart w:id="36" w:name="priors"/>
    <w:p>
      <w:pPr>
        <w:pStyle w:val="Heading3"/>
      </w:pPr>
      <w:r>
        <w:t xml:space="preserve">2.5.3 Priors</w:t>
      </w:r>
    </w:p>
    <w:p>
      <w:pPr>
        <w:pStyle w:val="Compact"/>
        <w:numPr>
          <w:ilvl w:val="0"/>
          <w:numId w:val="1012"/>
        </w:numPr>
      </w:pPr>
      <w:r>
        <w:t xml:space="preserve">Parameters to be estimated: mu and tau (mu later called beta?)</w:t>
      </w:r>
    </w:p>
    <w:p>
      <w:pPr>
        <w:pStyle w:val="Compact"/>
        <w:numPr>
          <w:ilvl w:val="0"/>
          <w:numId w:val="1012"/>
        </w:numPr>
      </w:pPr>
      <w:r>
        <w:t xml:space="preserve">choice based on previous evidence, e.g.</w:t>
      </w:r>
      <w:r>
        <w:t xml:space="preserve"> </w:t>
      </w:r>
      <w:r>
        <w:t xml:space="preserve">(14)</w:t>
      </w:r>
    </w:p>
    <w:p>
      <w:pPr>
        <w:pStyle w:val="Compact"/>
        <w:numPr>
          <w:ilvl w:val="0"/>
          <w:numId w:val="1012"/>
        </w:numPr>
      </w:pPr>
      <w:r>
        <w:t xml:space="preserve">explain scale (log, µg/dL)</w:t>
      </w:r>
    </w:p>
    <w:p>
      <w:pPr>
        <w:pStyle w:val="FirstParagraph"/>
      </w:pPr>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2</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2</m:t>
                    </m:r>
                  </m:e>
                </m:d>
              </m:e>
            </m:mr>
          </m:m>
        </m:oMath>
      </m:oMathPara>
    </w:p>
    <w:bookmarkEnd w:id="36"/>
    <w:bookmarkEnd w:id="37"/>
    <w:bookmarkStart w:id="40" w:name="sensitivity-analysis"/>
    <w:p>
      <w:pPr>
        <w:pStyle w:val="Heading2"/>
      </w:pPr>
      <w:r>
        <w:t xml:space="preserve">2.6 Sensitivity Analysis</w:t>
      </w:r>
    </w:p>
    <w:p>
      <w:pPr>
        <w:pStyle w:val="FirstParagraph"/>
      </w:pPr>
      <w:r>
        <w:t xml:space="preserve">We conducted two sets of sensitivity analyses.</w:t>
      </w:r>
      <w:r>
        <w:t xml:space="preserve"> </w:t>
      </w:r>
      <w:r>
        <w:t xml:space="preserve">To examine the sensitivity of the results to possibly biased study results, we ran both the frequentist and Bayesian models again, excluding (1) studies with a high RoB and (2) with a high or medium RoB.</w:t>
      </w:r>
    </w:p>
    <w:p>
      <w:pPr>
        <w:pStyle w:val="BodyText"/>
      </w:pPr>
      <w:r>
        <w:t xml:space="preserve">To examine the sensitivity of the results to the choice of prior distributions, we fit the Bayesian model again twice, with alternative priors for both the main effect (</w:t>
      </w:r>
      <m:oMath>
        <m:r>
          <m:t>μ</m:t>
        </m:r>
      </m:oMath>
      <w:r>
        <w:t xml:space="preserve">) and heterogeneity (</w:t>
      </w:r>
      <m:oMath>
        <m:r>
          <m:t>τ</m:t>
        </m:r>
      </m:oMath>
      <w:r>
        <w:t xml:space="preserve">).</w:t>
      </w:r>
      <w:r>
        <w:t xml:space="preserve"> </w:t>
      </w:r>
      <w:r>
        <w:t xml:space="preserve">The first set of priors was more informative (more narrow) than the main priors, with</w:t>
      </w:r>
      <w:r>
        <w:t xml:space="preserve"> </w:t>
      </w:r>
      <m:oMath>
        <m:r>
          <m:t>μ</m:t>
        </m:r>
        <m:r>
          <m:rPr>
            <m:sty m:val="p"/>
          </m:rPr>
          <m:t>∼</m:t>
        </m:r>
        <m:r>
          <m:rPr>
            <m:sty m:val="p"/>
            <m:scr m:val="script"/>
          </m:rPr>
          <m:t>N</m:t>
        </m:r>
        <m:d>
          <m:dPr>
            <m:begChr m:val="("/>
            <m:sepChr m:val=""/>
            <m:endChr m:val=")"/>
            <m:grow/>
          </m:dPr>
          <m:e>
            <m:r>
              <m:rPr>
                <m:sty m:val="p"/>
              </m:rPr>
              <m:t>−</m:t>
            </m:r>
            <m:r>
              <m:t>1</m:t>
            </m:r>
            <m:r>
              <m:rPr>
                <m:sty m:val="p"/>
              </m:rPr>
              <m:t>,</m:t>
            </m:r>
            <m:r>
              <m:t>1</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1</m:t>
            </m:r>
          </m:e>
        </m:d>
      </m:oMath>
      <w:r>
        <w:t xml:space="preserve">.</w:t>
      </w:r>
      <w:r>
        <w:t xml:space="preserve"> </w:t>
      </w:r>
      <w:r>
        <w:t xml:space="preserve">The second set of priors was less informative (or broader) with</w:t>
      </w:r>
      <w:r>
        <w:t xml:space="preserve"> </w:t>
      </w:r>
      <m:oMath>
        <m:r>
          <m:t>μ</m:t>
        </m:r>
        <m:r>
          <m:rPr>
            <m:sty m:val="p"/>
          </m:rPr>
          <m:t>∼</m:t>
        </m:r>
        <m:r>
          <m:rPr>
            <m:sty m:val="p"/>
            <m:scr m:val="script"/>
          </m:rPr>
          <m:t>N</m:t>
        </m:r>
        <m:d>
          <m:dPr>
            <m:begChr m:val="("/>
            <m:sepChr m:val=""/>
            <m:endChr m:val=")"/>
            <m:grow/>
          </m:dPr>
          <m:e>
            <m:r>
              <m:t>0</m:t>
            </m:r>
            <m:r>
              <m:rPr>
                <m:sty m:val="p"/>
              </m:rPr>
              <m:t>,</m:t>
            </m:r>
            <m:r>
              <m:t>6</m:t>
            </m:r>
          </m:e>
        </m:d>
      </m:oMath>
      <w:r>
        <w:t xml:space="preserve"> </w:t>
      </w:r>
      <w:r>
        <w:t xml:space="preserve">and</w:t>
      </w:r>
      <w:r>
        <w:t xml:space="preserve"> </w:t>
      </w:r>
      <m:oMath>
        <m:r>
          <m:t>τ</m:t>
        </m:r>
        <m:r>
          <m:rPr>
            <m:sty m:val="p"/>
          </m:rPr>
          <m:t>∼</m:t>
        </m:r>
        <m:sSup>
          <m:e>
            <m:r>
              <m:rPr>
                <m:sty m:val="p"/>
                <m:scr m:val="script"/>
              </m:rPr>
              <m:t>N</m:t>
            </m:r>
          </m:e>
          <m:sup>
            <m:r>
              <m:rPr>
                <m:sty m:val="p"/>
              </m:rPr>
              <m:t>+</m:t>
            </m:r>
          </m:sup>
        </m:sSup>
        <m:d>
          <m:dPr>
            <m:begChr m:val="("/>
            <m:sepChr m:val=""/>
            <m:endChr m:val=")"/>
            <m:grow/>
          </m:dPr>
          <m:e>
            <m:r>
              <m:t>0</m:t>
            </m:r>
            <m:r>
              <m:rPr>
                <m:sty m:val="p"/>
              </m:rPr>
              <m:t>,</m:t>
            </m:r>
            <m:r>
              <m:t>6</m:t>
            </m:r>
          </m:e>
        </m:d>
      </m:oMath>
      <w:r>
        <w:t xml:space="preserve">.</w:t>
      </w:r>
      <w:r>
        <w:t xml:space="preserve"> </w:t>
      </w:r>
      <w:r>
        <w:t xml:space="preserve">Notice that for the main effect, we centered the broader prior around 0, giving equal weight to the probability of a protective and detrimental effect of lead.</w:t>
      </w:r>
    </w:p>
    <w:p>
      <w:pPr>
        <w:pStyle w:val="BodyText"/>
      </w:pPr>
      <w:r>
        <w:t xml:space="preserve">More informative priors (more narrow):</w:t>
      </w:r>
    </w:p>
    <w:p>
      <w:pPr>
        <w:pStyle w:val="BodyText"/>
      </w:pPr>
      <w:bookmarkStart w:id="38" w:name="eq-prior-sensitivity1"/>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rPr>
                        <m:sty m:val="p"/>
                      </m:rPr>
                      <m:t>−</m:t>
                    </m:r>
                    <m:r>
                      <m:t>1</m:t>
                    </m:r>
                    <m:r>
                      <m:rPr>
                        <m:sty m:val="p"/>
                      </m:rPr>
                      <m:t>,</m:t>
                    </m:r>
                    <m:r>
                      <m:t>1</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1</m:t>
                    </m:r>
                  </m:e>
                </m:d>
              </m:e>
            </m:mr>
          </m:m>
          <m:r>
            <m:t>  </m:t>
          </m:r>
          <m:d>
            <m:dPr>
              <m:begChr m:val="("/>
              <m:sepChr m:val=""/>
              <m:endChr m:val=")"/>
              <m:grow/>
            </m:dPr>
            <m:e>
              <m:r>
                <m:t>3</m:t>
              </m:r>
            </m:e>
          </m:d>
        </m:oMath>
      </m:oMathPara>
      <w:bookmarkEnd w:id="38"/>
    </w:p>
    <w:p>
      <w:pPr>
        <w:pStyle w:val="FirstParagraph"/>
      </w:pPr>
      <w:r>
        <w:t xml:space="preserve">Less informative priors (more broad):</w:t>
      </w:r>
    </w:p>
    <w:p>
      <w:pPr>
        <w:pStyle w:val="BodyText"/>
      </w:pPr>
      <w:bookmarkStart w:id="39" w:name="eq-prior-sensitivity2"/>
      <m:oMathPara>
        <m:oMathParaPr>
          <m:jc m:val="center"/>
        </m:oMathParaPr>
        <m:oMath>
          <m:m>
            <m:mPr>
              <m:baseJc m:val="center"/>
              <m:plcHide m:val="on"/>
              <m:mcs>
                <m:mc>
                  <m:mcPr>
                    <m:mcJc m:val="right"/>
                    <m:count m:val="1"/>
                  </m:mcPr>
                </m:mc>
                <m:mc>
                  <m:mcPr>
                    <m:mcJc m:val="left"/>
                    <m:count m:val="1"/>
                  </m:mcPr>
                </m:mc>
              </m:mcs>
            </m:mPr>
            <m:mr>
              <m:e>
                <m:r>
                  <m:t>μ</m:t>
                </m:r>
              </m:e>
              <m:e>
                <m:r>
                  <m:rPr>
                    <m:sty m:val="p"/>
                  </m:rPr>
                  <m:t>∼</m:t>
                </m:r>
                <m:r>
                  <m:rPr>
                    <m:sty m:val="p"/>
                    <m:scr m:val="script"/>
                  </m:rPr>
                  <m:t>N</m:t>
                </m:r>
                <m:d>
                  <m:dPr>
                    <m:begChr m:val="("/>
                    <m:sepChr m:val=""/>
                    <m:endChr m:val=")"/>
                    <m:grow/>
                  </m:dPr>
                  <m:e>
                    <m:r>
                      <m:t>0</m:t>
                    </m:r>
                    <m:r>
                      <m:rPr>
                        <m:sty m:val="p"/>
                      </m:rPr>
                      <m:t>,</m:t>
                    </m:r>
                    <m:r>
                      <m:t>6</m:t>
                    </m:r>
                  </m:e>
                </m:d>
              </m:e>
            </m:mr>
            <m:mr>
              <m:e>
                <m:r>
                  <m:t>τ</m:t>
                </m:r>
              </m:e>
              <m:e>
                <m:r>
                  <m:rPr>
                    <m:sty m:val="p"/>
                  </m:rPr>
                  <m:t>∼</m:t>
                </m:r>
                <m:sSup>
                  <m:e>
                    <m:r>
                      <m:rPr>
                        <m:sty m:val="p"/>
                        <m:scr m:val="script"/>
                      </m:rPr>
                      <m:t>N</m:t>
                    </m:r>
                  </m:e>
                  <m:sup>
                    <m:r>
                      <m:rPr>
                        <m:sty m:val="p"/>
                      </m:rPr>
                      <m:t>+</m:t>
                    </m:r>
                  </m:sup>
                </m:sSup>
                <m:d>
                  <m:dPr>
                    <m:begChr m:val="("/>
                    <m:sepChr m:val=""/>
                    <m:endChr m:val=")"/>
                    <m:grow/>
                  </m:dPr>
                  <m:e>
                    <m:r>
                      <m:t>0</m:t>
                    </m:r>
                    <m:r>
                      <m:rPr>
                        <m:sty m:val="p"/>
                      </m:rPr>
                      <m:t>,</m:t>
                    </m:r>
                    <m:r>
                      <m:t>6</m:t>
                    </m:r>
                  </m:e>
                </m:d>
              </m:e>
            </m:mr>
          </m:m>
          <m:r>
            <m:t>  </m:t>
          </m:r>
          <m:d>
            <m:dPr>
              <m:begChr m:val="("/>
              <m:sepChr m:val=""/>
              <m:endChr m:val=")"/>
              <m:grow/>
            </m:dPr>
            <m:e>
              <m:r>
                <m:t>4</m:t>
              </m:r>
            </m:e>
          </m:d>
        </m:oMath>
      </m:oMathPara>
      <w:bookmarkEnd w:id="39"/>
    </w:p>
    <w:bookmarkEnd w:id="40"/>
    <w:bookmarkEnd w:id="41"/>
    <w:bookmarkStart w:id="42" w:name="results"/>
    <w:p>
      <w:pPr>
        <w:pStyle w:val="Heading1"/>
      </w:pPr>
      <w:r>
        <w:t xml:space="preserve">3. Results</w:t>
      </w:r>
    </w:p>
    <w:p>
      <w:pPr>
        <w:pStyle w:val="Compact"/>
        <w:numPr>
          <w:ilvl w:val="0"/>
          <w:numId w:val="1013"/>
        </w:numPr>
      </w:pPr>
      <w:r>
        <w:t xml:space="preserve">Cite studies that might appear to meet inclusion criteria, but were excluded &amp; explain why</w:t>
      </w:r>
    </w:p>
    <w:p>
      <w:pPr>
        <w:pStyle w:val="Compact"/>
        <w:numPr>
          <w:ilvl w:val="0"/>
          <w:numId w:val="1014"/>
        </w:numPr>
      </w:pPr>
      <w:r>
        <w:t xml:space="preserve">Study characteristics (table), including original and harmonized effect measures</w:t>
      </w:r>
    </w:p>
    <w:p>
      <w:pPr>
        <w:pStyle w:val="Compact"/>
        <w:numPr>
          <w:ilvl w:val="0"/>
          <w:numId w:val="1015"/>
        </w:numPr>
      </w:pPr>
      <w:r>
        <w:t xml:space="preserve">Flow diagram, description of (full text) screening results</w:t>
      </w:r>
    </w:p>
    <w:p>
      <w:pPr>
        <w:pStyle w:val="Compact"/>
        <w:numPr>
          <w:ilvl w:val="0"/>
          <w:numId w:val="1016"/>
        </w:numPr>
      </w:pPr>
      <w:r>
        <w:t xml:space="preserve">RoB results for each included study</w:t>
      </w:r>
    </w:p>
    <w:p>
      <w:pPr>
        <w:pStyle w:val="Compact"/>
        <w:numPr>
          <w:ilvl w:val="0"/>
          <w:numId w:val="1017"/>
        </w:numPr>
      </w:pPr>
      <w:r>
        <w:t xml:space="preserve">Forest plots</w:t>
      </w:r>
    </w:p>
    <w:p>
      <w:pPr>
        <w:pStyle w:val="Compact"/>
        <w:numPr>
          <w:ilvl w:val="0"/>
          <w:numId w:val="1018"/>
        </w:numPr>
      </w:pPr>
      <w:r>
        <w:t xml:space="preserve">Sensitivity analysis results</w:t>
      </w:r>
    </w:p>
    <w:bookmarkEnd w:id="42"/>
    <w:bookmarkStart w:id="43" w:name="discussion"/>
    <w:p>
      <w:pPr>
        <w:pStyle w:val="Heading1"/>
      </w:pPr>
      <w:r>
        <w:t xml:space="preserve">4. Discussion</w:t>
      </w:r>
    </w:p>
    <w:p>
      <w:pPr>
        <w:pStyle w:val="Compact"/>
        <w:numPr>
          <w:ilvl w:val="0"/>
          <w:numId w:val="1019"/>
        </w:numPr>
      </w:pPr>
      <w:r>
        <w:t xml:space="preserve">General interpretation of results in light of evidence in literature</w:t>
      </w:r>
    </w:p>
    <w:p>
      <w:pPr>
        <w:pStyle w:val="Compact"/>
        <w:numPr>
          <w:ilvl w:val="0"/>
          <w:numId w:val="1020"/>
        </w:numPr>
      </w:pPr>
      <w:r>
        <w:t xml:space="preserve">Discuss differences, similarities, strengths and weaknesses of freq vs. Bayesian approach</w:t>
      </w:r>
    </w:p>
    <w:p>
      <w:pPr>
        <w:pStyle w:val="Compact"/>
        <w:numPr>
          <w:ilvl w:val="0"/>
          <w:numId w:val="1021"/>
        </w:numPr>
      </w:pPr>
      <w:r>
        <w:t xml:space="preserve">Study limitations &amp; strengths</w:t>
      </w:r>
    </w:p>
    <w:bookmarkEnd w:id="43"/>
    <w:bookmarkStart w:id="44" w:name="conclusions"/>
    <w:p>
      <w:pPr>
        <w:pStyle w:val="Heading1"/>
      </w:pPr>
      <w:r>
        <w:t xml:space="preserve">5. Conclusions</w:t>
      </w:r>
    </w:p>
    <w:p>
      <w:pPr>
        <w:pStyle w:val="Compact"/>
        <w:numPr>
          <w:ilvl w:val="0"/>
          <w:numId w:val="1022"/>
        </w:numPr>
      </w:pPr>
      <w:r>
        <w:t xml:space="preserve">Conclusion, with reference to aim of study</w:t>
      </w:r>
    </w:p>
    <w:p>
      <w:pPr>
        <w:pStyle w:val="Compact"/>
        <w:numPr>
          <w:ilvl w:val="0"/>
          <w:numId w:val="1023"/>
        </w:numPr>
      </w:pPr>
      <w:r>
        <w:t xml:space="preserve">Implications of results: policy, (scientific?) practice, future research needs</w:t>
      </w:r>
    </w:p>
    <w:bookmarkEnd w:id="44"/>
    <w:bookmarkStart w:id="45" w:name="list-of-abbreviations"/>
    <w:p>
      <w:pPr>
        <w:pStyle w:val="Heading1"/>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Abbreviation</w:t>
            </w:r>
          </w:p>
        </w:tc>
        <w:tc>
          <w:tcPr/>
          <w:p>
            <w:pPr>
              <w:pStyle w:val="Compact"/>
              <w:jc w:val="left"/>
            </w:pPr>
            <w:r>
              <w:t xml:space="preserve">Meaning</w:t>
            </w:r>
          </w:p>
        </w:tc>
      </w:tr>
      <w:tr>
        <w:tc>
          <w:tcPr/>
          <w:p>
            <w:pPr>
              <w:pStyle w:val="Compact"/>
              <w:jc w:val="left"/>
            </w:pPr>
            <w:r>
              <w:t xml:space="preserve">BLL</w:t>
            </w:r>
          </w:p>
        </w:tc>
        <w:tc>
          <w:tcPr/>
          <w:p>
            <w:pPr>
              <w:pStyle w:val="Compact"/>
              <w:jc w:val="left"/>
            </w:pPr>
            <w:r>
              <w:t xml:space="preserve">Blood lead levels</w:t>
            </w:r>
          </w:p>
        </w:tc>
      </w:tr>
      <w:tr>
        <w:tc>
          <w:tcPr/>
          <w:p>
            <w:pPr>
              <w:pStyle w:val="Compact"/>
              <w:jc w:val="left"/>
            </w:pPr>
            <w:r>
              <w:t xml:space="preserve">CI</w:t>
            </w:r>
          </w:p>
        </w:tc>
        <w:tc>
          <w:tcPr/>
          <w:p>
            <w:pPr>
              <w:pStyle w:val="Compact"/>
              <w:jc w:val="left"/>
            </w:pPr>
            <w:r>
              <w:t xml:space="preserve">Confidence interval</w:t>
            </w:r>
          </w:p>
        </w:tc>
      </w:tr>
      <w:tr>
        <w:tc>
          <w:tcPr/>
          <w:p>
            <w:pPr>
              <w:pStyle w:val="Compact"/>
              <w:jc w:val="left"/>
            </w:pPr>
            <w:r>
              <w:t xml:space="preserve">EBD</w:t>
            </w:r>
          </w:p>
        </w:tc>
        <w:tc>
          <w:tcPr/>
          <w:p>
            <w:pPr>
              <w:pStyle w:val="Compact"/>
              <w:jc w:val="left"/>
            </w:pPr>
            <w:r>
              <w:t xml:space="preserve">Environmental Burden of Disease</w:t>
            </w:r>
          </w:p>
        </w:tc>
      </w:tr>
      <w:tr>
        <w:tc>
          <w:tcPr/>
          <w:p>
            <w:pPr>
              <w:pStyle w:val="Compact"/>
              <w:jc w:val="left"/>
            </w:pPr>
            <w:r>
              <w:t xml:space="preserve">EU</w:t>
            </w:r>
          </w:p>
        </w:tc>
        <w:tc>
          <w:tcPr/>
          <w:p>
            <w:pPr>
              <w:pStyle w:val="Compact"/>
              <w:jc w:val="left"/>
            </w:pPr>
            <w:r>
              <w:t xml:space="preserve">European Union</w:t>
            </w:r>
          </w:p>
        </w:tc>
      </w:tr>
      <w:tr>
        <w:tc>
          <w:tcPr/>
          <w:p>
            <w:pPr>
              <w:pStyle w:val="Compact"/>
              <w:jc w:val="left"/>
            </w:pPr>
            <w:r>
              <w:t xml:space="preserve">IQ</w:t>
            </w:r>
          </w:p>
        </w:tc>
        <w:tc>
          <w:tcPr/>
          <w:p>
            <w:pPr>
              <w:pStyle w:val="Compact"/>
              <w:jc w:val="left"/>
            </w:pPr>
            <w:r>
              <w:t xml:space="preserve">Intelligence quotient</w:t>
            </w:r>
          </w:p>
        </w:tc>
      </w:tr>
      <w:tr>
        <w:tc>
          <w:tcPr/>
          <w:p>
            <w:pPr>
              <w:pStyle w:val="Compact"/>
              <w:jc w:val="left"/>
            </w:pPr>
            <w:r>
              <w:t xml:space="preserve">LLM</w:t>
            </w:r>
          </w:p>
        </w:tc>
        <w:tc>
          <w:tcPr/>
          <w:p>
            <w:pPr>
              <w:pStyle w:val="Compact"/>
              <w:jc w:val="left"/>
            </w:pPr>
            <w:r>
              <w:t xml:space="preserve">Large language model</w:t>
            </w:r>
          </w:p>
        </w:tc>
      </w:tr>
      <w:tr>
        <w:tc>
          <w:tcPr/>
          <w:p>
            <w:pPr>
              <w:pStyle w:val="Compact"/>
              <w:jc w:val="left"/>
            </w:pPr>
            <w:r>
              <w:t xml:space="preserve">RoB</w:t>
            </w:r>
          </w:p>
        </w:tc>
        <w:tc>
          <w:tcPr/>
          <w:p>
            <w:pPr>
              <w:pStyle w:val="Compact"/>
              <w:jc w:val="left"/>
            </w:pPr>
            <w:r>
              <w:t xml:space="preserve">Risk of Bias</w:t>
            </w:r>
          </w:p>
        </w:tc>
      </w:tr>
      <w:tr>
        <w:tc>
          <w:tcPr/>
          <w:p>
            <w:pPr>
              <w:pStyle w:val="Compact"/>
              <w:jc w:val="left"/>
            </w:pPr>
            <w:r>
              <w:t xml:space="preserve">SE</w:t>
            </w:r>
          </w:p>
        </w:tc>
        <w:tc>
          <w:tcPr/>
          <w:p>
            <w:pPr>
              <w:pStyle w:val="Compact"/>
              <w:jc w:val="left"/>
            </w:pPr>
            <w:r>
              <w:t xml:space="preserve">Standard error</w:t>
            </w:r>
          </w:p>
        </w:tc>
      </w:tr>
      <w:tr>
        <w:tc>
          <w:tcPr/>
          <w:p>
            <w:pPr>
              <w:pStyle w:val="Compact"/>
              <w:jc w:val="left"/>
            </w:pPr>
            <w:r>
              <w:t xml:space="preserve">UI</w:t>
            </w:r>
          </w:p>
        </w:tc>
        <w:tc>
          <w:tcPr/>
          <w:p>
            <w:pPr>
              <w:pStyle w:val="Compact"/>
              <w:jc w:val="left"/>
            </w:pPr>
            <w:r>
              <w:t xml:space="preserve">Uncertainty Interval</w:t>
            </w:r>
          </w:p>
        </w:tc>
      </w:tr>
      <w:tr>
        <w:tc>
          <w:tcPr/>
          <w:p>
            <w:pPr>
              <w:pStyle w:val="Compact"/>
              <w:jc w:val="left"/>
            </w:pPr>
            <w:r>
              <w:t xml:space="preserve">DALY</w:t>
            </w:r>
          </w:p>
        </w:tc>
        <w:tc>
          <w:tcPr/>
          <w:p>
            <w:pPr>
              <w:pStyle w:val="Compact"/>
              <w:jc w:val="left"/>
            </w:pPr>
            <w:r>
              <w:t xml:space="preserve">Disability-adjusted Life Year</w:t>
            </w:r>
          </w:p>
        </w:tc>
      </w:tr>
    </w:tbl>
    <w:bookmarkEnd w:id="45"/>
    <w:bookmarkStart w:id="46" w:name="funding"/>
    <w:p>
      <w:pPr>
        <w:pStyle w:val="Heading1"/>
      </w:pPr>
      <w:r>
        <w:t xml:space="preserve">Funding</w:t>
      </w:r>
    </w:p>
    <w:p>
      <w:pPr>
        <w:pStyle w:val="FirstParagraph"/>
      </w:pPr>
      <w:r>
        <w:t xml:space="preserve">This work was carried out in the framework of the European Partnership for the Assessment of Risks from Chemicals (PARC) and has received funding from the European Union’s Horizon Europe research and innovation programme under Grant Agreement No 101057014.</w:t>
      </w:r>
      <w:r>
        <w:t xml:space="preserve"> </w:t>
      </w:r>
      <w:r>
        <w:t xml:space="preserve">Views and opinions expressed are however those of the author(s) only and do not necessarily reflect those of the European Union or the Health and Digital Executive Agency.</w:t>
      </w:r>
      <w:r>
        <w:t xml:space="preserve"> </w:t>
      </w:r>
      <w:r>
        <w:t xml:space="preserve">Neither the European Union nor the granting authority can be held responsible for them.</w:t>
      </w:r>
    </w:p>
    <w:bookmarkEnd w:id="46"/>
    <w:bookmarkStart w:id="125" w:name="bibliography"/>
    <w:p>
      <w:pPr>
        <w:pStyle w:val="Heading1"/>
      </w:pPr>
      <w:r>
        <w:t xml:space="preserve">References</w:t>
      </w:r>
    </w:p>
    <w:bookmarkStart w:id="124" w:name="refs"/>
    <w:bookmarkStart w:id="48" w:name="Xe38019c88c6d2792bb296bad7dc0a4dd55f1319"/>
    <w:p>
      <w:pPr>
        <w:pStyle w:val="Bibliography"/>
      </w:pPr>
      <w:r>
        <w:t xml:space="preserve">1.</w:t>
      </w:r>
      <w:r>
        <w:t xml:space="preserve"> </w:t>
      </w:r>
      <w:r>
        <w:t xml:space="preserve">	</w:t>
      </w:r>
      <w:r>
        <w:t xml:space="preserve">Salamanca-Fernández E, Peinado FM, Esteban-López M, Puklova V, Poyatos RM, Govarts E, et al.</w:t>
      </w:r>
      <w:r>
        <w:t xml:space="preserve"> </w:t>
      </w:r>
      <w:hyperlink r:id="rId47">
        <w:r>
          <w:rPr>
            <w:rStyle w:val="Hyperlink"/>
          </w:rPr>
          <w:t xml:space="preserve">Sociodemographic determinants and temporal variability of blood lead levels (2003–2019) in a pooled analysis of nine studies in four</w:t>
        </w:r>
        <w:r>
          <w:rPr>
            <w:rStyle w:val="Hyperlink"/>
          </w:rPr>
          <w:t xml:space="preserve"> </w:t>
        </w:r>
        <w:r>
          <w:rPr>
            <w:rStyle w:val="Hyperlink"/>
          </w:rPr>
          <w:t xml:space="preserve">European</w:t>
        </w:r>
        <w:r>
          <w:rPr>
            <w:rStyle w:val="Hyperlink"/>
          </w:rPr>
          <w:t xml:space="preserve"> </w:t>
        </w:r>
        <w:r>
          <w:rPr>
            <w:rStyle w:val="Hyperlink"/>
          </w:rPr>
          <w:t xml:space="preserve">countries</w:t>
        </w:r>
      </w:hyperlink>
      <w:r>
        <w:t xml:space="preserve">. Sci Rep. 2025 Oct;15(1):34562.</w:t>
      </w:r>
      <w:r>
        <w:t xml:space="preserve"> </w:t>
      </w:r>
    </w:p>
    <w:bookmarkEnd w:id="48"/>
    <w:bookmarkStart w:id="50" w:name="ref-lacerda2023GlobalDecreaseBlood"/>
    <w:p>
      <w:pPr>
        <w:pStyle w:val="Bibliography"/>
      </w:pPr>
      <w:r>
        <w:t xml:space="preserve">2.</w:t>
      </w:r>
      <w:r>
        <w:t xml:space="preserve"> </w:t>
      </w:r>
      <w:r>
        <w:t xml:space="preserve">	</w:t>
      </w:r>
      <w:r>
        <w:t xml:space="preserve">Lacerda D, Pestana IA, Santos Vergilio CD, de Rezende CE.</w:t>
      </w:r>
      <w:r>
        <w:t xml:space="preserve"> </w:t>
      </w:r>
      <w:hyperlink r:id="rId49">
        <w:r>
          <w:rPr>
            <w:rStyle w:val="Hyperlink"/>
          </w:rPr>
          <w:t xml:space="preserve">Global decrease in blood lead concentrations due to the removal of leaded gasoline</w:t>
        </w:r>
      </w:hyperlink>
      <w:r>
        <w:t xml:space="preserve">. Chemosphere. 2023;324:138207.</w:t>
      </w:r>
      <w:r>
        <w:t xml:space="preserve"> </w:t>
      </w:r>
    </w:p>
    <w:bookmarkEnd w:id="50"/>
    <w:bookmarkStart w:id="52" w:name="X4707f3a4b72a0982487545f9dc3d674642af108"/>
    <w:p>
      <w:pPr>
        <w:pStyle w:val="Bibliography"/>
      </w:pPr>
      <w:r>
        <w:t xml:space="preserve">3.</w:t>
      </w:r>
      <w:r>
        <w:t xml:space="preserve"> </w:t>
      </w:r>
      <w:r>
        <w:t xml:space="preserve">	</w:t>
      </w:r>
      <w:r>
        <w:t xml:space="preserve">European Food Safety Authority.</w:t>
      </w:r>
      <w:r>
        <w:t xml:space="preserve"> </w:t>
      </w:r>
      <w:hyperlink r:id="rId51">
        <w:r>
          <w:rPr>
            <w:rStyle w:val="Hyperlink"/>
          </w:rPr>
          <w:t xml:space="preserve">Lead dietary exposure in the</w:t>
        </w:r>
        <w:r>
          <w:rPr>
            <w:rStyle w:val="Hyperlink"/>
          </w:rPr>
          <w:t xml:space="preserve"> </w:t>
        </w:r>
        <w:r>
          <w:rPr>
            <w:rStyle w:val="Hyperlink"/>
          </w:rPr>
          <w:t xml:space="preserve">European</w:t>
        </w:r>
        <w:r>
          <w:rPr>
            <w:rStyle w:val="Hyperlink"/>
          </w:rPr>
          <w:t xml:space="preserve"> </w:t>
        </w:r>
        <w:r>
          <w:rPr>
            <w:rStyle w:val="Hyperlink"/>
          </w:rPr>
          <w:t xml:space="preserve">population</w:t>
        </w:r>
      </w:hyperlink>
      <w:r>
        <w:t xml:space="preserve">. EFS2. 2012 Jul;10(7).</w:t>
      </w:r>
      <w:r>
        <w:t xml:space="preserve"> </w:t>
      </w:r>
    </w:p>
    <w:bookmarkEnd w:id="52"/>
    <w:bookmarkStart w:id="54" w:name="ref-sy2024AssessmentLongTermExposure"/>
    <w:p>
      <w:pPr>
        <w:pStyle w:val="Bibliography"/>
      </w:pPr>
      <w:r>
        <w:t xml:space="preserve">4.</w:t>
      </w:r>
      <w:r>
        <w:t xml:space="preserve"> </w:t>
      </w:r>
      <w:r>
        <w:t xml:space="preserve">	</w:t>
      </w:r>
      <w:r>
        <w:t xml:space="preserve">Sy M, Eleftheriadou D, Jung C, Lindtner O, Karakitsios S, Sarigiannis D, et al.</w:t>
      </w:r>
      <w:r>
        <w:t xml:space="preserve"> </w:t>
      </w:r>
      <w:hyperlink r:id="rId53">
        <w:r>
          <w:rPr>
            <w:rStyle w:val="Hyperlink"/>
          </w:rPr>
          <w:t xml:space="preserve">Assessment of the</w:t>
        </w:r>
        <w:r>
          <w:rPr>
            <w:rStyle w:val="Hyperlink"/>
          </w:rPr>
          <w:t xml:space="preserve"> </w:t>
        </w:r>
        <w:r>
          <w:rPr>
            <w:rStyle w:val="Hyperlink"/>
          </w:rPr>
          <w:t xml:space="preserve">Long-Term 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Four European Countries Using PBPK Modeling</w:t>
        </w:r>
      </w:hyperlink>
      <w:r>
        <w:t xml:space="preserve">. Expo Health. 2024 Feb;16(1):21–39.</w:t>
      </w:r>
      <w:r>
        <w:t xml:space="preserve"> </w:t>
      </w:r>
    </w:p>
    <w:bookmarkEnd w:id="54"/>
    <w:bookmarkStart w:id="56" w:name="ref-brauer2024GlobalBurdenStrength"/>
    <w:p>
      <w:pPr>
        <w:pStyle w:val="Bibliography"/>
      </w:pPr>
      <w:r>
        <w:t xml:space="preserve">5.</w:t>
      </w:r>
      <w:r>
        <w:t xml:space="preserve"> </w:t>
      </w:r>
      <w:r>
        <w:t xml:space="preserve">	</w:t>
      </w:r>
      <w:r>
        <w:t xml:space="preserve">Brauer M, Roth GA, Aravkin AY, Zheng P, Abate KH, Abate YH, et al.</w:t>
      </w:r>
      <w:r>
        <w:t xml:space="preserve"> </w:t>
      </w:r>
      <w:hyperlink r:id="rId55">
        <w:r>
          <w:rPr>
            <w:rStyle w:val="Hyperlink"/>
          </w:rPr>
          <w:t xml:space="preserve">Global burden and strength of evidence for 88 risk factors in 204 countries and 811 subnational locations, 1990&amp;#x2013;2021: A systematic analysis for the</w:t>
        </w:r>
        <w:r>
          <w:rPr>
            <w:rStyle w:val="Hyperlink"/>
          </w:rPr>
          <w:t xml:space="preserve"> </w:t>
        </w:r>
        <w:r>
          <w:rPr>
            <w:rStyle w:val="Hyperlink"/>
          </w:rPr>
          <w:t xml:space="preserve">Global Burden</w:t>
        </w:r>
        <w:r>
          <w:rPr>
            <w:rStyle w:val="Hyperlink"/>
          </w:rPr>
          <w:t xml:space="preserve"> </w:t>
        </w:r>
        <w:r>
          <w:rPr>
            <w:rStyle w:val="Hyperlink"/>
          </w:rPr>
          <w:t xml:space="preserve">of</w:t>
        </w:r>
        <w:r>
          <w:rPr>
            <w:rStyle w:val="Hyperlink"/>
          </w:rPr>
          <w:t xml:space="preserve"> </w:t>
        </w:r>
        <w:r>
          <w:rPr>
            <w:rStyle w:val="Hyperlink"/>
          </w:rPr>
          <w:t xml:space="preserve">Disease Study</w:t>
        </w:r>
        <w:r>
          <w:rPr>
            <w:rStyle w:val="Hyperlink"/>
          </w:rPr>
          <w:t xml:space="preserve"> </w:t>
        </w:r>
        <w:r>
          <w:rPr>
            <w:rStyle w:val="Hyperlink"/>
          </w:rPr>
          <w:t xml:space="preserve">2021</w:t>
        </w:r>
      </w:hyperlink>
      <w:r>
        <w:t xml:space="preserve">. The Lancet. 2024;403(10440):2162–203.</w:t>
      </w:r>
      <w:r>
        <w:t xml:space="preserve"> </w:t>
      </w:r>
    </w:p>
    <w:bookmarkEnd w:id="56"/>
    <w:bookmarkStart w:id="58" w:name="ref-harari2018BloodLeadLevels"/>
    <w:p>
      <w:pPr>
        <w:pStyle w:val="Bibliography"/>
      </w:pPr>
      <w:r>
        <w:t xml:space="preserve">6.</w:t>
      </w:r>
      <w:r>
        <w:t xml:space="preserve"> </w:t>
      </w:r>
      <w:r>
        <w:t xml:space="preserve">	</w:t>
      </w:r>
      <w:r>
        <w:t xml:space="preserve">Harari F, Sallsten G, Christensson A, Petkovic M, Hedblad B, Forsgard N, et al.</w:t>
      </w:r>
      <w:r>
        <w:t xml:space="preserve"> </w:t>
      </w:r>
      <w:hyperlink r:id="rId57">
        <w:r>
          <w:rPr>
            <w:rStyle w:val="Hyperlink"/>
          </w:rPr>
          <w:t xml:space="preserve">Blood</w:t>
        </w:r>
        <w:r>
          <w:rPr>
            <w:rStyle w:val="Hyperlink"/>
          </w:rPr>
          <w:t xml:space="preserve"> </w:t>
        </w:r>
        <w:r>
          <w:rPr>
            <w:rStyle w:val="Hyperlink"/>
          </w:rPr>
          <w:t xml:space="preserve">Lead Levels</w:t>
        </w:r>
        <w:r>
          <w:rPr>
            <w:rStyle w:val="Hyperlink"/>
          </w:rPr>
          <w:t xml:space="preserve"> </w:t>
        </w:r>
        <w:r>
          <w:rPr>
            <w:rStyle w:val="Hyperlink"/>
          </w:rPr>
          <w:t xml:space="preserve">and</w:t>
        </w:r>
        <w:r>
          <w:rPr>
            <w:rStyle w:val="Hyperlink"/>
          </w:rPr>
          <w:t xml:space="preserve"> </w:t>
        </w:r>
        <w:r>
          <w:rPr>
            <w:rStyle w:val="Hyperlink"/>
          </w:rPr>
          <w:t xml:space="preserve">Decreased Kidney Function</w:t>
        </w:r>
        <w:r>
          <w:rPr>
            <w:rStyle w:val="Hyperlink"/>
          </w:rPr>
          <w:t xml:space="preserve"> </w:t>
        </w:r>
        <w:r>
          <w:rPr>
            <w:rStyle w:val="Hyperlink"/>
          </w:rPr>
          <w:t xml:space="preserve">in a</w:t>
        </w:r>
        <w:r>
          <w:rPr>
            <w:rStyle w:val="Hyperlink"/>
          </w:rPr>
          <w:t xml:space="preserve"> </w:t>
        </w:r>
        <w:r>
          <w:rPr>
            <w:rStyle w:val="Hyperlink"/>
          </w:rPr>
          <w:t xml:space="preserve">Population-Based Cohort</w:t>
        </w:r>
      </w:hyperlink>
      <w:r>
        <w:t xml:space="preserve">. American Journal of Kidney Diseases. 2018 Sep;72(3):381–9.</w:t>
      </w:r>
      <w:r>
        <w:t xml:space="preserve"> </w:t>
      </w:r>
    </w:p>
    <w:bookmarkEnd w:id="58"/>
    <w:bookmarkStart w:id="60" w:name="ref-wan2022ChronicLeadExposure"/>
    <w:p>
      <w:pPr>
        <w:pStyle w:val="Bibliography"/>
      </w:pPr>
      <w:r>
        <w:t xml:space="preserve">7.</w:t>
      </w:r>
      <w:r>
        <w:t xml:space="preserve"> </w:t>
      </w:r>
      <w:r>
        <w:t xml:space="preserve">	</w:t>
      </w:r>
      <w:r>
        <w:t xml:space="preserve">Wan H, Wang Y, Zhang H, Zhang K, Chen Y, Chen C, et al.</w:t>
      </w:r>
      <w:r>
        <w:t xml:space="preserve"> </w:t>
      </w:r>
      <w:hyperlink r:id="rId59">
        <w:r>
          <w:rPr>
            <w:rStyle w:val="Hyperlink"/>
          </w:rPr>
          <w:t xml:space="preserve">Chronic lead exposure induces fatty liver disease associated with the variations of gut microbiota</w:t>
        </w:r>
      </w:hyperlink>
      <w:r>
        <w:t xml:space="preserve">. Ecotoxicology and Environmental Safety. 2022 Mar;232:113257.</w:t>
      </w:r>
      <w:r>
        <w:t xml:space="preserve"> </w:t>
      </w:r>
    </w:p>
    <w:bookmarkEnd w:id="60"/>
    <w:bookmarkStart w:id="62" w:name="ref-rosengren2025ExposureLeadCoronary"/>
    <w:p>
      <w:pPr>
        <w:pStyle w:val="Bibliography"/>
      </w:pPr>
      <w:r>
        <w:t xml:space="preserve">8.</w:t>
      </w:r>
      <w:r>
        <w:t xml:space="preserve"> </w:t>
      </w:r>
      <w:r>
        <w:t xml:space="preserve">	</w:t>
      </w:r>
      <w:r>
        <w:t xml:space="preserve">Rosengren E, Barregard L, Sallsten G, Fagerberg B, Engström G, Fagman E, et al.</w:t>
      </w:r>
      <w:r>
        <w:t xml:space="preserve"> </w:t>
      </w:r>
      <w:hyperlink r:id="rId61">
        <w:r>
          <w:rPr>
            <w:rStyle w:val="Hyperlink"/>
          </w:rPr>
          <w:t xml:space="preserve">Exposure 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Coronary Artery Atherosclerosis</w:t>
        </w:r>
        <w:r>
          <w:rPr>
            <w:rStyle w:val="Hyperlink"/>
          </w:rPr>
          <w:t xml:space="preserve">:</w:t>
        </w:r>
        <w:r>
          <w:rPr>
            <w:rStyle w:val="Hyperlink"/>
          </w:rPr>
          <w:t xml:space="preserve"> </w:t>
        </w:r>
        <w:r>
          <w:rPr>
            <w:rStyle w:val="Hyperlink"/>
          </w:rPr>
          <w:t xml:space="preserve">A Swedish Cross</w:t>
        </w:r>
        <w:r>
          <w:rPr>
            <w:rStyle w:val="Hyperlink"/>
          </w:rPr>
          <w:t xml:space="preserve">-</w:t>
        </w:r>
        <w:r>
          <w:rPr>
            <w:rStyle w:val="Hyperlink"/>
          </w:rPr>
          <w:t xml:space="preserve">Sectional Population</w:t>
        </w:r>
        <w:r>
          <w:rPr>
            <w:rStyle w:val="Hyperlink"/>
          </w:rPr>
          <w:t xml:space="preserve">-</w:t>
        </w:r>
        <w:r>
          <w:rPr>
            <w:rStyle w:val="Hyperlink"/>
          </w:rPr>
          <w:t xml:space="preserve">Based Study</w:t>
        </w:r>
      </w:hyperlink>
      <w:r>
        <w:t xml:space="preserve">. JAHA. 2025 Mar;14(5):e037633.</w:t>
      </w:r>
      <w:r>
        <w:t xml:space="preserve"> </w:t>
      </w:r>
    </w:p>
    <w:bookmarkEnd w:id="62"/>
    <w:bookmarkStart w:id="64" w:name="ref-lanphear2018LowlevelLeadExposure"/>
    <w:p>
      <w:pPr>
        <w:pStyle w:val="Bibliography"/>
      </w:pPr>
      <w:r>
        <w:t xml:space="preserve">9.</w:t>
      </w:r>
      <w:r>
        <w:t xml:space="preserve"> </w:t>
      </w:r>
      <w:r>
        <w:t xml:space="preserve">	</w:t>
      </w:r>
      <w:r>
        <w:t xml:space="preserve">Lanphear BP, Rauch S, Auinger P, Allen RW, Hornung RW.</w:t>
      </w:r>
      <w:r>
        <w:t xml:space="preserve"> </w:t>
      </w:r>
      <w:hyperlink r:id="rId63">
        <w:r>
          <w:rPr>
            <w:rStyle w:val="Hyperlink"/>
          </w:rPr>
          <w:t xml:space="preserve">Low-level lead exposure and mortality in</w:t>
        </w:r>
        <w:r>
          <w:rPr>
            <w:rStyle w:val="Hyperlink"/>
          </w:rPr>
          <w:t xml:space="preserve"> </w:t>
        </w:r>
        <w:r>
          <w:rPr>
            <w:rStyle w:val="Hyperlink"/>
          </w:rPr>
          <w:t xml:space="preserve">US</w:t>
        </w:r>
        <w:r>
          <w:rPr>
            <w:rStyle w:val="Hyperlink"/>
          </w:rPr>
          <w:t xml:space="preserve"> </w:t>
        </w:r>
        <w:r>
          <w:rPr>
            <w:rStyle w:val="Hyperlink"/>
          </w:rPr>
          <w:t xml:space="preserve">adults: A population-based cohort study</w:t>
        </w:r>
      </w:hyperlink>
      <w:r>
        <w:t xml:space="preserve">. The Lancet Public Health. 2018 Apr;3(4):e177–84.</w:t>
      </w:r>
      <w:r>
        <w:t xml:space="preserve"> </w:t>
      </w:r>
    </w:p>
    <w:bookmarkEnd w:id="64"/>
    <w:bookmarkStart w:id="66" w:name="ref-chang2006LowBloodLead"/>
    <w:p>
      <w:pPr>
        <w:pStyle w:val="Bibliography"/>
      </w:pPr>
      <w:r>
        <w:t xml:space="preserve">10.</w:t>
      </w:r>
      <w:r>
        <w:t xml:space="preserve"> </w:t>
      </w:r>
      <w:r>
        <w:t xml:space="preserve">	</w:t>
      </w:r>
      <w:r>
        <w:t xml:space="preserve">Chang SH, Cheng BH, Lee SL, Chuang HY, Yang CY, Sung FC, et al.</w:t>
      </w:r>
      <w:r>
        <w:t xml:space="preserve"> </w:t>
      </w:r>
      <w:hyperlink r:id="rId65">
        <w:r>
          <w:rPr>
            <w:rStyle w:val="Hyperlink"/>
          </w:rPr>
          <w:t xml:space="preserve">Low blood lead concentration in association with infertility in women</w:t>
        </w:r>
      </w:hyperlink>
      <w:r>
        <w:t xml:space="preserve">. Environmental Research. 2006 Jul;101(3):380–6.</w:t>
      </w:r>
      <w:r>
        <w:t xml:space="preserve"> </w:t>
      </w:r>
    </w:p>
    <w:bookmarkEnd w:id="66"/>
    <w:bookmarkStart w:id="68" w:name="Xadfdab0209e4a364d9fdcffecfddb00700d2db9"/>
    <w:p>
      <w:pPr>
        <w:pStyle w:val="Bibliography"/>
      </w:pPr>
      <w:r>
        <w:t xml:space="preserve">11.</w:t>
      </w:r>
      <w:r>
        <w:t xml:space="preserve"> </w:t>
      </w:r>
      <w:r>
        <w:t xml:space="preserve">	</w:t>
      </w:r>
      <w:r>
        <w:t xml:space="preserve">Dimitrov LV, Kaminski JW, Holbrook JR, Bitsko RH, Yeh M, Courtney JG, et al.</w:t>
      </w:r>
      <w:r>
        <w:t xml:space="preserve"> </w:t>
      </w:r>
      <w:hyperlink r:id="rId67">
        <w:r>
          <w:rPr>
            <w:rStyle w:val="Hyperlink"/>
          </w:rPr>
          <w:t xml:space="preserve">A</w:t>
        </w:r>
        <w:r>
          <w:rPr>
            <w:rStyle w:val="Hyperlink"/>
          </w:rPr>
          <w:t xml:space="preserve"> </w:t>
        </w:r>
        <w:r>
          <w:rPr>
            <w:rStyle w:val="Hyperlink"/>
          </w:rPr>
          <w:t xml:space="preserve">Systematic Review</w:t>
        </w:r>
        <w:r>
          <w:rPr>
            <w:rStyle w:val="Hyperlink"/>
          </w:rPr>
          <w:t xml:space="preserve"> </w:t>
        </w:r>
        <w:r>
          <w:rPr>
            <w:rStyle w:val="Hyperlink"/>
          </w:rPr>
          <w:t xml:space="preserve">and</w:t>
        </w:r>
        <w:r>
          <w:rPr>
            <w:rStyle w:val="Hyperlink"/>
          </w:rPr>
          <w:t xml:space="preserve"> </w:t>
        </w:r>
        <w:r>
          <w:rPr>
            <w:rStyle w:val="Hyperlink"/>
          </w:rPr>
          <w:t xml:space="preserve">Meta-analysis</w:t>
        </w:r>
        <w:r>
          <w:rPr>
            <w:rStyle w:val="Hyperlink"/>
          </w:rPr>
          <w:t xml:space="preserve"> </w:t>
        </w:r>
        <w:r>
          <w:rPr>
            <w:rStyle w:val="Hyperlink"/>
          </w:rPr>
          <w:t xml:space="preserve">of</w:t>
        </w:r>
        <w:r>
          <w:rPr>
            <w:rStyle w:val="Hyperlink"/>
          </w:rPr>
          <w:t xml:space="preserve"> </w:t>
        </w:r>
        <w:r>
          <w:rPr>
            <w:rStyle w:val="Hyperlink"/>
          </w:rPr>
          <w:t xml:space="preserve">Chemical Exposures</w:t>
        </w:r>
        <w:r>
          <w:rPr>
            <w:rStyle w:val="Hyperlink"/>
          </w:rPr>
          <w:t xml:space="preserve"> </w:t>
        </w:r>
        <w:r>
          <w:rPr>
            <w:rStyle w:val="Hyperlink"/>
          </w:rPr>
          <w:t xml:space="preserve">and</w:t>
        </w:r>
        <w:r>
          <w:rPr>
            <w:rStyle w:val="Hyperlink"/>
          </w:rPr>
          <w:t xml:space="preserve"> </w:t>
        </w:r>
        <w:r>
          <w:rPr>
            <w:rStyle w:val="Hyperlink"/>
          </w:rPr>
          <w:t xml:space="preserve">Attention-Deficit</w:t>
        </w:r>
        <w:r>
          <w:rPr>
            <w:rStyle w:val="Hyperlink"/>
          </w:rPr>
          <w:t xml:space="preserve">/</w:t>
        </w:r>
        <w:r>
          <w:rPr>
            <w:rStyle w:val="Hyperlink"/>
          </w:rPr>
          <w:t xml:space="preserve">Hyperactivity Disorder</w:t>
        </w:r>
        <w:r>
          <w:rPr>
            <w:rStyle w:val="Hyperlink"/>
          </w:rPr>
          <w:t xml:space="preserve"> </w:t>
        </w:r>
        <w:r>
          <w:rPr>
            <w:rStyle w:val="Hyperlink"/>
          </w:rPr>
          <w:t xml:space="preserve">in</w:t>
        </w:r>
        <w:r>
          <w:rPr>
            <w:rStyle w:val="Hyperlink"/>
          </w:rPr>
          <w:t xml:space="preserve"> </w:t>
        </w:r>
        <w:r>
          <w:rPr>
            <w:rStyle w:val="Hyperlink"/>
          </w:rPr>
          <w:t xml:space="preserve">Children</w:t>
        </w:r>
      </w:hyperlink>
      <w:r>
        <w:t xml:space="preserve">. Prev Sci. 2024 May;25(S2):225–48.</w:t>
      </w:r>
      <w:r>
        <w:t xml:space="preserve"> </w:t>
      </w:r>
    </w:p>
    <w:bookmarkEnd w:id="68"/>
    <w:bookmarkStart w:id="70" w:name="ref-shaffer2025LeadExposureAntisocial"/>
    <w:p>
      <w:pPr>
        <w:pStyle w:val="Bibliography"/>
      </w:pPr>
      <w:r>
        <w:t xml:space="preserve">12.</w:t>
      </w:r>
      <w:r>
        <w:t xml:space="preserve"> </w:t>
      </w:r>
      <w:r>
        <w:t xml:space="preserve">	</w:t>
      </w:r>
      <w:r>
        <w:t xml:space="preserve">Shaffer RM, Carlson LM, Hester K, Kim H, Duffney P, Forsyth JE, et al.</w:t>
      </w:r>
      <w:r>
        <w:t xml:space="preserve"> </w:t>
      </w:r>
      <w:hyperlink r:id="rId69">
        <w:r>
          <w:rPr>
            <w:rStyle w:val="Hyperlink"/>
          </w:rPr>
          <w:t xml:space="preserve">Lead exposure and antisocial behavior:</w:t>
        </w:r>
        <w:r>
          <w:rPr>
            <w:rStyle w:val="Hyperlink"/>
          </w:rPr>
          <w:t xml:space="preserve"> </w:t>
        </w:r>
        <w:r>
          <w:rPr>
            <w:rStyle w:val="Hyperlink"/>
          </w:rPr>
          <w:t xml:space="preserve">A</w:t>
        </w:r>
        <w:r>
          <w:rPr>
            <w:rStyle w:val="Hyperlink"/>
          </w:rPr>
          <w:t xml:space="preserve"> </w:t>
        </w:r>
        <w:r>
          <w:rPr>
            <w:rStyle w:val="Hyperlink"/>
          </w:rPr>
          <w:t xml:space="preserve">systematic review of human and animal evidence</w:t>
        </w:r>
      </w:hyperlink>
      <w:r>
        <w:t xml:space="preserve">. Environment International. 2025;109786.</w:t>
      </w:r>
      <w:r>
        <w:t xml:space="preserve"> </w:t>
      </w:r>
    </w:p>
    <w:bookmarkEnd w:id="70"/>
    <w:bookmarkStart w:id="72" w:name="X06097e4c5e52362623b7f1c040457eb7d553acc"/>
    <w:p>
      <w:pPr>
        <w:pStyle w:val="Bibliography"/>
      </w:pPr>
      <w:r>
        <w:t xml:space="preserve">13.</w:t>
      </w:r>
      <w:r>
        <w:t xml:space="preserve"> </w:t>
      </w:r>
      <w:r>
        <w:t xml:space="preserve">	</w:t>
      </w:r>
      <w:r>
        <w:t xml:space="preserve">Baghurst PA, McMichael AJ, Wigg NR, Vimpani GV, Robertson EF, Roberts RJ, et al.</w:t>
      </w:r>
      <w:r>
        <w:t xml:space="preserve"> </w:t>
      </w:r>
      <w:hyperlink r:id="rId71">
        <w:r>
          <w:rPr>
            <w:rStyle w:val="Hyperlink"/>
          </w:rPr>
          <w:t xml:space="preserve">Environmental</w:t>
        </w:r>
        <w:r>
          <w:rPr>
            <w:rStyle w:val="Hyperlink"/>
          </w:rPr>
          <w:t xml:space="preserve"> </w:t>
        </w:r>
        <w:r>
          <w:rPr>
            <w:rStyle w:val="Hyperlink"/>
          </w:rPr>
          <w:t xml:space="preserve">Exposure</w:t>
        </w:r>
        <w:r>
          <w:rPr>
            <w:rStyle w:val="Hyperlink"/>
          </w:rPr>
          <w:t xml:space="preserve"> </w:t>
        </w:r>
        <w:r>
          <w:rPr>
            <w:rStyle w:val="Hyperlink"/>
          </w:rPr>
          <w:t xml:space="preserve">to</w:t>
        </w:r>
        <w:r>
          <w:rPr>
            <w:rStyle w:val="Hyperlink"/>
          </w:rPr>
          <w:t xml:space="preserve"> </w:t>
        </w:r>
        <w:r>
          <w:rPr>
            <w:rStyle w:val="Hyperlink"/>
          </w:rPr>
          <w:t xml:space="preserve">Lead</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Intelligence</w:t>
        </w:r>
        <w:r>
          <w:rPr>
            <w:rStyle w:val="Hyperlink"/>
          </w:rPr>
          <w:t xml:space="preserve"> </w:t>
        </w:r>
        <w:r>
          <w:rPr>
            <w:rStyle w:val="Hyperlink"/>
          </w:rPr>
          <w:t xml:space="preserve">at the</w:t>
        </w:r>
        <w:r>
          <w:rPr>
            <w:rStyle w:val="Hyperlink"/>
          </w:rPr>
          <w:t xml:space="preserve"> </w:t>
        </w:r>
        <w:r>
          <w:rPr>
            <w:rStyle w:val="Hyperlink"/>
          </w:rPr>
          <w:t xml:space="preserve">Age</w:t>
        </w:r>
        <w:r>
          <w:rPr>
            <w:rStyle w:val="Hyperlink"/>
          </w:rPr>
          <w:t xml:space="preserve"> </w:t>
        </w:r>
        <w:r>
          <w:rPr>
            <w:rStyle w:val="Hyperlink"/>
          </w:rPr>
          <w:t xml:space="preserve">of</w:t>
        </w:r>
        <w:r>
          <w:rPr>
            <w:rStyle w:val="Hyperlink"/>
          </w:rPr>
          <w:t xml:space="preserve"> </w:t>
        </w:r>
        <w:r>
          <w:rPr>
            <w:rStyle w:val="Hyperlink"/>
          </w:rPr>
          <w:t xml:space="preserve">Seven Years</w:t>
        </w:r>
        <w:r>
          <w:rPr>
            <w:rStyle w:val="Hyperlink"/>
          </w:rPr>
          <w:t xml:space="preserve">:</w:t>
        </w:r>
        <w:r>
          <w:rPr>
            <w:rStyle w:val="Hyperlink"/>
          </w:rPr>
          <w:t xml:space="preserve"> </w:t>
        </w:r>
        <w:r>
          <w:rPr>
            <w:rStyle w:val="Hyperlink"/>
          </w:rPr>
          <w:t xml:space="preserve">The Port Pirie Cohort Study</w:t>
        </w:r>
      </w:hyperlink>
      <w:r>
        <w:t xml:space="preserve">. N Engl J Med. 1992 Oct;327(18):1279–84.</w:t>
      </w:r>
      <w:r>
        <w:t xml:space="preserve"> </w:t>
      </w:r>
    </w:p>
    <w:bookmarkEnd w:id="72"/>
    <w:bookmarkStart w:id="74" w:name="ref-needleman1990LowLevelLeadExposure"/>
    <w:p>
      <w:pPr>
        <w:pStyle w:val="Bibliography"/>
      </w:pPr>
      <w:r>
        <w:t xml:space="preserve">14.</w:t>
      </w:r>
      <w:r>
        <w:t xml:space="preserve"> </w:t>
      </w:r>
      <w:r>
        <w:t xml:space="preserve">	</w:t>
      </w:r>
      <w:r>
        <w:t xml:space="preserve">Needleman HL.</w:t>
      </w:r>
      <w:r>
        <w:t xml:space="preserve"> </w:t>
      </w:r>
      <w:hyperlink r:id="rId73">
        <w:r>
          <w:rPr>
            <w:rStyle w:val="Hyperlink"/>
          </w:rPr>
          <w:t xml:space="preserve">Low-</w:t>
        </w:r>
        <w:r>
          <w:rPr>
            <w:rStyle w:val="Hyperlink"/>
          </w:rPr>
          <w:t xml:space="preserve">Level Lead Exposure</w:t>
        </w:r>
        <w:r>
          <w:rPr>
            <w:rStyle w:val="Hyperlink"/>
          </w:rPr>
          <w:t xml:space="preserve"> </w:t>
        </w:r>
        <w:r>
          <w:rPr>
            <w:rStyle w:val="Hyperlink"/>
          </w:rPr>
          <w:t xml:space="preserve">and the</w:t>
        </w:r>
        <w:r>
          <w:rPr>
            <w:rStyle w:val="Hyperlink"/>
          </w:rPr>
          <w:t xml:space="preserve"> </w:t>
        </w:r>
        <w:r>
          <w:rPr>
            <w:rStyle w:val="Hyperlink"/>
          </w:rPr>
          <w:t xml:space="preserve">IQ</w:t>
        </w:r>
        <w:r>
          <w:rPr>
            <w:rStyle w:val="Hyperlink"/>
          </w:rPr>
          <w:t xml:space="preserve"> </w:t>
        </w:r>
        <w:r>
          <w:rPr>
            <w:rStyle w:val="Hyperlink"/>
          </w:rPr>
          <w:t xml:space="preserve">of</w:t>
        </w:r>
        <w:r>
          <w:rPr>
            <w:rStyle w:val="Hyperlink"/>
          </w:rPr>
          <w:t xml:space="preserve"> </w:t>
        </w:r>
        <w:r>
          <w:rPr>
            <w:rStyle w:val="Hyperlink"/>
          </w:rPr>
          <w:t xml:space="preserve">Children</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of</w:t>
        </w:r>
        <w:r>
          <w:rPr>
            <w:rStyle w:val="Hyperlink"/>
          </w:rPr>
          <w:t xml:space="preserve"> </w:t>
        </w:r>
        <w:r>
          <w:rPr>
            <w:rStyle w:val="Hyperlink"/>
          </w:rPr>
          <w:t xml:space="preserve">Modern Studies</w:t>
        </w:r>
      </w:hyperlink>
      <w:r>
        <w:t xml:space="preserve">. JAMA. 1990 Feb;263(5):673.</w:t>
      </w:r>
      <w:r>
        <w:t xml:space="preserve"> </w:t>
      </w:r>
    </w:p>
    <w:bookmarkEnd w:id="74"/>
    <w:bookmarkStart w:id="76" w:name="ref-bellinger1992LowLevelLeadExposure"/>
    <w:p>
      <w:pPr>
        <w:pStyle w:val="Bibliography"/>
      </w:pPr>
      <w:r>
        <w:t xml:space="preserve">15.</w:t>
      </w:r>
      <w:r>
        <w:t xml:space="preserve"> </w:t>
      </w:r>
      <w:r>
        <w:t xml:space="preserve">	</w:t>
      </w:r>
      <w:r>
        <w:t xml:space="preserve">Bellinger DC, Stiles KM, Needleman HL.</w:t>
      </w:r>
      <w:r>
        <w:t xml:space="preserve"> </w:t>
      </w:r>
      <w:hyperlink r:id="rId75">
        <w:r>
          <w:rPr>
            <w:rStyle w:val="Hyperlink"/>
          </w:rPr>
          <w:t xml:space="preserve">Low-</w:t>
        </w:r>
        <w:r>
          <w:rPr>
            <w:rStyle w:val="Hyperlink"/>
          </w:rPr>
          <w:t xml:space="preserve">Level Lead Exposure</w:t>
        </w:r>
        <w:r>
          <w:rPr>
            <w:rStyle w:val="Hyperlink"/>
          </w:rPr>
          <w:t xml:space="preserve">,</w:t>
        </w:r>
        <w:r>
          <w:rPr>
            <w:rStyle w:val="Hyperlink"/>
          </w:rPr>
          <w:t xml:space="preserve"> </w:t>
        </w:r>
        <w:r>
          <w:rPr>
            <w:rStyle w:val="Hyperlink"/>
          </w:rPr>
          <w:t xml:space="preserve">Intelligence</w:t>
        </w:r>
        <w:r>
          <w:rPr>
            <w:rStyle w:val="Hyperlink"/>
          </w:rPr>
          <w:t xml:space="preserve"> </w:t>
        </w:r>
        <w:r>
          <w:rPr>
            <w:rStyle w:val="Hyperlink"/>
          </w:rPr>
          <w:t xml:space="preserve">and</w:t>
        </w:r>
        <w:r>
          <w:rPr>
            <w:rStyle w:val="Hyperlink"/>
          </w:rPr>
          <w:t xml:space="preserve"> </w:t>
        </w:r>
        <w:r>
          <w:rPr>
            <w:rStyle w:val="Hyperlink"/>
          </w:rPr>
          <w:t xml:space="preserve">Academic Achievement</w:t>
        </w:r>
        <w:r>
          <w:rPr>
            <w:rStyle w:val="Hyperlink"/>
          </w:rPr>
          <w:t xml:space="preserve">:</w:t>
        </w:r>
        <w:r>
          <w:rPr>
            <w:rStyle w:val="Hyperlink"/>
          </w:rPr>
          <w:t xml:space="preserve"> </w:t>
        </w:r>
        <w:r>
          <w:rPr>
            <w:rStyle w:val="Hyperlink"/>
          </w:rPr>
          <w:t xml:space="preserve">A Long-term Follow-up Study</w:t>
        </w:r>
      </w:hyperlink>
      <w:r>
        <w:t xml:space="preserve">. Pediatrics. 1992 Dec;90(6):855–61.</w:t>
      </w:r>
      <w:r>
        <w:t xml:space="preserve"> </w:t>
      </w:r>
    </w:p>
    <w:bookmarkEnd w:id="76"/>
    <w:bookmarkStart w:id="78" w:name="X9a8bad0b78f43066cb333fdedcdcad5d7017900"/>
    <w:p>
      <w:pPr>
        <w:pStyle w:val="Bibliography"/>
      </w:pPr>
      <w:r>
        <w:t xml:space="preserve">16.</w:t>
      </w:r>
      <w:r>
        <w:t xml:space="preserve"> </w:t>
      </w:r>
      <w:r>
        <w:t xml:space="preserve">	</w:t>
      </w:r>
      <w:r>
        <w:t xml:space="preserve">Lanphear BP, Hornung R, Khoury J, Yolton K, Baghurst P, Bellinger DC, et al.</w:t>
      </w:r>
      <w:r>
        <w:t xml:space="preserve"> </w:t>
      </w:r>
      <w:hyperlink r:id="rId77">
        <w:r>
          <w:rPr>
            <w:rStyle w:val="Hyperlink"/>
          </w:rPr>
          <w:t xml:space="preserve">Low-</w:t>
        </w:r>
        <w:r>
          <w:rPr>
            <w:rStyle w:val="Hyperlink"/>
          </w:rPr>
          <w:t xml:space="preserve">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hyperlink>
      <w:r>
        <w:t xml:space="preserve">. Environmental Health Perspectives. 2005;113(7):894–9.</w:t>
      </w:r>
      <w:r>
        <w:t xml:space="preserve"> </w:t>
      </w:r>
    </w:p>
    <w:bookmarkEnd w:id="78"/>
    <w:bookmarkStart w:id="80" w:name="ref-larsen2023GlobalHealthBurden"/>
    <w:p>
      <w:pPr>
        <w:pStyle w:val="Bibliography"/>
      </w:pPr>
      <w:r>
        <w:t xml:space="preserve">17.</w:t>
      </w:r>
      <w:r>
        <w:t xml:space="preserve"> </w:t>
      </w:r>
      <w:r>
        <w:t xml:space="preserve">	</w:t>
      </w:r>
      <w:r>
        <w:t xml:space="preserve">Larsen B, Sánchez-Triana E.</w:t>
      </w:r>
      <w:r>
        <w:t xml:space="preserve"> </w:t>
      </w:r>
      <w:hyperlink r:id="rId79">
        <w:r>
          <w:rPr>
            <w:rStyle w:val="Hyperlink"/>
          </w:rPr>
          <w:t xml:space="preserve">Global health burden and cost of lead exposure in children and adults: A health impact and economic modelling analysis</w:t>
        </w:r>
      </w:hyperlink>
      <w:r>
        <w:t xml:space="preserve">. The Lancet Planetary Health. 2023;7(10):e831–40.</w:t>
      </w:r>
      <w:r>
        <w:t xml:space="preserve"> </w:t>
      </w:r>
    </w:p>
    <w:bookmarkEnd w:id="80"/>
    <w:bookmarkStart w:id="82" w:name="X5615fc1cb9c455a90da75660348bda09fd0f967"/>
    <w:p>
      <w:pPr>
        <w:pStyle w:val="Bibliography"/>
      </w:pPr>
      <w:r>
        <w:t xml:space="preserve">18.</w:t>
      </w:r>
      <w:r>
        <w:t xml:space="preserve"> </w:t>
      </w:r>
      <w:r>
        <w:t xml:space="preserve">	</w:t>
      </w:r>
      <w:r>
        <w:t xml:space="preserve">EFSA Panel on Contaminants in the Food Chain (CONTAM).</w:t>
      </w:r>
      <w:r>
        <w:t xml:space="preserve"> </w:t>
      </w:r>
      <w:hyperlink r:id="rId81">
        <w:r>
          <w:rPr>
            <w:rStyle w:val="Hyperlink"/>
          </w:rPr>
          <w:t xml:space="preserve">Scientific</w:t>
        </w:r>
        <w:r>
          <w:rPr>
            <w:rStyle w:val="Hyperlink"/>
          </w:rPr>
          <w:t xml:space="preserve"> </w:t>
        </w:r>
        <w:r>
          <w:rPr>
            <w:rStyle w:val="Hyperlink"/>
          </w:rPr>
          <w:t xml:space="preserve">Opinion</w:t>
        </w:r>
        <w:r>
          <w:rPr>
            <w:rStyle w:val="Hyperlink"/>
          </w:rPr>
          <w:t xml:space="preserve"> </w:t>
        </w:r>
        <w:r>
          <w:rPr>
            <w:rStyle w:val="Hyperlink"/>
          </w:rPr>
          <w:t xml:space="preserve">on</w:t>
        </w:r>
        <w:r>
          <w:rPr>
            <w:rStyle w:val="Hyperlink"/>
          </w:rPr>
          <w:t xml:space="preserve"> </w:t>
        </w:r>
        <w:r>
          <w:rPr>
            <w:rStyle w:val="Hyperlink"/>
          </w:rPr>
          <w:t xml:space="preserve">Lead</w:t>
        </w:r>
        <w:r>
          <w:rPr>
            <w:rStyle w:val="Hyperlink"/>
          </w:rPr>
          <w:t xml:space="preserve"> </w:t>
        </w:r>
        <w:r>
          <w:rPr>
            <w:rStyle w:val="Hyperlink"/>
          </w:rPr>
          <w:t xml:space="preserve">in</w:t>
        </w:r>
        <w:r>
          <w:rPr>
            <w:rStyle w:val="Hyperlink"/>
          </w:rPr>
          <w:t xml:space="preserve"> </w:t>
        </w:r>
        <w:r>
          <w:rPr>
            <w:rStyle w:val="Hyperlink"/>
          </w:rPr>
          <w:t xml:space="preserve">Food</w:t>
        </w:r>
      </w:hyperlink>
      <w:r>
        <w:t xml:space="preserve">. EFSA Journal. 2010;8(4):1570.</w:t>
      </w:r>
      <w:r>
        <w:t xml:space="preserve"> </w:t>
      </w:r>
    </w:p>
    <w:bookmarkEnd w:id="82"/>
    <w:bookmarkStart w:id="84" w:name="ref-schwartz1994LowLevelLeadExposurea"/>
    <w:p>
      <w:pPr>
        <w:pStyle w:val="Bibliography"/>
      </w:pPr>
      <w:r>
        <w:t xml:space="preserve">19.</w:t>
      </w:r>
      <w:r>
        <w:t xml:space="preserve"> </w:t>
      </w:r>
      <w:r>
        <w:t xml:space="preserve">	</w:t>
      </w:r>
      <w:r>
        <w:t xml:space="preserve">Schwartz J.</w:t>
      </w:r>
      <w:r>
        <w:t xml:space="preserve"> </w:t>
      </w:r>
      <w:hyperlink r:id="rId83">
        <w:r>
          <w:rPr>
            <w:rStyle w:val="Hyperlink"/>
          </w:rPr>
          <w:t xml:space="preserve">Low-</w:t>
        </w:r>
        <w:r>
          <w:rPr>
            <w:rStyle w:val="Hyperlink"/>
          </w:rPr>
          <w:t xml:space="preserve">Level Lead Exposure</w:t>
        </w:r>
        <w:r>
          <w:rPr>
            <w:rStyle w:val="Hyperlink"/>
          </w:rPr>
          <w:t xml:space="preserve"> </w:t>
        </w:r>
        <w:r>
          <w:rPr>
            <w:rStyle w:val="Hyperlink"/>
          </w:rPr>
          <w:t xml:space="preserve">and</w:t>
        </w:r>
        <w:r>
          <w:rPr>
            <w:rStyle w:val="Hyperlink"/>
          </w:rPr>
          <w:t xml:space="preserve"> </w:t>
        </w:r>
        <w:r>
          <w:rPr>
            <w:rStyle w:val="Hyperlink"/>
          </w:rPr>
          <w:t xml:space="preserve">Children</w:t>
        </w:r>
        <m:oMath>
          <m:r>
            <m:rPr>
              <m:sty m:val="p"/>
            </m:rPr>
            <m:t>′</m:t>
          </m:r>
        </m:oMath>
        <w:r>
          <w:rPr>
            <w:rStyle w:val="Hyperlink"/>
          </w:rPr>
          <w:t xml:space="preserve">s</w:t>
        </w:r>
        <w:r>
          <w:rPr>
            <w:rStyle w:val="Hyperlink"/>
          </w:rPr>
          <w:t xml:space="preserve"> </w:t>
        </w:r>
        <w:r>
          <w:rPr>
            <w:rStyle w:val="Hyperlink"/>
          </w:rPr>
          <w:t xml:space="preserve">IQ</w:t>
        </w:r>
        <w:r>
          <w:rPr>
            <w:rStyle w:val="Hyperlink"/>
          </w:rPr>
          <w:t xml:space="preserve">:</w:t>
        </w:r>
        <w:r>
          <w:rPr>
            <w:rStyle w:val="Hyperlink"/>
          </w:rPr>
          <w:t xml:space="preserve"> </w:t>
        </w:r>
        <w:r>
          <w:rPr>
            <w:rStyle w:val="Hyperlink"/>
          </w:rPr>
          <w:t xml:space="preserve">A Metaanalysis</w:t>
        </w:r>
        <w:r>
          <w:rPr>
            <w:rStyle w:val="Hyperlink"/>
          </w:rPr>
          <w:t xml:space="preserve"> </w:t>
        </w:r>
        <w:r>
          <w:rPr>
            <w:rStyle w:val="Hyperlink"/>
          </w:rPr>
          <w:t xml:space="preserve">and</w:t>
        </w:r>
        <w:r>
          <w:rPr>
            <w:rStyle w:val="Hyperlink"/>
          </w:rPr>
          <w:t xml:space="preserve"> </w:t>
        </w:r>
        <w:r>
          <w:rPr>
            <w:rStyle w:val="Hyperlink"/>
          </w:rPr>
          <w:t xml:space="preserve">Search</w:t>
        </w:r>
        <w:r>
          <w:rPr>
            <w:rStyle w:val="Hyperlink"/>
          </w:rPr>
          <w:t xml:space="preserve"> </w:t>
        </w:r>
        <w:r>
          <w:rPr>
            <w:rStyle w:val="Hyperlink"/>
          </w:rPr>
          <w:t xml:space="preserve">for a</w:t>
        </w:r>
        <w:r>
          <w:rPr>
            <w:rStyle w:val="Hyperlink"/>
          </w:rPr>
          <w:t xml:space="preserve"> </w:t>
        </w:r>
        <w:r>
          <w:rPr>
            <w:rStyle w:val="Hyperlink"/>
          </w:rPr>
          <w:t xml:space="preserve">Threshold</w:t>
        </w:r>
      </w:hyperlink>
      <w:r>
        <w:t xml:space="preserve">. Environmental Research. 1994 Apr;65(1):42–55.</w:t>
      </w:r>
      <w:r>
        <w:t xml:space="preserve"> </w:t>
      </w:r>
    </w:p>
    <w:bookmarkEnd w:id="84"/>
    <w:bookmarkStart w:id="86" w:name="Xa2086c2c3f6a9ac4b676f66b1cdbbd5efdb3b23"/>
    <w:p>
      <w:pPr>
        <w:pStyle w:val="Bibliography"/>
      </w:pPr>
      <w:r>
        <w:t xml:space="preserve">20.</w:t>
      </w:r>
      <w:r>
        <w:t xml:space="preserve"> </w:t>
      </w:r>
      <w:r>
        <w:t xml:space="preserve">	</w:t>
      </w:r>
      <w:r>
        <w:t xml:space="preserve">Canfield RL, Henderson CR, Cory-Slechta DA, Cox C, Jusko TA, Lanphear BP.</w:t>
      </w:r>
      <w:r>
        <w:t xml:space="preserve"> </w:t>
      </w:r>
      <w:hyperlink r:id="rId85">
        <w:r>
          <w:rPr>
            <w:rStyle w:val="Hyperlink"/>
          </w:rPr>
          <w:t xml:space="preserve">Intellectual</w:t>
        </w:r>
        <w:r>
          <w:rPr>
            <w:rStyle w:val="Hyperlink"/>
          </w:rPr>
          <w:t xml:space="preserve"> </w:t>
        </w:r>
        <w:r>
          <w:rPr>
            <w:rStyle w:val="Hyperlink"/>
          </w:rPr>
          <w:t xml:space="preserve">Impairment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Blood Lead Concentrations</w:t>
        </w:r>
        <w:r>
          <w:rPr>
            <w:rStyle w:val="Hyperlink"/>
          </w:rPr>
          <w:t xml:space="preserve"> </w:t>
        </w:r>
        <w:r>
          <w:rPr>
            <w:rStyle w:val="Hyperlink"/>
          </w:rPr>
          <w:t xml:space="preserve">below 10</w:t>
        </w:r>
        <w:r>
          <w:rPr>
            <w:rStyle w:val="Hyperlink"/>
          </w:rPr>
          <w:t xml:space="preserve"> </w:t>
        </w:r>
        <m:oMath>
          <m:r>
            <m:t>μ</m:t>
          </m:r>
        </m:oMath>
        <w:r>
          <w:rPr>
            <w:rStyle w:val="Hyperlink"/>
          </w:rPr>
          <w:t xml:space="preserve">g per</w:t>
        </w:r>
        <w:r>
          <w:rPr>
            <w:rStyle w:val="Hyperlink"/>
          </w:rPr>
          <w:t xml:space="preserve"> </w:t>
        </w:r>
        <w:r>
          <w:rPr>
            <w:rStyle w:val="Hyperlink"/>
          </w:rPr>
          <w:t xml:space="preserve">Deciliter</w:t>
        </w:r>
      </w:hyperlink>
      <w:r>
        <w:t xml:space="preserve">. N Engl J Med. 2003 Apr;348(16):1517–26.</w:t>
      </w:r>
      <w:r>
        <w:t xml:space="preserve"> </w:t>
      </w:r>
    </w:p>
    <w:bookmarkEnd w:id="86"/>
    <w:bookmarkStart w:id="88" w:name="X93c1fc7f8e1220d02cbab90c02ac44248f2b23e"/>
    <w:p>
      <w:pPr>
        <w:pStyle w:val="Bibliography"/>
      </w:pPr>
      <w:r>
        <w:t xml:space="preserve">21.</w:t>
      </w:r>
      <w:r>
        <w:t xml:space="preserve"> </w:t>
      </w:r>
      <w:r>
        <w:t xml:space="preserve">	</w:t>
      </w:r>
      <w:r>
        <w:t xml:space="preserve">Carrington C, Devleesschauwer B, Gibb HJ, Bolger PM.</w:t>
      </w:r>
      <w:r>
        <w:t xml:space="preserve"> </w:t>
      </w:r>
      <w:hyperlink r:id="rId87">
        <w:r>
          <w:rPr>
            <w:rStyle w:val="Hyperlink"/>
          </w:rPr>
          <w:t xml:space="preserve">Global burden of intellectual disability resulting from dietary exposure to lead, 2015</w:t>
        </w:r>
      </w:hyperlink>
      <w:r>
        <w:t xml:space="preserve">. Environmental Research. 2019;172:420–9.</w:t>
      </w:r>
      <w:r>
        <w:t xml:space="preserve"> </w:t>
      </w:r>
    </w:p>
    <w:bookmarkEnd w:id="88"/>
    <w:bookmarkStart w:id="90" w:name="ref-figueroa2024LossCognitiveFunction"/>
    <w:p>
      <w:pPr>
        <w:pStyle w:val="Bibliography"/>
      </w:pPr>
      <w:r>
        <w:t xml:space="preserve">22.</w:t>
      </w:r>
      <w:r>
        <w:t xml:space="preserve"> </w:t>
      </w:r>
      <w:r>
        <w:t xml:space="preserve">	</w:t>
      </w:r>
      <w:r>
        <w:t xml:space="preserve">Figueroa JL, Rodríguez-Atristain A, Bautista-Arredondo LF, Treviño CL, Martínez MR, Valdivia BT, et al.</w:t>
      </w:r>
      <w:r>
        <w:t xml:space="preserve"> </w:t>
      </w:r>
      <w:hyperlink r:id="rId89">
        <w:r>
          <w:rPr>
            <w:rStyle w:val="Hyperlink"/>
          </w:rPr>
          <w:t xml:space="preserve">Loss of cognitive function in</w:t>
        </w:r>
        <w:r>
          <w:rPr>
            <w:rStyle w:val="Hyperlink"/>
          </w:rPr>
          <w:t xml:space="preserve"> </w:t>
        </w:r>
        <w:r>
          <w:rPr>
            <w:rStyle w:val="Hyperlink"/>
          </w:rPr>
          <w:t xml:space="preserve">Mexican</w:t>
        </w:r>
        <w:r>
          <w:rPr>
            <w:rStyle w:val="Hyperlink"/>
          </w:rPr>
          <w:t xml:space="preserve"> </w:t>
        </w:r>
        <w:r>
          <w:rPr>
            <w:rStyle w:val="Hyperlink"/>
          </w:rPr>
          <w:t xml:space="preserve">children due to lead exposure and the associated economic costs</w:t>
        </w:r>
      </w:hyperlink>
      <w:r>
        <w:t xml:space="preserve">. Environmental Research. 2024 Dec;263:120013.</w:t>
      </w:r>
      <w:r>
        <w:t xml:space="preserve"> </w:t>
      </w:r>
    </w:p>
    <w:bookmarkEnd w:id="90"/>
    <w:bookmarkStart w:id="92" w:name="ref-mcfarland2022HalfUSPopulation"/>
    <w:p>
      <w:pPr>
        <w:pStyle w:val="Bibliography"/>
      </w:pPr>
      <w:r>
        <w:t xml:space="preserve">23.</w:t>
      </w:r>
      <w:r>
        <w:t xml:space="preserve"> </w:t>
      </w:r>
      <w:r>
        <w:t xml:space="preserve">	</w:t>
      </w:r>
      <w:r>
        <w:t xml:space="preserve">McFarland MJ, Hauer ME, Reuben A.</w:t>
      </w:r>
      <w:r>
        <w:t xml:space="preserve"> </w:t>
      </w:r>
      <w:hyperlink r:id="rId91">
        <w:r>
          <w:rPr>
            <w:rStyle w:val="Hyperlink"/>
          </w:rPr>
          <w:t xml:space="preserve">Half of</w:t>
        </w:r>
        <w:r>
          <w:rPr>
            <w:rStyle w:val="Hyperlink"/>
          </w:rPr>
          <w:t xml:space="preserve"> </w:t>
        </w:r>
        <w:r>
          <w:rPr>
            <w:rStyle w:val="Hyperlink"/>
          </w:rPr>
          <w:t xml:space="preserve">US</w:t>
        </w:r>
        <w:r>
          <w:rPr>
            <w:rStyle w:val="Hyperlink"/>
          </w:rPr>
          <w:t xml:space="preserve"> </w:t>
        </w:r>
        <w:r>
          <w:rPr>
            <w:rStyle w:val="Hyperlink"/>
          </w:rPr>
          <w:t xml:space="preserve">population exposed to adverse lead levels in early childhood</w:t>
        </w:r>
      </w:hyperlink>
      <w:r>
        <w:t xml:space="preserve">. Proc Natl Acad Sci USA. 2022 Mar;119(11):e2118631119.</w:t>
      </w:r>
      <w:r>
        <w:t xml:space="preserve"> </w:t>
      </w:r>
    </w:p>
    <w:bookmarkEnd w:id="92"/>
    <w:bookmarkStart w:id="94" w:name="ref-crump2013StatisticalReevaluationData"/>
    <w:p>
      <w:pPr>
        <w:pStyle w:val="Bibliography"/>
      </w:pPr>
      <w:r>
        <w:t xml:space="preserve">24.</w:t>
      </w:r>
      <w:r>
        <w:t xml:space="preserve"> </w:t>
      </w:r>
      <w:r>
        <w:t xml:space="preserve">	</w:t>
      </w:r>
      <w:r>
        <w:t xml:space="preserve">Crump KS, Van Landingham C, Bowers TS, Cahoy D, Chandalia JK.</w:t>
      </w:r>
      <w:r>
        <w:t xml:space="preserve"> </w:t>
      </w:r>
      <w:hyperlink r:id="rId93">
        <w:r>
          <w:rPr>
            <w:rStyle w:val="Hyperlink"/>
          </w:rPr>
          <w:t xml:space="preserve">A statistical reevaluation of the data used in the</w:t>
        </w:r>
        <w:r>
          <w:rPr>
            <w:rStyle w:val="Hyperlink"/>
          </w:rPr>
          <w:t xml:space="preserve"> </w:t>
        </w:r>
        <w:r>
          <w:rPr>
            <w:rStyle w:val="Hyperlink"/>
          </w:rPr>
          <w:t xml:space="preserve">Lanphear</w:t>
        </w:r>
        <w:r>
          <w:rPr>
            <w:rStyle w:val="Hyperlink"/>
          </w:rPr>
          <w:t xml:space="preserve"> </w:t>
        </w:r>
        <w:r>
          <w:rPr>
            <w:rStyle w:val="Hyperlink"/>
          </w:rPr>
          <w:t xml:space="preserve">et al. ( 2005 ) pooled-analysis that related low levels of blood lead to intellectual deficits in children</w:t>
        </w:r>
      </w:hyperlink>
      <w:r>
        <w:t xml:space="preserve">. Crit Rev Toxicol. 2013;43(9):785–99.</w:t>
      </w:r>
      <w:r>
        <w:t xml:space="preserve"> </w:t>
      </w:r>
    </w:p>
    <w:bookmarkEnd w:id="94"/>
    <w:bookmarkStart w:id="96" w:name="X33f03e29791f20cdbbbbf0729c723b16e55ed16"/>
    <w:p>
      <w:pPr>
        <w:pStyle w:val="Bibliography"/>
      </w:pPr>
      <w:r>
        <w:t xml:space="preserve">25.</w:t>
      </w:r>
      <w:r>
        <w:t xml:space="preserve"> </w:t>
      </w:r>
      <w:r>
        <w:t xml:space="preserve">	</w:t>
      </w:r>
      <w:r>
        <w:t xml:space="preserve">Lanphear BP, Hornung R, Khoury J, Yolton K, Baghurst P, Bellinger DC, et al.</w:t>
      </w:r>
      <w:r>
        <w:t xml:space="preserve"> </w:t>
      </w:r>
      <w:hyperlink r:id="rId95">
        <w:r>
          <w:rPr>
            <w:rStyle w:val="Hyperlink"/>
          </w:rPr>
          <w:t xml:space="preserve">Erratum:</w:t>
        </w:r>
        <w:r>
          <w:rPr>
            <w:rStyle w:val="Hyperlink"/>
          </w:rPr>
          <w:t xml:space="preserve"> </w:t>
        </w:r>
        <w:r>
          <w:rPr>
            <w:rStyle w:val="Hyperlink"/>
          </w:rPr>
          <w:t xml:space="preserve">“</w:t>
        </w:r>
        <w:r>
          <w:rPr>
            <w:rStyle w:val="Hyperlink"/>
          </w:rPr>
          <w:t xml:space="preserve">Low-Level Environmental Lead Exposure</w:t>
        </w:r>
        <w:r>
          <w:rPr>
            <w:rStyle w:val="Hyperlink"/>
          </w:rPr>
          <w:t xml:space="preserve"> </w:t>
        </w:r>
        <w:r>
          <w:rPr>
            <w:rStyle w:val="Hyperlink"/>
          </w:rPr>
          <w:t xml:space="preserve">and</w:t>
        </w:r>
        <w:r>
          <w:rPr>
            <w:rStyle w:val="Hyperlink"/>
          </w:rPr>
          <w:t xml:space="preserve"> </w:t>
        </w:r>
        <w:r>
          <w:rPr>
            <w:rStyle w:val="Hyperlink"/>
          </w:rPr>
          <w:t xml:space="preserve">Children</w:t>
        </w:r>
        <w:r>
          <w:rPr>
            <w:rStyle w:val="Hyperlink"/>
          </w:rPr>
          <w:t xml:space="preserve">’s</w:t>
        </w:r>
        <w:r>
          <w:rPr>
            <w:rStyle w:val="Hyperlink"/>
          </w:rPr>
          <w:t xml:space="preserve"> </w:t>
        </w:r>
        <w:r>
          <w:rPr>
            <w:rStyle w:val="Hyperlink"/>
          </w:rPr>
          <w:t xml:space="preserve">Intellectual Function</w:t>
        </w:r>
        <w:r>
          <w:rPr>
            <w:rStyle w:val="Hyperlink"/>
          </w:rPr>
          <w:t xml:space="preserve">:</w:t>
        </w:r>
        <w:r>
          <w:rPr>
            <w:rStyle w:val="Hyperlink"/>
          </w:rPr>
          <w:t xml:space="preserve"> </w:t>
        </w:r>
        <w:r>
          <w:rPr>
            <w:rStyle w:val="Hyperlink"/>
          </w:rPr>
          <w:t xml:space="preserve">An International Pooled Analysis</w:t>
        </w:r>
        <w:r>
          <w:rPr>
            <w:rStyle w:val="Hyperlink"/>
          </w:rPr>
          <w:t xml:space="preserve">”</w:t>
        </w:r>
      </w:hyperlink>
      <w:r>
        <w:t xml:space="preserve">. Environ Health Perspect. 2019 Sep;127(9):099001.</w:t>
      </w:r>
      <w:r>
        <w:t xml:space="preserve"> </w:t>
      </w:r>
    </w:p>
    <w:bookmarkEnd w:id="96"/>
    <w:bookmarkStart w:id="98" w:name="X99fa6bd9cd2521340285769f289a6c9d4bfe17b"/>
    <w:p>
      <w:pPr>
        <w:pStyle w:val="Bibliography"/>
      </w:pPr>
      <w:r>
        <w:t xml:space="preserve">26.</w:t>
      </w:r>
      <w:r>
        <w:t xml:space="preserve"> </w:t>
      </w:r>
      <w:r>
        <w:t xml:space="preserve">	</w:t>
      </w:r>
      <w:r>
        <w:t xml:space="preserve">Thompson B.</w:t>
      </w:r>
      <w:r>
        <w:t xml:space="preserve"> </w:t>
      </w:r>
      <w:hyperlink r:id="rId97">
        <w:r>
          <w:rPr>
            <w:rStyle w:val="Hyperlink"/>
          </w:rPr>
          <w:t xml:space="preserve">Stepwise</w:t>
        </w:r>
        <w:r>
          <w:rPr>
            <w:rStyle w:val="Hyperlink"/>
          </w:rPr>
          <w:t xml:space="preserve"> </w:t>
        </w:r>
        <w:r>
          <w:rPr>
            <w:rStyle w:val="Hyperlink"/>
          </w:rPr>
          <w:t xml:space="preserve">Regression</w:t>
        </w:r>
        <w:r>
          <w:rPr>
            <w:rStyle w:val="Hyperlink"/>
          </w:rPr>
          <w:t xml:space="preserve"> </w:t>
        </w:r>
        <w:r>
          <w:rPr>
            <w:rStyle w:val="Hyperlink"/>
          </w:rPr>
          <w:t xml:space="preserve">and</w:t>
        </w:r>
        <w:r>
          <w:rPr>
            <w:rStyle w:val="Hyperlink"/>
          </w:rPr>
          <w:t xml:space="preserve"> </w:t>
        </w:r>
        <w:r>
          <w:rPr>
            <w:rStyle w:val="Hyperlink"/>
          </w:rPr>
          <w:t xml:space="preserve">Stepwise Discriminant Analysis Need Not Apply</w:t>
        </w:r>
        <w:r>
          <w:rPr>
            <w:rStyle w:val="Hyperlink"/>
          </w:rPr>
          <w:t xml:space="preserve"> </w:t>
        </w:r>
        <w:r>
          <w:rPr>
            <w:rStyle w:val="Hyperlink"/>
          </w:rPr>
          <w:t xml:space="preserve">here:</w:t>
        </w:r>
        <w:r>
          <w:rPr>
            <w:rStyle w:val="Hyperlink"/>
          </w:rPr>
          <w:t xml:space="preserve"> </w:t>
        </w:r>
        <w:r>
          <w:rPr>
            <w:rStyle w:val="Hyperlink"/>
          </w:rPr>
          <w:t xml:space="preserve">A Guidelines Editorial</w:t>
        </w:r>
      </w:hyperlink>
      <w:r>
        <w:t xml:space="preserve">. Educational and Psychological Measurement. 1995 Aug;55(4):525–34.</w:t>
      </w:r>
      <w:r>
        <w:t xml:space="preserve"> </w:t>
      </w:r>
    </w:p>
    <w:bookmarkEnd w:id="98"/>
    <w:bookmarkStart w:id="100" w:name="Xec30ec7c912152a14c0f622040312567154bf15"/>
    <w:p>
      <w:pPr>
        <w:pStyle w:val="Bibliography"/>
      </w:pPr>
      <w:r>
        <w:t xml:space="preserve">27.</w:t>
      </w:r>
      <w:r>
        <w:t xml:space="preserve"> </w:t>
      </w:r>
      <w:r>
        <w:t xml:space="preserve">	</w:t>
      </w:r>
      <w:r>
        <w:t xml:space="preserve">Harrell FE.</w:t>
      </w:r>
      <w:r>
        <w:t xml:space="preserve"> </w:t>
      </w:r>
      <w:hyperlink r:id="rId99">
        <w:r>
          <w:rPr>
            <w:rStyle w:val="Hyperlink"/>
          </w:rPr>
          <w:t xml:space="preserve">Regression</w:t>
        </w:r>
        <w:r>
          <w:rPr>
            <w:rStyle w:val="Hyperlink"/>
          </w:rPr>
          <w:t xml:space="preserve"> </w:t>
        </w:r>
        <w:r>
          <w:rPr>
            <w:rStyle w:val="Hyperlink"/>
          </w:rPr>
          <w:t xml:space="preserve">Modeling Strategies</w:t>
        </w:r>
        <w:r>
          <w:rPr>
            <w:rStyle w:val="Hyperlink"/>
          </w:rPr>
          <w:t xml:space="preserve">:</w:t>
        </w:r>
        <w:r>
          <w:rPr>
            <w:rStyle w:val="Hyperlink"/>
          </w:rPr>
          <w:t xml:space="preserve"> </w:t>
        </w:r>
        <w:r>
          <w:rPr>
            <w:rStyle w:val="Hyperlink"/>
          </w:rPr>
          <w:t xml:space="preserve">With Applications</w:t>
        </w:r>
        <w:r>
          <w:rPr>
            <w:rStyle w:val="Hyperlink"/>
          </w:rPr>
          <w:t xml:space="preserve"> </w:t>
        </w:r>
        <w:r>
          <w:rPr>
            <w:rStyle w:val="Hyperlink"/>
          </w:rPr>
          <w:t xml:space="preserve">to</w:t>
        </w:r>
        <w:r>
          <w:rPr>
            <w:rStyle w:val="Hyperlink"/>
          </w:rPr>
          <w:t xml:space="preserve"> </w:t>
        </w:r>
        <w:r>
          <w:rPr>
            <w:rStyle w:val="Hyperlink"/>
          </w:rPr>
          <w:t xml:space="preserve">Linear Models</w:t>
        </w:r>
        <w:r>
          <w:rPr>
            <w:rStyle w:val="Hyperlink"/>
          </w:rPr>
          <w:t xml:space="preserve">,</w:t>
        </w:r>
        <w:r>
          <w:rPr>
            <w:rStyle w:val="Hyperlink"/>
          </w:rPr>
          <w:t xml:space="preserve"> </w:t>
        </w:r>
        <w:r>
          <w:rPr>
            <w:rStyle w:val="Hyperlink"/>
          </w:rPr>
          <w:t xml:space="preserve">Logistic</w:t>
        </w:r>
        <w:r>
          <w:rPr>
            <w:rStyle w:val="Hyperlink"/>
          </w:rPr>
          <w:t xml:space="preserve"> </w:t>
        </w:r>
        <w:r>
          <w:rPr>
            <w:rStyle w:val="Hyperlink"/>
          </w:rPr>
          <w:t xml:space="preserve">and</w:t>
        </w:r>
        <w:r>
          <w:rPr>
            <w:rStyle w:val="Hyperlink"/>
          </w:rPr>
          <w:t xml:space="preserve"> </w:t>
        </w:r>
        <w:r>
          <w:rPr>
            <w:rStyle w:val="Hyperlink"/>
          </w:rPr>
          <w:t xml:space="preserve">Ordinal Regression</w:t>
        </w:r>
        <w:r>
          <w:rPr>
            <w:rStyle w:val="Hyperlink"/>
          </w:rPr>
          <w:t xml:space="preserve">, and</w:t>
        </w:r>
        <w:r>
          <w:rPr>
            <w:rStyle w:val="Hyperlink"/>
          </w:rPr>
          <w:t xml:space="preserve"> </w:t>
        </w:r>
        <w:r>
          <w:rPr>
            <w:rStyle w:val="Hyperlink"/>
          </w:rPr>
          <w:t xml:space="preserve">Survival Analysis</w:t>
        </w:r>
      </w:hyperlink>
      <w:r>
        <w:t xml:space="preserve">. Cham: Springer International Publishing; 2015. (Springer</w:t>
      </w:r>
      <w:r>
        <w:t xml:space="preserve"> </w:t>
      </w:r>
      <w:r>
        <w:t xml:space="preserve">Series</w:t>
      </w:r>
      <w:r>
        <w:t xml:space="preserve"> </w:t>
      </w:r>
      <w:r>
        <w:t xml:space="preserve">in</w:t>
      </w:r>
      <w:r>
        <w:t xml:space="preserve"> </w:t>
      </w:r>
      <w:r>
        <w:t xml:space="preserve">Statistics</w:t>
      </w:r>
      <w:r>
        <w:t xml:space="preserve">).</w:t>
      </w:r>
      <w:r>
        <w:t xml:space="preserve"> </w:t>
      </w:r>
    </w:p>
    <w:bookmarkEnd w:id="100"/>
    <w:bookmarkStart w:id="102" w:name="ref-smith2018StepAwayStepwise"/>
    <w:p>
      <w:pPr>
        <w:pStyle w:val="Bibliography"/>
      </w:pPr>
      <w:r>
        <w:t xml:space="preserve">28.</w:t>
      </w:r>
      <w:r>
        <w:t xml:space="preserve"> </w:t>
      </w:r>
      <w:r>
        <w:t xml:space="preserve">	</w:t>
      </w:r>
      <w:r>
        <w:t xml:space="preserve">Smith G.</w:t>
      </w:r>
      <w:r>
        <w:t xml:space="preserve"> </w:t>
      </w:r>
      <w:hyperlink r:id="rId101">
        <w:r>
          <w:rPr>
            <w:rStyle w:val="Hyperlink"/>
          </w:rPr>
          <w:t xml:space="preserve">Step away from stepwise</w:t>
        </w:r>
      </w:hyperlink>
      <w:r>
        <w:t xml:space="preserve">. J Big Data. 2018 Dec;5(1):32.</w:t>
      </w:r>
      <w:r>
        <w:t xml:space="preserve"> </w:t>
      </w:r>
    </w:p>
    <w:bookmarkEnd w:id="102"/>
    <w:bookmarkStart w:id="104" w:name="X035620408d1fb22c7ed381e74f0468c30df4612"/>
    <w:p>
      <w:pPr>
        <w:pStyle w:val="Bibliography"/>
      </w:pPr>
      <w:r>
        <w:t xml:space="preserve">29.</w:t>
      </w:r>
      <w:r>
        <w:t xml:space="preserve"> </w:t>
      </w:r>
      <w:r>
        <w:t xml:space="preserve">	</w:t>
      </w:r>
      <w:r>
        <w:t xml:space="preserve">Grant R, Di Tanna GL.</w:t>
      </w:r>
      <w:r>
        <w:t xml:space="preserve"> </w:t>
      </w:r>
      <w:hyperlink r:id="rId103">
        <w:r>
          <w:rPr>
            <w:rStyle w:val="Hyperlink"/>
          </w:rPr>
          <w:t xml:space="preserve">Bayesian</w:t>
        </w:r>
        <w:r>
          <w:rPr>
            <w:rStyle w:val="Hyperlink"/>
          </w:rPr>
          <w:t xml:space="preserve"> </w:t>
        </w:r>
        <w:r>
          <w:rPr>
            <w:rStyle w:val="Hyperlink"/>
          </w:rPr>
          <w:t xml:space="preserve">Meta-Analysis</w:t>
        </w:r>
        <w:r>
          <w:rPr>
            <w:rStyle w:val="Hyperlink"/>
          </w:rPr>
          <w:t xml:space="preserve">:</w:t>
        </w:r>
        <w:r>
          <w:rPr>
            <w:rStyle w:val="Hyperlink"/>
          </w:rPr>
          <w:t xml:space="preserve"> </w:t>
        </w:r>
        <w:r>
          <w:rPr>
            <w:rStyle w:val="Hyperlink"/>
          </w:rPr>
          <w:t xml:space="preserve">A Practical Introduction</w:t>
        </w:r>
      </w:hyperlink>
      <w:r>
        <w:t xml:space="preserve">. 1st ed. Boca Raton:</w:t>
      </w:r>
      <w:r>
        <w:t xml:space="preserve"> </w:t>
      </w:r>
      <w:r>
        <w:t xml:space="preserve">Chapman and Hall/CRC</w:t>
      </w:r>
      <w:r>
        <w:t xml:space="preserve">; 2025.</w:t>
      </w:r>
      <w:r>
        <w:t xml:space="preserve"> </w:t>
      </w:r>
    </w:p>
    <w:bookmarkEnd w:id="104"/>
    <w:bookmarkStart w:id="106" w:name="X837f91f784566061977da85c17a5755a81dedde"/>
    <w:p>
      <w:pPr>
        <w:pStyle w:val="Bibliography"/>
      </w:pPr>
      <w:r>
        <w:t xml:space="preserve">30.</w:t>
      </w:r>
      <w:r>
        <w:t xml:space="preserve"> </w:t>
      </w:r>
      <w:r>
        <w:t xml:space="preserve">	</w:t>
      </w:r>
      <w:r>
        <w:t xml:space="preserve">Hoekstra R, Morey RD, Rouder JN, Wagenmakers EJ.</w:t>
      </w:r>
      <w:r>
        <w:t xml:space="preserve"> </w:t>
      </w:r>
      <w:hyperlink r:id="rId105">
        <w:r>
          <w:rPr>
            <w:rStyle w:val="Hyperlink"/>
          </w:rPr>
          <w:t xml:space="preserve">Robust misinterpretation of confidence intervals</w:t>
        </w:r>
      </w:hyperlink>
      <w:r>
        <w:t xml:space="preserve">. Psychon Bull Rev. 2014 Oct;21(5):1157–64.</w:t>
      </w:r>
      <w:r>
        <w:t xml:space="preserve"> </w:t>
      </w:r>
    </w:p>
    <w:bookmarkEnd w:id="106"/>
    <w:bookmarkStart w:id="108" w:name="ref-page2021PRISMA2020Statement"/>
    <w:p>
      <w:pPr>
        <w:pStyle w:val="Bibliography"/>
      </w:pPr>
      <w:r>
        <w:t xml:space="preserve">31.</w:t>
      </w:r>
      <w:r>
        <w:t xml:space="preserve"> </w:t>
      </w:r>
      <w:r>
        <w:t xml:space="preserve">	</w:t>
      </w:r>
      <w:r>
        <w:t xml:space="preserve">Page MJ, McKenzie JE, Bossuyt PM, Boutron I, Hoffmann TC, Mulrow CD, et al.</w:t>
      </w:r>
      <w:r>
        <w:t xml:space="preserve"> </w:t>
      </w:r>
      <w:hyperlink r:id="rId107">
        <w:r>
          <w:rPr>
            <w:rStyle w:val="Hyperlink"/>
          </w:rPr>
          <w:t xml:space="preserve">The</w:t>
        </w:r>
        <w:r>
          <w:rPr>
            <w:rStyle w:val="Hyperlink"/>
          </w:rPr>
          <w:t xml:space="preserve"> </w:t>
        </w:r>
        <w:r>
          <w:rPr>
            <w:rStyle w:val="Hyperlink"/>
          </w:rPr>
          <w:t xml:space="preserve">PRISMA</w:t>
        </w:r>
        <w:r>
          <w:rPr>
            <w:rStyle w:val="Hyperlink"/>
          </w:rPr>
          <w:t xml:space="preserve"> </w:t>
        </w:r>
        <w:r>
          <w:rPr>
            <w:rStyle w:val="Hyperlink"/>
          </w:rPr>
          <w:t xml:space="preserve">2020 statement: An updated guideline for reporting systematic reviews</w:t>
        </w:r>
      </w:hyperlink>
      <w:r>
        <w:t xml:space="preserve">. BMJ. 2021 Mar;n71.</w:t>
      </w:r>
      <w:r>
        <w:t xml:space="preserve"> </w:t>
      </w:r>
    </w:p>
    <w:bookmarkEnd w:id="108"/>
    <w:bookmarkStart w:id="110" w:name="X5cae6442bbe0e1f5d8df6cd5008aab2dbfb65a6"/>
    <w:p>
      <w:pPr>
        <w:pStyle w:val="Bibliography"/>
      </w:pPr>
      <w:r>
        <w:t xml:space="preserve">32.</w:t>
      </w:r>
      <w:r>
        <w:t xml:space="preserve"> </w:t>
      </w:r>
      <w:r>
        <w:t xml:space="preserve">	</w:t>
      </w:r>
      <w:r>
        <w:t xml:space="preserve">Kruschke JK.</w:t>
      </w:r>
      <w:r>
        <w:t xml:space="preserve"> </w:t>
      </w:r>
      <w:hyperlink r:id="rId109">
        <w:r>
          <w:rPr>
            <w:rStyle w:val="Hyperlink"/>
          </w:rPr>
          <w:t xml:space="preserve">Bayesian</w:t>
        </w:r>
        <w:r>
          <w:rPr>
            <w:rStyle w:val="Hyperlink"/>
          </w:rPr>
          <w:t xml:space="preserve"> </w:t>
        </w:r>
        <w:r>
          <w:rPr>
            <w:rStyle w:val="Hyperlink"/>
          </w:rPr>
          <w:t xml:space="preserve">Analysis Reporting Guidelines</w:t>
        </w:r>
      </w:hyperlink>
      <w:r>
        <w:t xml:space="preserve">. Nat Hum Behav. 2021 Aug;5(10):1282–91.</w:t>
      </w:r>
      <w:r>
        <w:t xml:space="preserve"> </w:t>
      </w:r>
    </w:p>
    <w:bookmarkEnd w:id="110"/>
    <w:bookmarkStart w:id="112" w:name="ref-plate2024DevelopmentToolRapid"/>
    <w:p>
      <w:pPr>
        <w:pStyle w:val="Bibliography"/>
      </w:pPr>
      <w:r>
        <w:t xml:space="preserve">33.</w:t>
      </w:r>
      <w:r>
        <w:t xml:space="preserve"> </w:t>
      </w:r>
      <w:r>
        <w:t xml:space="preserve">	</w:t>
      </w:r>
      <w:r>
        <w:t xml:space="preserve">Plate K, Knüppel S, Hornbacher A, Greiner M, Müller-Graf C.</w:t>
      </w:r>
      <w:r>
        <w:t xml:space="preserve"> </w:t>
      </w:r>
      <w:hyperlink r:id="rId111">
        <w:r>
          <w:rPr>
            <w:rStyle w:val="Hyperlink"/>
          </w:rPr>
          <w:t xml:space="preserve">Development of a tool for rapid assessment of the evidence of human observational epidemiological studies with focus on risk of bias in the context of public health and risk assessment</w:t>
        </w:r>
      </w:hyperlink>
      <w:r>
        <w:t xml:space="preserve">. EFS3. 2024 Jul;21(7).</w:t>
      </w:r>
      <w:r>
        <w:t xml:space="preserve"> </w:t>
      </w:r>
    </w:p>
    <w:bookmarkEnd w:id="112"/>
    <w:bookmarkStart w:id="114" w:name="ref-halabicky2023LowLevelLead"/>
    <w:p>
      <w:pPr>
        <w:pStyle w:val="Bibliography"/>
      </w:pPr>
      <w:r>
        <w:t xml:space="preserve">34.</w:t>
      </w:r>
      <w:r>
        <w:t xml:space="preserve"> </w:t>
      </w:r>
      <w:r>
        <w:t xml:space="preserve">	</w:t>
      </w:r>
      <w:r>
        <w:t xml:space="preserve">Halabicky OM, Pinto-Martin JA, Compton P, Liu J.</w:t>
      </w:r>
      <w:r>
        <w:t xml:space="preserve"> </w:t>
      </w:r>
      <w:hyperlink r:id="rId113">
        <w:r>
          <w:rPr>
            <w:rStyle w:val="Hyperlink"/>
          </w:rPr>
          <w:t xml:space="preserve">Low level lead exposure in early childhood and parental education on adolescent</w:t>
        </w:r>
        <w:r>
          <w:rPr>
            <w:rStyle w:val="Hyperlink"/>
          </w:rPr>
          <w:t xml:space="preserve"> </w:t>
        </w:r>
        <w:r>
          <w:rPr>
            <w:rStyle w:val="Hyperlink"/>
          </w:rPr>
          <w:t xml:space="preserve">IQ</w:t>
        </w:r>
        <w:r>
          <w:rPr>
            <w:rStyle w:val="Hyperlink"/>
          </w:rPr>
          <w:t xml:space="preserve"> </w:t>
        </w:r>
        <w:r>
          <w:rPr>
            <w:rStyle w:val="Hyperlink"/>
          </w:rPr>
          <w:t xml:space="preserve">and working memory: A cohort study</w:t>
        </w:r>
      </w:hyperlink>
      <w:r>
        <w:t xml:space="preserve">. Journal of Exposure Science &amp; Environmental Epidemiology. 2023;33(2):168–76.</w:t>
      </w:r>
      <w:r>
        <w:t xml:space="preserve"> </w:t>
      </w:r>
    </w:p>
    <w:bookmarkEnd w:id="114"/>
    <w:bookmarkStart w:id="116" w:name="ref-chen2005IQBloodLead"/>
    <w:p>
      <w:pPr>
        <w:pStyle w:val="Bibliography"/>
      </w:pPr>
      <w:r>
        <w:t xml:space="preserve">35.</w:t>
      </w:r>
      <w:r>
        <w:t xml:space="preserve"> </w:t>
      </w:r>
      <w:r>
        <w:t xml:space="preserve">	</w:t>
      </w:r>
      <w:r>
        <w:t xml:space="preserve">Chen A, Dietrich KN, Ware JH, Radcliffe J, Rogan WJ.</w:t>
      </w:r>
      <w:r>
        <w:t xml:space="preserve"> </w:t>
      </w:r>
      <w:hyperlink r:id="rId115">
        <w:r>
          <w:rPr>
            <w:rStyle w:val="Hyperlink"/>
          </w:rPr>
          <w:t xml:space="preserve">IQ</w:t>
        </w:r>
        <w:r>
          <w:rPr>
            <w:rStyle w:val="Hyperlink"/>
          </w:rPr>
          <w:t xml:space="preserve"> </w:t>
        </w:r>
        <w:r>
          <w:rPr>
            <w:rStyle w:val="Hyperlink"/>
          </w:rPr>
          <w:t xml:space="preserve">and</w:t>
        </w:r>
        <w:r>
          <w:rPr>
            <w:rStyle w:val="Hyperlink"/>
          </w:rPr>
          <w:t xml:space="preserve"> </w:t>
        </w:r>
        <w:r>
          <w:rPr>
            <w:rStyle w:val="Hyperlink"/>
          </w:rPr>
          <w:t xml:space="preserve">Blood Lead</w:t>
        </w:r>
        <w:r>
          <w:rPr>
            <w:rStyle w:val="Hyperlink"/>
          </w:rPr>
          <w:t xml:space="preserve"> </w:t>
        </w:r>
        <w:r>
          <w:rPr>
            <w:rStyle w:val="Hyperlink"/>
          </w:rPr>
          <w:t xml:space="preserve">from 2 to 7</w:t>
        </w:r>
        <w:r>
          <w:rPr>
            <w:rStyle w:val="Hyperlink"/>
          </w:rPr>
          <w:t xml:space="preserve"> </w:t>
        </w:r>
        <w:r>
          <w:rPr>
            <w:rStyle w:val="Hyperlink"/>
          </w:rPr>
          <w:t xml:space="preserve">Years</w:t>
        </w:r>
        <w:r>
          <w:rPr>
            <w:rStyle w:val="Hyperlink"/>
          </w:rPr>
          <w:t xml:space="preserve"> </w:t>
        </w:r>
        <w:r>
          <w:rPr>
            <w:rStyle w:val="Hyperlink"/>
          </w:rPr>
          <w:t xml:space="preserve">of</w:t>
        </w:r>
        <w:r>
          <w:rPr>
            <w:rStyle w:val="Hyperlink"/>
          </w:rPr>
          <w:t xml:space="preserve"> </w:t>
        </w:r>
        <w:r>
          <w:rPr>
            <w:rStyle w:val="Hyperlink"/>
          </w:rPr>
          <w:t xml:space="preserve">Age</w:t>
        </w:r>
        <w:r>
          <w:rPr>
            <w:rStyle w:val="Hyperlink"/>
          </w:rPr>
          <w:t xml:space="preserve">:</w:t>
        </w:r>
        <w:r>
          <w:rPr>
            <w:rStyle w:val="Hyperlink"/>
          </w:rPr>
          <w:t xml:space="preserve"> </w:t>
        </w:r>
        <w:r>
          <w:rPr>
            <w:rStyle w:val="Hyperlink"/>
          </w:rPr>
          <w:t xml:space="preserve">Are</w:t>
        </w:r>
        <w:r>
          <w:rPr>
            <w:rStyle w:val="Hyperlink"/>
          </w:rPr>
          <w:t xml:space="preserve"> </w:t>
        </w:r>
        <w:r>
          <w:rPr>
            <w:rStyle w:val="Hyperlink"/>
          </w:rPr>
          <w:t xml:space="preserve">the</w:t>
        </w:r>
        <w:r>
          <w:rPr>
            <w:rStyle w:val="Hyperlink"/>
          </w:rPr>
          <w:t xml:space="preserve"> </w:t>
        </w:r>
        <w:r>
          <w:rPr>
            <w:rStyle w:val="Hyperlink"/>
          </w:rPr>
          <w:t xml:space="preserve">Effects</w:t>
        </w:r>
        <w:r>
          <w:rPr>
            <w:rStyle w:val="Hyperlink"/>
          </w:rPr>
          <w:t xml:space="preserve"> </w:t>
        </w:r>
        <w:r>
          <w:rPr>
            <w:rStyle w:val="Hyperlink"/>
          </w:rPr>
          <w:t xml:space="preserve">in</w:t>
        </w:r>
        <w:r>
          <w:rPr>
            <w:rStyle w:val="Hyperlink"/>
          </w:rPr>
          <w:t xml:space="preserve"> </w:t>
        </w:r>
        <w:r>
          <w:rPr>
            <w:rStyle w:val="Hyperlink"/>
          </w:rPr>
          <w:t xml:space="preserve">Older Children</w:t>
        </w:r>
        <w:r>
          <w:rPr>
            <w:rStyle w:val="Hyperlink"/>
          </w:rPr>
          <w:t xml:space="preserve"> </w:t>
        </w:r>
        <w:r>
          <w:rPr>
            <w:rStyle w:val="Hyperlink"/>
          </w:rPr>
          <w:t xml:space="preserve">the</w:t>
        </w:r>
        <w:r>
          <w:rPr>
            <w:rStyle w:val="Hyperlink"/>
          </w:rPr>
          <w:t xml:space="preserve"> </w:t>
        </w:r>
        <w:r>
          <w:rPr>
            <w:rStyle w:val="Hyperlink"/>
          </w:rPr>
          <w:t xml:space="preserve">Residual</w:t>
        </w:r>
        <w:r>
          <w:rPr>
            <w:rStyle w:val="Hyperlink"/>
          </w:rPr>
          <w:t xml:space="preserve"> </w:t>
        </w:r>
        <w:r>
          <w:rPr>
            <w:rStyle w:val="Hyperlink"/>
          </w:rPr>
          <w:t xml:space="preserve">of</w:t>
        </w:r>
        <w:r>
          <w:rPr>
            <w:rStyle w:val="Hyperlink"/>
          </w:rPr>
          <w:t xml:space="preserve"> </w:t>
        </w:r>
        <w:r>
          <w:rPr>
            <w:rStyle w:val="Hyperlink"/>
          </w:rPr>
          <w:t xml:space="preserve">High Blood Lead Concentrations</w:t>
        </w:r>
        <w:r>
          <w:rPr>
            <w:rStyle w:val="Hyperlink"/>
          </w:rPr>
          <w:t xml:space="preserve"> </w:t>
        </w:r>
        <w:r>
          <w:rPr>
            <w:rStyle w:val="Hyperlink"/>
          </w:rPr>
          <w:t xml:space="preserve">in 2-</w:t>
        </w:r>
        <w:r>
          <w:rPr>
            <w:rStyle w:val="Hyperlink"/>
          </w:rPr>
          <w:t xml:space="preserve">Year-Olds</w:t>
        </w:r>
        <w:r>
          <w:rPr>
            <w:rStyle w:val="Hyperlink"/>
          </w:rPr>
          <w:t xml:space="preserve">?</w:t>
        </w:r>
      </w:hyperlink>
      <w:r>
        <w:t xml:space="preserve"> Environmental Health Perspectives. 2005;113(5):597–601.</w:t>
      </w:r>
      <w:r>
        <w:t xml:space="preserve"> </w:t>
      </w:r>
    </w:p>
    <w:bookmarkEnd w:id="116"/>
    <w:bookmarkStart w:id="118" w:name="Xcf7993c3f58afaabaf73be6238c67f4f63053d9"/>
    <w:p>
      <w:pPr>
        <w:pStyle w:val="Bibliography"/>
      </w:pPr>
      <w:r>
        <w:t xml:space="preserve">36.</w:t>
      </w:r>
      <w:r>
        <w:t xml:space="preserve"> </w:t>
      </w:r>
      <w:r>
        <w:t xml:space="preserve">	</w:t>
      </w:r>
      <w:r>
        <w:t xml:space="preserve">Schnaas L, Rothenberg Stephen J, Flores MF, Martinez S, Hernandez C, Osorio E, et al.</w:t>
      </w:r>
      <w:r>
        <w:t xml:space="preserve"> </w:t>
      </w:r>
      <w:hyperlink r:id="rId117">
        <w:r>
          <w:rPr>
            <w:rStyle w:val="Hyperlink"/>
          </w:rPr>
          <w:t xml:space="preserve">Reduced</w:t>
        </w:r>
        <w:r>
          <w:rPr>
            <w:rStyle w:val="Hyperlink"/>
          </w:rPr>
          <w:t xml:space="preserve"> </w:t>
        </w:r>
        <w:r>
          <w:rPr>
            <w:rStyle w:val="Hyperlink"/>
          </w:rPr>
          <w:t xml:space="preserve">Intellectual Development</w:t>
        </w:r>
        <w:r>
          <w:rPr>
            <w:rStyle w:val="Hyperlink"/>
          </w:rPr>
          <w:t xml:space="preserve"> </w:t>
        </w:r>
        <w:r>
          <w:rPr>
            <w:rStyle w:val="Hyperlink"/>
          </w:rPr>
          <w:t xml:space="preserve">in</w:t>
        </w:r>
        <w:r>
          <w:rPr>
            <w:rStyle w:val="Hyperlink"/>
          </w:rPr>
          <w:t xml:space="preserve"> </w:t>
        </w:r>
        <w:r>
          <w:rPr>
            <w:rStyle w:val="Hyperlink"/>
          </w:rPr>
          <w:t xml:space="preserve">Children</w:t>
        </w:r>
        <w:r>
          <w:rPr>
            <w:rStyle w:val="Hyperlink"/>
          </w:rPr>
          <w:t xml:space="preserve"> </w:t>
        </w:r>
        <w:r>
          <w:rPr>
            <w:rStyle w:val="Hyperlink"/>
          </w:rPr>
          <w:t xml:space="preserve">with</w:t>
        </w:r>
        <w:r>
          <w:rPr>
            <w:rStyle w:val="Hyperlink"/>
          </w:rPr>
          <w:t xml:space="preserve"> </w:t>
        </w:r>
        <w:r>
          <w:rPr>
            <w:rStyle w:val="Hyperlink"/>
          </w:rPr>
          <w:t xml:space="preserve">Prenatal Lead Exposure</w:t>
        </w:r>
      </w:hyperlink>
      <w:r>
        <w:t xml:space="preserve">. Environmental Health Perspectives. 2006;114(5):791–7.</w:t>
      </w:r>
      <w:r>
        <w:t xml:space="preserve"> </w:t>
      </w:r>
    </w:p>
    <w:bookmarkEnd w:id="118"/>
    <w:bookmarkStart w:id="120" w:name="X8e5230fc5b64bf627de98b910f1e221b6fea14c"/>
    <w:p>
      <w:pPr>
        <w:pStyle w:val="Bibliography"/>
      </w:pPr>
      <w:r>
        <w:t xml:space="preserve">37.</w:t>
      </w:r>
      <w:r>
        <w:t xml:space="preserve"> </w:t>
      </w:r>
      <w:r>
        <w:t xml:space="preserve">	</w:t>
      </w:r>
      <w:r>
        <w:t xml:space="preserve">Rodríguez-Barranco M, Tobías A, Redondo D, Molina-Portillo E, Sánchez MJ.</w:t>
      </w:r>
      <w:r>
        <w:t xml:space="preserve"> </w:t>
      </w:r>
      <w:hyperlink r:id="rId119">
        <w:r>
          <w:rPr>
            <w:rStyle w:val="Hyperlink"/>
          </w:rPr>
          <w:t xml:space="preserve">Standardizing effect size from linear regression models with log-transformed variables for meta-analysis</w:t>
        </w:r>
      </w:hyperlink>
      <w:r>
        <w:t xml:space="preserve">. BMC Med Res Methodol. 2017 Dec;17(1):44.</w:t>
      </w:r>
      <w:r>
        <w:t xml:space="preserve"> </w:t>
      </w:r>
    </w:p>
    <w:bookmarkEnd w:id="120"/>
    <w:bookmarkStart w:id="121" w:name="X4bd034c52731e178b4de125c2c778bdc533803c"/>
    <w:p>
      <w:pPr>
        <w:pStyle w:val="Bibliography"/>
      </w:pPr>
      <w:r>
        <w:t xml:space="preserve">38.</w:t>
      </w:r>
      <w:r>
        <w:t xml:space="preserve"> </w:t>
      </w:r>
      <w:r>
        <w:t xml:space="preserve">	</w:t>
      </w:r>
      <w:r>
        <w:t xml:space="preserve">R Core Team. R:</w:t>
      </w:r>
      <w:r>
        <w:t xml:space="preserve"> </w:t>
      </w:r>
      <w:r>
        <w:t xml:space="preserve">A Language</w:t>
      </w:r>
      <w:r>
        <w:t xml:space="preserve"> </w:t>
      </w:r>
      <w:r>
        <w:t xml:space="preserve">and</w:t>
      </w:r>
      <w:r>
        <w:t xml:space="preserve"> </w:t>
      </w:r>
      <w:r>
        <w:t xml:space="preserve">Environment</w:t>
      </w:r>
      <w:r>
        <w:t xml:space="preserve"> </w:t>
      </w:r>
      <w:r>
        <w:t xml:space="preserve">for</w:t>
      </w:r>
      <w:r>
        <w:t xml:space="preserve"> </w:t>
      </w:r>
      <w:r>
        <w:t xml:space="preserve">Statistical Computing</w:t>
      </w:r>
      <w:r>
        <w:t xml:space="preserve">. Vienna, Austria: R Foundation for Statistical Computing; 2024.</w:t>
      </w:r>
      <w:r>
        <w:t xml:space="preserve"> </w:t>
      </w:r>
    </w:p>
    <w:bookmarkEnd w:id="121"/>
    <w:bookmarkStart w:id="123" w:name="X111bb06244f8f2a1a6d0d2f1f41c24b71f248e6"/>
    <w:p>
      <w:pPr>
        <w:pStyle w:val="Bibliography"/>
      </w:pPr>
      <w:r>
        <w:t xml:space="preserve">39.</w:t>
      </w:r>
      <w:r>
        <w:t xml:space="preserve"> </w:t>
      </w:r>
      <w:r>
        <w:t xml:space="preserve">	</w:t>
      </w:r>
      <w:r>
        <w:t xml:space="preserve">Wolfgang Viechtbauer.</w:t>
      </w:r>
      <w:r>
        <w:t xml:space="preserve"> </w:t>
      </w:r>
      <w:hyperlink r:id="rId122">
        <w:r>
          <w:rPr>
            <w:rStyle w:val="Hyperlink"/>
          </w:rPr>
          <w:t xml:space="preserve">Conducting meta-analyses in</w:t>
        </w:r>
        <w:r>
          <w:rPr>
            <w:rStyle w:val="Hyperlink"/>
          </w:rPr>
          <w:t xml:space="preserve"> </w:t>
        </w:r>
        <w:r>
          <w:rPr>
            <w:rStyle w:val="Hyperlink"/>
          </w:rPr>
          <w:t xml:space="preserve"> </w:t>
        </w:r>
        <w:r>
          <w:rPr>
            <w:rStyle w:val="Hyperlink"/>
          </w:rPr>
          <w:t xml:space="preserve">with the</w:t>
        </w:r>
        <w:r>
          <w:rPr>
            <w:rStyle w:val="Hyperlink"/>
          </w:rPr>
          <w:t xml:space="preserve"> </w:t>
        </w:r>
        <w:r>
          <w:rPr>
            <w:rStyle w:val="Hyperlink"/>
          </w:rPr>
          <w:t xml:space="preserve">metafor</w:t>
        </w:r>
        <w:r>
          <w:rPr>
            <w:rStyle w:val="Hyperlink"/>
          </w:rPr>
          <w:t xml:space="preserve"> </w:t>
        </w:r>
        <w:r>
          <w:rPr>
            <w:rStyle w:val="Hyperlink"/>
          </w:rPr>
          <w:t xml:space="preserve">package</w:t>
        </w:r>
      </w:hyperlink>
      <w:r>
        <w:t xml:space="preserve">. Journal of Statistical Software. 2010;36(3):1–48.</w:t>
      </w:r>
      <w:r>
        <w:t xml:space="preserve"> </w:t>
      </w:r>
    </w:p>
    <w:bookmarkEnd w:id="123"/>
    <w:bookmarkEnd w:id="124"/>
    <w:bookmarkEnd w:id="125"/>
    <w:sectPr>
      <w:footerReference r:id="rId9" w:type="default"/>
      <w:footnotePr>
        <w:numFmt w:val="decimal"/>
      </w:footnotePr>
      <w:type w:val="nextPage"/>
      <w:pgSz w:h="15840" w:w="12240"/>
      <w:pgMar w:bottom="2199" w:footer="144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default"/>
  </w:font>
  <w:font w:name="Aptos Display">
    <w:charset w:val="01"/>
    <w:family w:val="roman"/>
    <w:pitch w:val="default"/>
  </w:font>
  <w:font w:name="Consolas">
    <w:charset w:val="01"/>
    <w:family w:val="roman"/>
    <w:pitch w:val="default"/>
  </w:font>
  <w:font w:name="Liberation Sans">
    <w:altName w:val="Arial"/>
    <w:charset w:val="01"/>
    <w:family w:val="roman"/>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jc w:val="right"/>
      <w:rPr/>
    </w:pPr>
    <w:r>
      <w:rPr/>
      <w:fldChar w:fldCharType="begin"/>
    </w:r>
    <w:r>
      <w:rPr/>
      <w:instrText xml:space="preserve"> PAGE </w:instrText>
    </w:r>
    <w:r>
      <w:rPr/>
      <w:fldChar w:fldCharType="separate"/>
    </w:r>
    <w:r>
      <w:rPr/>
      <w:t>1</w:t>
    </w:r>
    <w:r>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3"/>
  </w:num>
  <w:num w:numId="1003">
    <w:abstractNumId w:val="993"/>
  </w:num>
  <w:num w:numId="1004">
    <w:abstractNumId w:val="993"/>
  </w:num>
  <w:num w:numId="1005">
    <w:abstractNumId w:val="993"/>
  </w:num>
  <w:num w:numId="1006">
    <w:abstractNumId w:val="993"/>
  </w:num>
  <w:num w:numId="1007">
    <w:abstractNumId w:val="992"/>
  </w:num>
  <w:num w:numId="1008">
    <w:abstractNumId w:val="993"/>
  </w:num>
  <w:num w:numId="1009">
    <w:abstractNumId w:val="993"/>
  </w:num>
  <w:num w:numId="1010">
    <w:abstractNumId w:val="992"/>
  </w:num>
  <w:num w:numId="1011">
    <w:abstractNumId w:val="992"/>
  </w:num>
  <w:num w:numId="1012">
    <w:abstractNumId w:val="991"/>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Aptos" w:asciiTheme="minorHAnsi" w:cs="" w:cstheme="minorBidi" w:eastAsia="Aptos" w:eastAsiaTheme="minorHAnsi" w:hAnsi="Aptos" w:hAnsiTheme="minorHAnsi"/>
        <w:sz w:val="24"/>
        <w:szCs w:val="24"/>
        <w:lang w:bidi="ar-SA" w:eastAsia="en-US" w:val="en-US"/>
      </w:rPr>
    </w:rPrDefault>
    <w:pPrDefault>
      <w:pPr>
        <w:suppressAutoHyphens w:val="true"/>
      </w:pPr>
    </w:pPrDefault>
  </w:docDefaults>
  <w:latentStyles w:count="276" w:defLockedState="0" w:defQFormat="0" w:defSemiHidden="0" w:defUIPriority="0" w:defUnhideWhenUsed="0"/>
  <w:style w:default="1" w:styleId="Normal" w:type="paragraph">
    <w:name w:val="Normal"/>
    <w:qFormat/>
    <w:pPr>
      <w:widowControl/>
      <w:suppressAutoHyphens w:val="true"/>
      <w:bidi w:val="0"/>
      <w:spacing w:after="200" w:before="0"/>
      <w:jc w:val="left"/>
    </w:pPr>
    <w:rPr>
      <w:rFonts w:ascii="Aptos" w:asciiTheme="minorHAnsi" w:cs="" w:cstheme="minorBidi" w:eastAsia="Aptos" w:eastAsiaTheme="minorHAnsi" w:hAnsi="Aptos" w:hAnsiTheme="minorHAnsi"/>
      <w:color w:val="auto"/>
      <w:kern w:val="0"/>
      <w:sz w:val="24"/>
      <w:szCs w:val="24"/>
      <w:lang w:bidi="ar-SA" w:eastAsia="en-US" w:val="en-US"/>
    </w:rPr>
  </w:style>
  <w:style w:styleId="Heading1" w:type="paragraph">
    <w:name w:val="Heading 1"/>
    <w:basedOn w:val="Normal"/>
    <w:next w:val="BodyText"/>
    <w:link w:val="Heading1Char"/>
    <w:uiPriority w:val="9"/>
    <w:qFormat/>
    <w:rsid w:val="00a10fd9"/>
    <w:pPr>
      <w:keepNext w:val="true"/>
      <w:keepLines/>
      <w:spacing w:after="80" w:before="360"/>
      <w:outlineLvl w:val="0"/>
    </w:pPr>
    <w:rPr>
      <w:rFonts w:ascii="Aptos Display" w:asciiTheme="majorHAnsi" w:cs="" w:cstheme="majorBidi" w:eastAsia="" w:eastAsiaTheme="majorEastAsia" w:hAnsi="Aptos Display"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val="true"/>
      <w:keepLines/>
      <w:spacing w:after="80" w:before="160"/>
      <w:outlineLvl w:val="1"/>
    </w:pPr>
    <w:rPr>
      <w:rFonts w:ascii="Aptos Display" w:asciiTheme="majorHAnsi" w:cs="" w:cstheme="majorBidi" w:eastAsia="" w:eastAsiaTheme="majorEastAsia" w:hAnsi="Aptos Display"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val="true"/>
      <w:keepLines/>
      <w:spacing w:after="80" w:before="160"/>
      <w:outlineLvl w:val="2"/>
    </w:pPr>
    <w:rPr>
      <w:rFonts w:cs="" w:cstheme="majorBidi" w:eastAsia=""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val="true"/>
      <w:keepLines/>
      <w:spacing w:after="40" w:before="80"/>
      <w:outlineLvl w:val="3"/>
    </w:pPr>
    <w:rPr>
      <w:rFonts w:cs="" w:cstheme="majorBidi" w:eastAsia=""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val="true"/>
      <w:keepLines/>
      <w:spacing w:after="40" w:before="80"/>
      <w:outlineLvl w:val="4"/>
    </w:pPr>
    <w:rPr>
      <w:rFonts w:cs="" w:cstheme="majorBidi" w:eastAsia=""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val="true"/>
      <w:keepLines/>
      <w:spacing w:after="0" w:before="40"/>
      <w:outlineLvl w:val="5"/>
    </w:pPr>
    <w:rPr>
      <w:rFonts w:cs="" w:cstheme="majorBidi" w:eastAsia=""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val="true"/>
      <w:keepLines/>
      <w:spacing w:after="0" w:before="40"/>
      <w:outlineLvl w:val="6"/>
    </w:pPr>
    <w:rPr>
      <w:rFonts w:cs="" w:cstheme="majorBidi" w:eastAsia=""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val="true"/>
      <w:keepLines/>
      <w:spacing w:after="0" w:before="0"/>
      <w:outlineLvl w:val="7"/>
    </w:pPr>
    <w:rPr>
      <w:rFonts w:cs="" w:cstheme="majorBidi" w:eastAsia=""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val="true"/>
      <w:keepLines/>
      <w:spacing w:after="0" w:before="0"/>
      <w:outlineLvl w:val="8"/>
    </w:pPr>
    <w:rPr>
      <w:rFonts w:cs="" w:cstheme="majorBidi" w:eastAsia="" w:eastAsiaTheme="majorEastAsia"/>
      <w:color w:themeColor="text1" w:themeTint="d8" w:val="272727"/>
    </w:rPr>
  </w:style>
  <w:style w:customStyle="1" w:styleId="TitleChar" w:type="character">
    <w:name w:val="Title Char"/>
    <w:basedOn w:val="DefaultParagraphFont"/>
    <w:link w:val="Title"/>
    <w:uiPriority w:val="10"/>
    <w:qFormat/>
    <w:rsid w:val="00a10fd9"/>
    <w:rPr>
      <w:rFonts w:ascii="Aptos Display" w:asciiTheme="majorHAnsi" w:cs="" w:cstheme="majorBidi" w:eastAsia="" w:eastAsiaTheme="majorEastAsia" w:hAnsi="Aptos Display" w:hAnsiTheme="majorHAnsi"/>
      <w:spacing w:val="-10"/>
      <w:kern w:val="2"/>
      <w:sz w:val="56"/>
      <w:szCs w:val="56"/>
    </w:rPr>
  </w:style>
  <w:style w:customStyle="1" w:styleId="SubtitleChar" w:type="character">
    <w:name w:val="Subtitle Char"/>
    <w:basedOn w:val="DefaultParagraphFont"/>
    <w:link w:val="Subtitle"/>
    <w:uiPriority w:val="11"/>
    <w:qFormat/>
    <w:rsid w:val="00a10fd9"/>
    <w:rPr>
      <w:rFonts w:cs="" w:cstheme="majorBidi" w:eastAsia="" w:eastAsiaTheme="majorEastAsia"/>
      <w:color w:themeColor="text1" w:themeTint="a6" w:val="595959"/>
      <w:spacing w:val="15"/>
      <w:sz w:val="28"/>
      <w:szCs w:val="28"/>
    </w:rPr>
  </w:style>
  <w:style w:customStyle="1" w:styleId="Heading1Char" w:type="character">
    <w:name w:val="Heading 1 Char"/>
    <w:basedOn w:val="DefaultParagraphFont"/>
    <w:link w:val="Heading1"/>
    <w:uiPriority w:val="9"/>
    <w:qFormat/>
    <w:rsid w:val="00a10fd9"/>
    <w:rPr>
      <w:rFonts w:ascii="Aptos Display" w:asciiTheme="majorHAnsi" w:cs="" w:cstheme="majorBidi" w:eastAsia="" w:eastAsiaTheme="majorEastAsia" w:hAnsi="Aptos Display" w:hAnsiTheme="majorHAnsi"/>
      <w:color w:themeColor="accent1" w:themeShade="bf" w:val="0F4761"/>
      <w:sz w:val="40"/>
      <w:szCs w:val="40"/>
    </w:rPr>
  </w:style>
  <w:style w:customStyle="1" w:styleId="Heading2Char" w:type="character">
    <w:name w:val="Heading 2 Char"/>
    <w:basedOn w:val="DefaultParagraphFont"/>
    <w:link w:val="Heading2"/>
    <w:uiPriority w:val="9"/>
    <w:semiHidden/>
    <w:qFormat/>
    <w:rsid w:val="00a10fd9"/>
    <w:rPr>
      <w:rFonts w:ascii="Aptos Display" w:asciiTheme="majorHAnsi" w:cs="" w:cstheme="majorBidi" w:eastAsia="" w:eastAsiaTheme="majorEastAsia" w:hAnsi="Aptos Display" w:hAnsiTheme="majorHAnsi"/>
      <w:color w:themeColor="accent1" w:themeShade="bf" w:val="0F4761"/>
      <w:sz w:val="32"/>
      <w:szCs w:val="32"/>
    </w:rPr>
  </w:style>
  <w:style w:customStyle="1" w:styleId="Heading3Char" w:type="character">
    <w:name w:val="Heading 3 Char"/>
    <w:basedOn w:val="DefaultParagraphFont"/>
    <w:link w:val="Heading3"/>
    <w:uiPriority w:val="9"/>
    <w:semiHidden/>
    <w:qFormat/>
    <w:rsid w:val="00a10fd9"/>
    <w:rPr>
      <w:rFonts w:cs="" w:cstheme="majorBidi" w:eastAsia=""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qFormat/>
    <w:rsid w:val="00a10fd9"/>
    <w:rPr>
      <w:rFonts w:cs="" w:cstheme="majorBidi" w:eastAsia=""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 w:cstheme="majorBidi" w:eastAsia=""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 w:cstheme="majorBidi" w:eastAsia=""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 w:cstheme="majorBidi" w:eastAsia=""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 w:cstheme="majorBidi" w:eastAsia=""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 w:cstheme="majorBidi" w:eastAsia="" w:eastAsiaTheme="majorEastAsia"/>
      <w:color w:themeColor="text1" w:themeTint="d8" w:val="272727"/>
    </w:rPr>
  </w:style>
  <w:style w:default="1" w:styleId="DefaultParagraphFont" w:type="character">
    <w:name w:val="Default Paragraph Font"/>
    <w:semiHidden/>
    <w:unhideWhenUsed/>
    <w:qFormat/>
    <w:rPr/>
  </w:style>
  <w:style w:customStyle="1" w:styleId="BodyTextChar" w:type="character">
    <w:name w:val="Body Text Char"/>
    <w:basedOn w:val="DefaultParagraphFont"/>
    <w:qFormat/>
    <w:rPr/>
  </w:style>
  <w:style w:customStyle="1" w:styleId="VerbatimChar" w:type="character">
    <w:name w:val="Verbatim Char"/>
    <w:basedOn w:val="BodyTextChar"/>
    <w:qFormat/>
    <w:rPr>
      <w:rFonts w:ascii="Consolas" w:hAnsi="Consolas"/>
      <w:sz w:val="22"/>
    </w:rPr>
  </w:style>
  <w:style w:customStyle="1" w:styleId="SectionNumber" w:type="character">
    <w:name w:val="Section Number"/>
    <w:basedOn w:val="BodyTextChar"/>
    <w:qFormat/>
    <w:rPr/>
  </w:style>
  <w:style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BodyTextChar"/>
    <w:rPr>
      <w:color w:themeColor="accent1" w:val="4F81BD"/>
    </w:rPr>
  </w:style>
  <w:style w:styleId="EndnoteCharacters" w:type="character">
    <w:name w:val="Endnote Characters"/>
    <w:qFormat/>
    <w:rPr>
      <w:vertAlign w:val="superscript"/>
    </w:rPr>
  </w:style>
  <w:style w:styleId="EndnoteReference" w:type="character">
    <w:name w:val="Endnote Reference"/>
    <w:rPr>
      <w:vertAlign w:val="superscript"/>
    </w:rPr>
  </w:style>
  <w:style w:styleId="Heading" w:type="paragraph">
    <w:name w:val="Heading"/>
    <w:basedOn w:val="Normal"/>
    <w:next w:val="BodyText"/>
    <w:qFormat/>
    <w:pPr>
      <w:keepNext w:val="true"/>
      <w:spacing w:after="120" w:before="240"/>
    </w:pPr>
    <w:rPr>
      <w:rFonts w:ascii="Liberation Sans" w:cs="Arial Unicode MS" w:eastAsia="PingFang SC" w:hAnsi="Liberation Sans"/>
      <w:sz w:val="28"/>
      <w:szCs w:val="28"/>
    </w:rPr>
  </w:style>
  <w:style w:styleId="BodyText" w:type="paragraph">
    <w:name w:val="Body Text"/>
    <w:basedOn w:val="Normal"/>
    <w:link w:val="BodyTextChar"/>
    <w:qFormat/>
    <w:pPr>
      <w:spacing w:after="180" w:before="180" w:line="276" w:lineRule="auto"/>
      <w:jc w:val="both"/>
    </w:pPr>
    <w:rPr/>
  </w:style>
  <w:style w:styleId="List" w:type="paragraph">
    <w:name w:val="List"/>
    <w:basedOn w:val="BodyText"/>
    <w:pPr/>
    <w:rPr>
      <w:rFonts w:ascii="Times New Roman" w:cs="Arial Unicode MS" w:hAnsi="Times New Roman"/>
    </w:rPr>
  </w:style>
  <w:style w:styleId="Caption" w:type="paragraph">
    <w:name w:val="Caption"/>
    <w:basedOn w:val="Normal"/>
    <w:link w:val="BodyTextChar"/>
    <w:qFormat/>
    <w:pPr>
      <w:spacing w:after="120" w:before="0"/>
    </w:pPr>
    <w:rPr>
      <w:i/>
    </w:rPr>
  </w:style>
  <w:style w:styleId="Index" w:type="paragraph">
    <w:name w:val="Index"/>
    <w:basedOn w:val="Normal"/>
    <w:qFormat/>
    <w:pPr>
      <w:suppressLineNumbers/>
    </w:pPr>
    <w:rPr>
      <w:rFonts w:ascii="Times New Roman" w:cs="Arial Unicode MS" w:hAnsi="Times New Roman"/>
    </w:rPr>
  </w:style>
  <w:style w:customStyle="1" w:styleId="FirstParagraph" w:type="paragraph">
    <w:name w:val="First Paragraph"/>
    <w:basedOn w:val="BodyText"/>
    <w:next w:val="BodyText"/>
    <w:qFormat/>
    <w:pPr>
      <w:spacing w:line="276" w:lineRule="auto"/>
      <w:jc w:val="both"/>
    </w:pPr>
    <w:rPr/>
  </w:style>
  <w:style w:customStyle="1" w:styleId="Compact" w:type="paragraph">
    <w:name w:val="Compact"/>
    <w:basedOn w:val="BodyText"/>
    <w:qFormat/>
    <w:pPr>
      <w:spacing w:after="36" w:before="36"/>
    </w:pPr>
    <w:rPr/>
  </w:style>
  <w:style w:styleId="Title" w:type="paragraph">
    <w:name w:val="Title"/>
    <w:basedOn w:val="Normal"/>
    <w:next w:val="BodyText"/>
    <w:link w:val="TitleChar"/>
    <w:uiPriority w:val="10"/>
    <w:qFormat/>
    <w:rsid w:val="00a10fd9"/>
    <w:pPr>
      <w:spacing w:after="230" w:before="0" w:line="240" w:lineRule="auto"/>
      <w:contextualSpacing/>
      <w:jc w:val="center"/>
    </w:pPr>
    <w:rPr>
      <w:rFonts w:ascii="Aptos Display" w:asciiTheme="majorHAnsi" w:cs="" w:cstheme="majorBidi" w:eastAsia="" w:eastAsiaTheme="majorEastAsia" w:hAnsi="Aptos Display" w:hAnsiTheme="majorHAnsi"/>
      <w:spacing w:val="-10"/>
      <w:kern w:val="2"/>
      <w:sz w:val="52"/>
      <w:szCs w:val="56"/>
    </w:rPr>
  </w:style>
  <w:style w:styleId="Subtitle" w:type="paragraph">
    <w:name w:val="Subtitle"/>
    <w:basedOn w:val="Normal"/>
    <w:next w:val="BodyText"/>
    <w:link w:val="SubtitleChar"/>
    <w:uiPriority w:val="11"/>
    <w:qFormat/>
    <w:rsid w:val="00a10fd9"/>
    <w:pPr/>
    <w:rPr>
      <w:rFonts w:cs="" w:cstheme="majorBidi" w:eastAsia="" w:eastAsiaTheme="majorEastAsia"/>
      <w:color w:themeColor="text1" w:themeTint="a6" w:val="595959"/>
      <w:spacing w:val="15"/>
      <w:sz w:val="28"/>
      <w:szCs w:val="28"/>
    </w:rPr>
  </w:style>
  <w:style w:customStyle="1" w:styleId="Author" w:type="paragraph">
    <w:name w:val="Author"/>
    <w:next w:val="BodyText"/>
    <w:qFormat/>
    <w:pPr>
      <w:keepNext w:val="true"/>
      <w:keepLines/>
      <w:widowControl/>
      <w:suppressAutoHyphens w:val="true"/>
      <w:bidi w:val="0"/>
      <w:spacing w:after="115" w:before="115"/>
      <w:contextualSpacing/>
      <w:jc w:val="center"/>
    </w:pPr>
    <w:rPr>
      <w:rFonts w:ascii="Aptos" w:asciiTheme="minorHAnsi" w:cs="" w:cstheme="minorBidi" w:eastAsia="Aptos" w:eastAsiaTheme="minorHAnsi" w:hAnsi="Aptos" w:hAnsiTheme="minorHAnsi"/>
      <w:color w:val="auto"/>
      <w:kern w:val="0"/>
      <w:sz w:val="24"/>
      <w:szCs w:val="24"/>
      <w:lang w:bidi="ar-SA" w:eastAsia="en-US" w:val="en-US"/>
    </w:rPr>
  </w:style>
  <w:style w:styleId="Date" w:type="paragraph">
    <w:name w:val="Date"/>
    <w:next w:val="BodyText"/>
    <w:qFormat/>
    <w:pPr>
      <w:keepNext w:val="true"/>
      <w:keepLines/>
      <w:widowControl/>
      <w:suppressAutoHyphens w:val="true"/>
      <w:bidi w:val="0"/>
      <w:spacing w:after="115" w:before="0"/>
      <w:jc w:val="center"/>
    </w:pPr>
    <w:rPr>
      <w:rFonts w:ascii="Aptos" w:asciiTheme="minorHAnsi" w:cs="" w:cstheme="minorBidi" w:eastAsia="Aptos" w:eastAsiaTheme="minorHAnsi" w:hAnsi="Aptos" w:hAnsiTheme="minorHAnsi"/>
      <w:color w:val="auto"/>
      <w:kern w:val="0"/>
      <w:sz w:val="24"/>
      <w:szCs w:val="24"/>
      <w:lang w:bidi="ar-SA" w:eastAsia="en-US" w:val="en-US"/>
    </w:rPr>
  </w:style>
  <w:style w:customStyle="1" w:styleId="AbstractTitle" w:type="paragraph">
    <w:name w:val="Abstract Title"/>
    <w:basedOn w:val="Normal"/>
    <w:next w:val="Abstract"/>
    <w:qFormat/>
    <w:pPr>
      <w:keepNext w:val="true"/>
      <w:keepLines/>
      <w:spacing w:after="0" w:before="300"/>
      <w:jc w:val="center"/>
    </w:pPr>
    <w:rPr>
      <w:b/>
      <w:color w:val="345A8A"/>
      <w:sz w:val="20"/>
      <w:szCs w:val="20"/>
    </w:rPr>
  </w:style>
  <w:style w:customStyle="1" w:styleId="Abstract" w:type="paragraph">
    <w:name w:val="Abstract"/>
    <w:basedOn w:val="Normal"/>
    <w:next w:val="BodyText"/>
    <w:qFormat/>
    <w:pPr>
      <w:keepNext w:val="true"/>
      <w:keepLines/>
      <w:spacing w:after="300" w:before="100"/>
    </w:pPr>
    <w:rPr>
      <w:sz w:val="20"/>
      <w:szCs w:val="20"/>
    </w:rPr>
  </w:style>
  <w:style w:styleId="Bibliography" w:type="paragraph">
    <w:name w:val="Bibliography"/>
    <w:basedOn w:val="Normal"/>
    <w:qFormat/>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pPr/>
    <w:rPr/>
  </w:style>
  <w:style w:styleId="FootnoteBlockText" w:type="paragraph">
    <w:name w:val="Footnote Block Text"/>
    <w:basedOn w:val="FootnoteText"/>
    <w:next w:val="FootnoteText"/>
    <w:uiPriority w:val="9"/>
    <w:unhideWhenUsed/>
    <w:qFormat/>
    <w:pPr>
      <w:spacing w:after="100" w:before="100"/>
      <w:ind w:hanging="0" w:left="480" w:right="480"/>
    </w:pPr>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Caption"/>
    <w:qFormat/>
    <w:pPr>
      <w:keepNext w:val="true"/>
    </w:pPr>
    <w:rPr/>
  </w:style>
  <w:style w:customStyle="1" w:styleId="ImageCaption" w:type="paragraph">
    <w:name w:val="Image Caption"/>
    <w:basedOn w:val="Caption"/>
    <w:qFormat/>
    <w:pPr/>
    <w:rPr/>
  </w:style>
  <w:style w:customStyle="1" w:styleId="Figure" w:type="paragraph">
    <w:name w:val="Figure"/>
    <w:basedOn w:val="Normal"/>
    <w:qFormat/>
    <w:pPr/>
    <w:rPr/>
  </w:style>
  <w:style w:customStyle="1" w:styleId="CaptionedFigure" w:type="paragraph">
    <w:name w:val="Captioned Figure"/>
    <w:basedOn w:val="Figure"/>
    <w:qFormat/>
    <w:pPr>
      <w:keepNext w:val="true"/>
    </w:pPr>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80" w:before="240" w:line="259" w:lineRule="auto"/>
      <w:outlineLvl w:val="9"/>
    </w:pPr>
    <w:rPr>
      <w:rFonts w:ascii="Aptos Display" w:asciiTheme="majorHAnsi" w:cs="" w:cstheme="majorBidi" w:eastAsia="" w:eastAsiaTheme="majorEastAsia" w:hAnsi="Aptos Display" w:hAnsiTheme="majorHAnsi"/>
      <w:b w:val="false"/>
      <w:bCs w:val="false"/>
      <w:color w:themeColor="accent1" w:themeShade="bf" w:val="365F91"/>
    </w:rPr>
  </w:style>
  <w:style w:styleId="BodyTextIndent" w:type="paragraph">
    <w:name w:val="Body Text Indent"/>
    <w:basedOn w:val="BodyText"/>
    <w:pPr>
      <w:ind w:hanging="0" w:left="283"/>
    </w:pPr>
    <w:rPr/>
  </w:style>
  <w:style w:styleId="HeaderandFooter" w:type="paragraph">
    <w:name w:val="Header and Footer"/>
    <w:basedOn w:val="Normal"/>
    <w:qFormat/>
    <w:pPr>
      <w:suppressLineNumbers/>
      <w:tabs>
        <w:tab w:pos="720" w:val="clear"/>
        <w:tab w:leader="none" w:pos="4680" w:val="center"/>
        <w:tab w:leader="none" w:pos="9360" w:val="right"/>
      </w:tabs>
    </w:pPr>
    <w:rPr/>
  </w:style>
  <w:style w:styleId="Footer" w:type="paragraph">
    <w:name w:val="Footer"/>
    <w:basedOn w:val="HeaderandFooter"/>
    <w:pPr>
      <w:suppressLineNumbers/>
      <w:jc w:val="right"/>
    </w:pPr>
    <w:rPr/>
  </w:style>
  <w:style w:default="1" w:styleId="Table" w:type="table">
    <w:name w:val="Table"/>
    <w:basedOn w:val="TableNormal"/>
    <w:semiHidden/>
    <w:unhideWhenUsed/>
    <w:qFormat/>
    <w:tblPr>
      <w:tblCellMar>
        <w:top w:type="dxa" w:w="0"/>
        <w:left w:type="dxa" w:w="108"/>
        <w:bottom w:type="dxa" w:w="0"/>
        <w:right w:type="dxa" w:w="108"/>
      </w:tblCellMar>
    </w:tblPr>
    <w:tblStylePr w:type="firstRow">
      <w:tblPr/>
      <w:tcPr>
        <w:tcBorders>
          <w:bottom w:val="single"/>
        </w:tcBorders>
        <w:vAlign w:val="bottom"/>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73" Target="https://doi.org/10.1001/jama.1990.03440050067035" TargetMode="External" /><Relationship Type="http://schemas.openxmlformats.org/officeDocument/2006/relationships/hyperlink" Id="rId83"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67" Target="https://doi.org/10.1007/s11121-023-01601-6" TargetMode="External" /><Relationship Type="http://schemas.openxmlformats.org/officeDocument/2006/relationships/hyperlink" Id="rId53" Target="https://doi.org/10.1007/s12403-023-00535-2" TargetMode="External" /><Relationship Type="http://schemas.openxmlformats.org/officeDocument/2006/relationships/hyperlink" Id="rId55" Target="https://doi.org/10.1016/S0140-6736(24)00933-4" TargetMode="External" /><Relationship Type="http://schemas.openxmlformats.org/officeDocument/2006/relationships/hyperlink" Id="rId63" Target="https://doi.org/10.1016/S2468-2667(18)30025-2" TargetMode="External" /><Relationship Type="http://schemas.openxmlformats.org/officeDocument/2006/relationships/hyperlink" Id="rId79" Target="https://doi.org/10.1016/S2542-5196(23)00166-3" TargetMode="External" /><Relationship Type="http://schemas.openxmlformats.org/officeDocument/2006/relationships/hyperlink" Id="rId49" Target="https://doi.org/10.1016/j.chemosphere.2023.138207" TargetMode="External" /><Relationship Type="http://schemas.openxmlformats.org/officeDocument/2006/relationships/hyperlink" Id="rId59" Target="https://doi.org/10.1016/j.ecoenv.2022.113257" TargetMode="External" /><Relationship Type="http://schemas.openxmlformats.org/officeDocument/2006/relationships/hyperlink" Id="rId69" Target="https://doi.org/10.1016/j.envint.2025.109786" TargetMode="External" /><Relationship Type="http://schemas.openxmlformats.org/officeDocument/2006/relationships/hyperlink" Id="rId65" Target="https://doi.org/10.1016/j.envres.2005.10.004" TargetMode="External" /><Relationship Type="http://schemas.openxmlformats.org/officeDocument/2006/relationships/hyperlink" Id="rId87" Target="https://doi.org/10.1016/j.envres.2019.02.023" TargetMode="External" /><Relationship Type="http://schemas.openxmlformats.org/officeDocument/2006/relationships/hyperlink" Id="rId89" Target="https://doi.org/10.1016/j.envres.2024.120013" TargetMode="External" /><Relationship Type="http://schemas.openxmlformats.org/officeDocument/2006/relationships/hyperlink" Id="rId113"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47" Target="https://doi.org/10.1038/s41598-025-17943-w" TargetMode="External" /><Relationship Type="http://schemas.openxmlformats.org/officeDocument/2006/relationships/hyperlink" Id="rId57" Target="https://doi.org/10.1053/j.ajkd.2018.02.358" TargetMode="External" /><Relationship Type="http://schemas.openxmlformats.org/officeDocument/2006/relationships/hyperlink" Id="rId71" Target="https://doi.org/10.1056/NEJM199210293271805" TargetMode="External" /><Relationship Type="http://schemas.openxmlformats.org/officeDocument/2006/relationships/hyperlink" Id="rId85" Target="https://doi.org/10.1056/NEJMoa022848" TargetMode="External" /><Relationship Type="http://schemas.openxmlformats.org/officeDocument/2006/relationships/hyperlink" Id="rId91" Target="https://doi.org/10.1073/pnas.2118631119" TargetMode="External" /><Relationship Type="http://schemas.openxmlformats.org/officeDocument/2006/relationships/hyperlink" Id="rId107" Target="https://doi.org/10.1136/bmj.n71" TargetMode="External" /><Relationship Type="http://schemas.openxmlformats.org/officeDocument/2006/relationships/hyperlink" Id="rId61" Target="https://doi.org/10.1161/JAHA.124.037633" TargetMode="External" /><Relationship Type="http://schemas.openxmlformats.org/officeDocument/2006/relationships/hyperlink" Id="rId97" Target="https://doi.org/10.1177/0013164495055004001" TargetMode="External" /><Relationship Type="http://schemas.openxmlformats.org/officeDocument/2006/relationships/hyperlink" Id="rId119" Target="https://doi.org/10.1186/s12874-017-0322-8" TargetMode="External" /><Relationship Type="http://schemas.openxmlformats.org/officeDocument/2006/relationships/hyperlink" Id="rId101"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95" Target="https://doi.org/10.1289/EHP5685" TargetMode="External" /><Relationship Type="http://schemas.openxmlformats.org/officeDocument/2006/relationships/hyperlink" Id="rId117" Target="https://doi.org/10.1289/ehp.8552" TargetMode="External" /><Relationship Type="http://schemas.openxmlformats.org/officeDocument/2006/relationships/hyperlink" Id="rId75" Target="https://doi.org/10.1542/peds.90.6.855" TargetMode="External" /><Relationship Type="http://schemas.openxmlformats.org/officeDocument/2006/relationships/hyperlink" Id="rId122" Target="https://doi.org/10.18637/jss.v036.i03" TargetMode="External" /><Relationship Type="http://schemas.openxmlformats.org/officeDocument/2006/relationships/hyperlink" Id="rId81" Target="https://doi.org/10.2903/j.efsa.2010.1570" TargetMode="External" /><Relationship Type="http://schemas.openxmlformats.org/officeDocument/2006/relationships/hyperlink" Id="rId51" Target="https://doi.org/10.2903/j.efsa.2012.2831" TargetMode="External" /><Relationship Type="http://schemas.openxmlformats.org/officeDocument/2006/relationships/hyperlink" Id="rId111" Target="https://doi.org/10.2903/sp.efsa.2024.EN-8925" TargetMode="External" /><Relationship Type="http://schemas.openxmlformats.org/officeDocument/2006/relationships/hyperlink" Id="rId93"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15" Target="https://doi.org/doi:10.1289/ehp.7625" TargetMode="External" /><Relationship Type="http://schemas.openxmlformats.org/officeDocument/2006/relationships/hyperlink" Id="rId77"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32" Target="https://github.com/PaulinaSell/lead-IQ_meta-analysis"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_rels/footnotes.xml.rels><?xml version="1.0" encoding="UTF-8"?><Relationships xmlns="http://schemas.openxmlformats.org/package/2006/relationships"><Relationship Type="http://schemas.openxmlformats.org/officeDocument/2006/relationships/hyperlink" Id="rId73" Target="https://doi.org/10.1001/jama.1990.03440050067035" TargetMode="External" /><Relationship Type="http://schemas.openxmlformats.org/officeDocument/2006/relationships/hyperlink" Id="rId83" Target="https://doi.org/10.1006/enrs.1994.1020" TargetMode="External" /><Relationship Type="http://schemas.openxmlformats.org/officeDocument/2006/relationships/hyperlink" Id="rId99" Target="https://doi.org/10.1007/978-3-319-19425-7" TargetMode="External" /><Relationship Type="http://schemas.openxmlformats.org/officeDocument/2006/relationships/hyperlink" Id="rId67" Target="https://doi.org/10.1007/s11121-023-01601-6" TargetMode="External" /><Relationship Type="http://schemas.openxmlformats.org/officeDocument/2006/relationships/hyperlink" Id="rId53" Target="https://doi.org/10.1007/s12403-023-00535-2" TargetMode="External" /><Relationship Type="http://schemas.openxmlformats.org/officeDocument/2006/relationships/hyperlink" Id="rId55" Target="https://doi.org/10.1016/S0140-6736(24)00933-4" TargetMode="External" /><Relationship Type="http://schemas.openxmlformats.org/officeDocument/2006/relationships/hyperlink" Id="rId63" Target="https://doi.org/10.1016/S2468-2667(18)30025-2" TargetMode="External" /><Relationship Type="http://schemas.openxmlformats.org/officeDocument/2006/relationships/hyperlink" Id="rId79" Target="https://doi.org/10.1016/S2542-5196(23)00166-3" TargetMode="External" /><Relationship Type="http://schemas.openxmlformats.org/officeDocument/2006/relationships/hyperlink" Id="rId49" Target="https://doi.org/10.1016/j.chemosphere.2023.138207" TargetMode="External" /><Relationship Type="http://schemas.openxmlformats.org/officeDocument/2006/relationships/hyperlink" Id="rId59" Target="https://doi.org/10.1016/j.ecoenv.2022.113257" TargetMode="External" /><Relationship Type="http://schemas.openxmlformats.org/officeDocument/2006/relationships/hyperlink" Id="rId69" Target="https://doi.org/10.1016/j.envint.2025.109786" TargetMode="External" /><Relationship Type="http://schemas.openxmlformats.org/officeDocument/2006/relationships/hyperlink" Id="rId65" Target="https://doi.org/10.1016/j.envres.2005.10.004" TargetMode="External" /><Relationship Type="http://schemas.openxmlformats.org/officeDocument/2006/relationships/hyperlink" Id="rId87" Target="https://doi.org/10.1016/j.envres.2019.02.023" TargetMode="External" /><Relationship Type="http://schemas.openxmlformats.org/officeDocument/2006/relationships/hyperlink" Id="rId89" Target="https://doi.org/10.1016/j.envres.2024.120013" TargetMode="External" /><Relationship Type="http://schemas.openxmlformats.org/officeDocument/2006/relationships/hyperlink" Id="rId113" Target="https://doi.org/10.1038/s41370-022-00450-9" TargetMode="External" /><Relationship Type="http://schemas.openxmlformats.org/officeDocument/2006/relationships/hyperlink" Id="rId109" Target="https://doi.org/10.1038/s41562-021-01177-7" TargetMode="External" /><Relationship Type="http://schemas.openxmlformats.org/officeDocument/2006/relationships/hyperlink" Id="rId47" Target="https://doi.org/10.1038/s41598-025-17943-w" TargetMode="External" /><Relationship Type="http://schemas.openxmlformats.org/officeDocument/2006/relationships/hyperlink" Id="rId57" Target="https://doi.org/10.1053/j.ajkd.2018.02.358" TargetMode="External" /><Relationship Type="http://schemas.openxmlformats.org/officeDocument/2006/relationships/hyperlink" Id="rId71" Target="https://doi.org/10.1056/NEJM199210293271805" TargetMode="External" /><Relationship Type="http://schemas.openxmlformats.org/officeDocument/2006/relationships/hyperlink" Id="rId85" Target="https://doi.org/10.1056/NEJMoa022848" TargetMode="External" /><Relationship Type="http://schemas.openxmlformats.org/officeDocument/2006/relationships/hyperlink" Id="rId91" Target="https://doi.org/10.1073/pnas.2118631119" TargetMode="External" /><Relationship Type="http://schemas.openxmlformats.org/officeDocument/2006/relationships/hyperlink" Id="rId107" Target="https://doi.org/10.1136/bmj.n71" TargetMode="External" /><Relationship Type="http://schemas.openxmlformats.org/officeDocument/2006/relationships/hyperlink" Id="rId61" Target="https://doi.org/10.1161/JAHA.124.037633" TargetMode="External" /><Relationship Type="http://schemas.openxmlformats.org/officeDocument/2006/relationships/hyperlink" Id="rId97" Target="https://doi.org/10.1177/0013164495055004001" TargetMode="External" /><Relationship Type="http://schemas.openxmlformats.org/officeDocument/2006/relationships/hyperlink" Id="rId119" Target="https://doi.org/10.1186/s12874-017-0322-8" TargetMode="External" /><Relationship Type="http://schemas.openxmlformats.org/officeDocument/2006/relationships/hyperlink" Id="rId101" Target="https://doi.org/10.1186/s40537-018-0143-6" TargetMode="External" /><Relationship Type="http://schemas.openxmlformats.org/officeDocument/2006/relationships/hyperlink" Id="rId103" Target="https://doi.org/10.1201/9781003375821" TargetMode="External" /><Relationship Type="http://schemas.openxmlformats.org/officeDocument/2006/relationships/hyperlink" Id="rId95" Target="https://doi.org/10.1289/EHP5685" TargetMode="External" /><Relationship Type="http://schemas.openxmlformats.org/officeDocument/2006/relationships/hyperlink" Id="rId117" Target="https://doi.org/10.1289/ehp.8552" TargetMode="External" /><Relationship Type="http://schemas.openxmlformats.org/officeDocument/2006/relationships/hyperlink" Id="rId75" Target="https://doi.org/10.1542/peds.90.6.855" TargetMode="External" /><Relationship Type="http://schemas.openxmlformats.org/officeDocument/2006/relationships/hyperlink" Id="rId122" Target="https://doi.org/10.18637/jss.v036.i03" TargetMode="External" /><Relationship Type="http://schemas.openxmlformats.org/officeDocument/2006/relationships/hyperlink" Id="rId81" Target="https://doi.org/10.2903/j.efsa.2010.1570" TargetMode="External" /><Relationship Type="http://schemas.openxmlformats.org/officeDocument/2006/relationships/hyperlink" Id="rId51" Target="https://doi.org/10.2903/j.efsa.2012.2831" TargetMode="External" /><Relationship Type="http://schemas.openxmlformats.org/officeDocument/2006/relationships/hyperlink" Id="rId111" Target="https://doi.org/10.2903/sp.efsa.2024.EN-8925" TargetMode="External" /><Relationship Type="http://schemas.openxmlformats.org/officeDocument/2006/relationships/hyperlink" Id="rId93" Target="https://doi.org/10.3109/10408444.2013.832726" TargetMode="External" /><Relationship Type="http://schemas.openxmlformats.org/officeDocument/2006/relationships/hyperlink" Id="rId105" Target="https://doi.org/10.3758/s13423-013-0572-3" TargetMode="External" /><Relationship Type="http://schemas.openxmlformats.org/officeDocument/2006/relationships/hyperlink" Id="rId115" Target="https://doi.org/doi:10.1289/ehp.7625" TargetMode="External" /><Relationship Type="http://schemas.openxmlformats.org/officeDocument/2006/relationships/hyperlink" Id="rId77" Target="https://doi.org/doi:10.1289/ehp.7688" TargetMode="External" /><Relationship Type="http://schemas.openxmlformats.org/officeDocument/2006/relationships/hyperlink" Id="rId22" Target="https://efsa.onlinelibrary.wiley.com/doi/10.2903/sp.efsa.2024.EN-8925" TargetMode="External" /><Relationship Type="http://schemas.openxmlformats.org/officeDocument/2006/relationships/hyperlink" Id="rId32" Target="https://github.com/PaulinaSell/lead-IQ_meta-analysis" TargetMode="External" /><Relationship Type="http://schemas.openxmlformats.org/officeDocument/2006/relationships/hyperlink" Id="rId25" Target="https://hbm.vito.be/eu-hbm-dashboard" TargetMode="External" /><Relationship Type="http://schemas.openxmlformats.org/officeDocument/2006/relationships/hyperlink" Id="rId20" Target="https://link.springer.com/journal/12963/submission-guidelines#aimsAndScope" TargetMode="External" /><Relationship Type="http://schemas.openxmlformats.org/officeDocument/2006/relationships/hyperlink" Id="rId21" Target="https://www.prisma-statement.org/prisma-2020"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10</TotalTime>
  <Application>LibreOffice/7.6.4.1$MacOSX_AARCH64 LibreOffice_project/e19e193f88cd6c0525a17fb7a176ed8e6a3e2aa1</Application>
  <AppVersion>15.0000</AppVersion>
  <Pages>1</Pages>
  <Words>54</Words>
  <Characters>282</Characters>
  <CharactersWithSpaces>371</CharactersWithSpaces>
  <Paragraphs>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Lead exposure and IQ loss in children: a Bayesian and frequentist meta-analysis of recent epidemiological studies</dc:title>
  <dc:creator>Paulina Sell; Margaux Sanchez; Philippe Palmont; Dietrich Plass</dc:creator>
  <cp:keywords/>
  <dcterms:created xsi:type="dcterms:W3CDTF">2026-02-06T07:00:49Z</dcterms:created>
  <dcterms:modified xsi:type="dcterms:W3CDTF">2026-02-06T07:00:49Z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ffiliation">
    <vt:lpwstr/>
  </property>
  <property fmtid="{D5CDD505-2E9C-101B-9397-08002B2CF9AE}" pid="7" name="by-author">
    <vt:lpwstr/>
  </property>
  <property fmtid="{D5CDD505-2E9C-101B-9397-08002B2CF9AE}" pid="8" name="csl">
    <vt:lpwstr>vancouver.csl</vt:lpwstr>
  </property>
  <property fmtid="{D5CDD505-2E9C-101B-9397-08002B2CF9AE}" pid="9" name="date-format">
    <vt:lpwstr>D MMMM YYYY</vt:lpwstr>
  </property>
  <property fmtid="{D5CDD505-2E9C-101B-9397-08002B2CF9AE}" pid="10" name="date-modified">
    <vt:lpwstr>6 February 2026</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out-width">
    <vt:lpwstr>40%</vt:lpwstr>
  </property>
  <property fmtid="{D5CDD505-2E9C-101B-9397-08002B2CF9AE}" pid="16" name="reference-section-title">
    <vt:lpwstr>References</vt:lpwstr>
  </property>
  <property fmtid="{D5CDD505-2E9C-101B-9397-08002B2CF9AE}" pid="17" name="toc-title">
    <vt:lpwstr>Table of contents</vt:lpwstr>
  </property>
</Properties>
</file>