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Environmental Hygiene, German Environment Agency, Berlin, Germany</w:t>
      </w:r>
      <w:r>
        <w:br/>
      </w:r>
      <w:r>
        <w:rPr>
          <w:vertAlign w:val="superscript"/>
        </w:rPr>
        <w:t xml:space="preserve">2</w:t>
      </w:r>
      <w:r>
        <w:t xml:space="preserve"> </w:t>
      </w:r>
      <w:r>
        <w:t xml:space="preserve">Agence nationale de sécurité sanitaire,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4" w:name="notes"/>
    <w:p>
      <w:pPr>
        <w:pStyle w:val="Heading1"/>
      </w:pPr>
      <w:r>
        <w:t xml:space="preserve">Notes</w:t>
      </w:r>
    </w:p>
    <w:p>
      <w:pPr>
        <w:pStyle w:val="Compact"/>
        <w:numPr>
          <w:ilvl w:val="0"/>
          <w:numId w:val="1001"/>
        </w:numPr>
      </w:pPr>
      <w:r>
        <w:t xml:space="preserve">Journal:</w:t>
      </w:r>
      <w:r>
        <w:t xml:space="preserve"> </w:t>
      </w:r>
      <w:hyperlink r:id="rId21">
        <w:r>
          <w:rPr>
            <w:rStyle w:val="Hyperlink"/>
          </w:rPr>
          <w:t xml:space="preserve">Population Health Metrics, BMC</w:t>
        </w:r>
      </w:hyperlink>
    </w:p>
    <w:p>
      <w:pPr>
        <w:pStyle w:val="Compact"/>
        <w:numPr>
          <w:ilvl w:val="0"/>
          <w:numId w:val="1001"/>
        </w:numPr>
      </w:pPr>
      <w:r>
        <w:t xml:space="preserve">Using</w:t>
      </w:r>
      <w:r>
        <w:t xml:space="preserve"> </w:t>
      </w:r>
      <w:hyperlink r:id="rId22">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3">
        <w:r>
          <w:rPr>
            <w:rStyle w:val="Hyperlink"/>
          </w:rPr>
          <w:t xml:space="preserve">raRoB tool</w:t>
        </w:r>
      </w:hyperlink>
      <w:r>
        <w:t xml:space="preserve"> </w:t>
      </w:r>
      <w:r>
        <w:t xml:space="preserve">for Risk of Bias Assessment</w:t>
      </w:r>
    </w:p>
    <w:bookmarkEnd w:id="24"/>
    <w:bookmarkStart w:id="25" w:name="abstract"/>
    <w:p>
      <w:pPr>
        <w:pStyle w:val="Heading1"/>
      </w:pPr>
      <w:r>
        <w:t xml:space="preserve">Abstract</w:t>
      </w:r>
    </w:p>
    <w:p>
      <w:r>
        <w:br w:type="page"/>
      </w:r>
    </w:p>
    <w:p>
      <w:pPr>
        <w:pStyle w:val="SourceCode"/>
      </w:pPr>
      <w:r>
        <w:rPr>
          <w:rStyle w:val="FunctionTok"/>
        </w:rPr>
        <w:t xml:space="preserve">library</w:t>
      </w:r>
      <w:r>
        <w:rPr>
          <w:rStyle w:val="NormalTok"/>
        </w:rPr>
        <w:t xml:space="preserve">(gt)</w:t>
      </w:r>
    </w:p>
    <w:p>
      <w:pPr>
        <w:pStyle w:val="SourceCode"/>
      </w:pPr>
      <w:r>
        <w:rPr>
          <w:rStyle w:val="VerbatimChar"/>
        </w:rPr>
        <w:t xml:space="preserve">Warning: package 'gt' was built under R version 4.4.3</w:t>
      </w:r>
    </w:p>
    <w:p>
      <w:pPr>
        <w:pStyle w:val="SourceCode"/>
      </w:pPr>
      <w:r>
        <w:rPr>
          <w:rStyle w:val="FunctionTok"/>
        </w:rPr>
        <w:t xml:space="preserve">gt</w:t>
      </w:r>
      <w:r>
        <w:rPr>
          <w:rStyle w:val="NormalTok"/>
        </w:rPr>
        <w:t xml:space="preserve">(mtcars)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mpg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cyl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qsec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gear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carb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25"/>
    <w:bookmarkStart w:id="27"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6">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rely predominantly on two foundational studies: a pooled analysis of seven cohort-studies by Lanphear et al. (2005) or the subsequent re-analysis by Crump et al. (2013)</w:t>
      </w:r>
      <w:r>
        <w:t xml:space="preserve"> </w:t>
      </w:r>
      <w:r>
        <w:t xml:space="preserve">(16,24)</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(24,25)</w:t>
      </w:r>
      <w:r>
        <w:t xml:space="preserve"> </w:t>
      </w:r>
      <w:r>
        <w:t xml:space="preserve">and the stepwise backward-elimination regression approach used by Crump et al. (2013), which is central to their findings, has received substantial criticism</w:t>
      </w:r>
      <w:r>
        <w:t xml:space="preserve"> </w:t>
      </w:r>
      <w:r>
        <w:t xml:space="preserve">(26–28)</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(29)</w:t>
      </w:r>
      <w:r>
        <w:t xml:space="preserve">.</w:t>
      </w:r>
      <w:r>
        <w:t xml:space="preserve"> </w:t>
      </w:r>
      <w:r>
        <w:t xml:space="preserve">Unlike frequentist confidence intervals, which are often misinterpreted as probabilistic</w:t>
      </w:r>
      <w:r>
        <w:t xml:space="preserve"> </w:t>
      </w:r>
      <w:r>
        <w:t xml:space="preserve">(30)</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7"/>
    <w:bookmarkStart w:id="43" w:name="methods"/>
    <w:p>
      <w:pPr>
        <w:pStyle w:val="Heading1"/>
      </w:pPr>
      <w:r>
        <w:t xml:space="preserve">2. Methods</w:t>
      </w:r>
    </w:p>
    <w:p>
      <w:pPr>
        <w:pStyle w:val="Compact"/>
        <w:numPr>
          <w:ilvl w:val="0"/>
          <w:numId w:val="1002"/>
        </w:numPr>
      </w:pPr>
      <w:r>
        <w:t xml:space="preserve">Overview: systematic review and meta-analysis, comparing a frequentist to a Bayesian approach</w:t>
      </w:r>
    </w:p>
    <w:p>
      <w:pPr>
        <w:pStyle w:val="Compact"/>
        <w:numPr>
          <w:ilvl w:val="0"/>
          <w:numId w:val="1003"/>
        </w:numPr>
      </w:pPr>
      <w:r>
        <w:t xml:space="preserve">Inclusion &amp; exclusion criteria, databases, search strategy, screening process</w:t>
      </w:r>
    </w:p>
    <w:p>
      <w:pPr>
        <w:pStyle w:val="Compact"/>
        <w:numPr>
          <w:ilvl w:val="0"/>
          <w:numId w:val="1004"/>
        </w:numPr>
      </w:pPr>
      <w:r>
        <w:t xml:space="preserve">Risk of bias analysis method</w:t>
      </w:r>
    </w:p>
    <w:p>
      <w:pPr>
        <w:pStyle w:val="Compact"/>
        <w:numPr>
          <w:ilvl w:val="0"/>
          <w:numId w:val="1005"/>
        </w:numPr>
      </w:pPr>
      <w:r>
        <w:t xml:space="preserve">Description &amp; rationale of harmonization of reported effect measures</w:t>
      </w:r>
    </w:p>
    <w:p>
      <w:pPr>
        <w:pStyle w:val="Compact"/>
        <w:numPr>
          <w:ilvl w:val="0"/>
          <w:numId w:val="1006"/>
        </w:numPr>
      </w:pPr>
      <w:r>
        <w:t xml:space="preserve">Description of meta-analysis methodology (frequentist &amp; Bayesian), models and software used, heterogeneity identification, prior choice</w:t>
      </w:r>
    </w:p>
    <w:p>
      <w:pPr>
        <w:pStyle w:val="Compact"/>
        <w:numPr>
          <w:ilvl w:val="0"/>
          <w:numId w:val="1007"/>
        </w:numPr>
      </w:pPr>
      <w:r>
        <w:t xml:space="preserve">Sensitivity analysis</w:t>
      </w:r>
      <w:r>
        <w:br/>
      </w:r>
    </w:p>
    <w:bookmarkStart w:id="29"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(31)</w:t>
      </w:r>
      <w:r>
        <w:t xml:space="preserve">.</w:t>
      </w:r>
      <w:r>
        <w:t xml:space="preserve"> </w:t>
      </w:r>
      <w:r>
        <w:t xml:space="preserve">The checklist can be found in the supplementary files.</w:t>
      </w:r>
      <w:r>
        <w:t xml:space="preserve"> </w:t>
      </w:r>
      <w:r>
        <w:t xml:space="preserve">The reporting of the Bayesian methods and their results was guided by the Bayesian Analysis Reporting Guidelines (BARG)</w:t>
      </w:r>
      <w:r>
        <w:t xml:space="preserve"> </w:t>
      </w:r>
      <w:r>
        <w:t xml:space="preserve">(32)</w:t>
      </w:r>
      <w:r>
        <w:t xml:space="preserve">.</w:t>
      </w:r>
      <w:r>
        <w:br/>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28">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r>
        <w:t xml:space="preserve"> </w:t>
      </w:r>
      <w:r>
        <w:t xml:space="preserve"> </w:t>
      </w: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be conducted at the same time.</w:t>
      </w:r>
      <w:r>
        <w:t xml:space="preserve"> </w:t>
      </w:r>
      <w:r>
        <w:t xml:space="preserve">Descriptive study data was extracted using a grid based on the one proposed by NTP OHAT</w:t>
      </w:r>
      <w:r>
        <w:t xml:space="preserve"> </w:t>
      </w:r>
      <w:r>
        <w:t xml:space="preserve">(33)</w:t>
      </w:r>
      <w:r>
        <w:t xml:space="preserve">.</w:t>
      </w:r>
      <w:r>
        <w:t xml:space="preserve"> </w:t>
      </w:r>
      <w:r>
        <w:t xml:space="preserve">For all included studies, effect estimates from the most-adjusted model were extracted and the set of confounders adjused for recorded.</w:t>
      </w:r>
    </w:p>
    <w:bookmarkEnd w:id="29"/>
    <w:bookmarkStart w:id="30"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(34)</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provided by the RoB tool (for more information, see</w:t>
      </w:r>
      <w:r>
        <w:t xml:space="preserve"> </w:t>
      </w:r>
      <w:r>
        <w:t xml:space="preserve">(34)</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(35,36)</w:t>
      </w:r>
      <w:r>
        <w:t xml:space="preserve">, this assumption may only be valid at very low concentrations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(24,37)</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1 (Screening documentation excel)</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(supplement: plots?).</w:t>
      </w:r>
    </w:p>
    <w:bookmarkEnd w:id="32"/>
    <w:bookmarkStart w:id="39"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In both approaches, the same effect estimates from the identified publications were included and analogous models were chosen to enable comparison between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blood lead concentration (µg/dL).</w:t>
      </w:r>
      <w:r>
        <w:br/>
      </w:r>
      <w:r>
        <w:t xml:space="preserve">R version 4.4.2 (2024-10-31)</w:t>
      </w:r>
      <w:r>
        <w:t xml:space="preserve"> </w:t>
      </w:r>
      <w:r>
        <w:t xml:space="preserve">(38)</w:t>
      </w:r>
      <w:r>
        <w:t xml:space="preserve"> </w:t>
      </w:r>
      <w:r>
        <w:t xml:space="preserve">was used for all computations.</w:t>
      </w:r>
      <w:r>
        <w:t xml:space="preserve"> </w:t>
      </w:r>
      <w:r>
        <w:t xml:space="preserve">All computational code for this study is publicly available on</w:t>
      </w:r>
      <w:r>
        <w:t xml:space="preserve"> </w:t>
      </w:r>
      <w:hyperlink r:id="rId33">
        <w:r>
          <w:rPr>
            <w:rStyle w:val="Hyperlink"/>
          </w:rPr>
          <w:t xml:space="preserve">GitHub</w:t>
        </w:r>
      </w:hyperlink>
      <w:r>
        <w:t xml:space="preserve">.</w:t>
      </w:r>
    </w:p>
    <w:bookmarkStart w:id="35"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(39)</w:t>
      </w:r>
      <w:r>
        <w:t xml:space="preserve"> </w:t>
      </w:r>
      <w:r>
        <w:t xml:space="preserve">version 2.22.0.</w:t>
      </w:r>
      <w:r>
        <w:t xml:space="preserve"> </w:t>
      </w:r>
      <w:r>
        <w:t xml:space="preserve">Posterior draws were sampled using the Hamiltonian Monte Carlo algorithm</w:t>
      </w:r>
      <w:r>
        <w:t xml:space="preserve"> </w:t>
      </w:r>
      <w:r>
        <w:t xml:space="preserve">(40)</w:t>
      </w:r>
      <w:r>
        <w:t xml:space="preserve"> </w:t>
      </w:r>
      <w:r>
        <w:t xml:space="preserve">and the No-U-Turn Sampler (NUTS)</w:t>
      </w:r>
      <w:r>
        <w:t xml:space="preserve"> </w:t>
      </w:r>
      <w:r>
        <w:t xml:space="preserve">(41)</w:t>
      </w:r>
      <w:r>
        <w:t xml:space="preserve">.</w:t>
      </w:r>
      <w:r>
        <w:t xml:space="preserve"> </w:t>
      </w:r>
      <w:r>
        <w:t xml:space="preserve">We ran four chains with 4,000 iterations each, of which 2,000 iterations were discarded as warmup, resulting in 8,000 total post-warmup draws.</w:t>
      </w:r>
      <w:r>
        <w:t xml:space="preserve"> </w:t>
      </w:r>
      <w:r>
        <w:t xml:space="preserve">Convergence was assessed using the Gelman-Rubin statistic (</w:t>
      </w:r>
      <m:oMath>
        <m:acc>
          <m:accPr>
            <m:chr m:val="̂"/>
          </m:accPr>
          <m:e>
            <m:r>
              <m:t>R</m:t>
            </m:r>
          </m:e>
        </m:acc>
      </m:oMath>
      <w:r>
        <w:t xml:space="preserve">) and effective sample size (ESS).</w:t>
      </w:r>
      <w:r>
        <w:t xml:space="preserve"> </w:t>
      </w:r>
      <w:r>
        <w:t xml:space="preserve">As shown in</w:t>
      </w:r>
      <w:r>
        <w:t xml:space="preserve"> </w:t>
      </w:r>
      <w:hyperlink w:anchor="eq-model">
        <w:r>
          <w:rPr>
            <w:rStyle w:val="Hyperlink"/>
          </w:rPr>
          <w:t xml:space="preserve">Equation 2</w:t>
        </w:r>
      </w:hyperlink>
      <w:r>
        <w:t xml:space="preserve">, heterogeneity</w:t>
      </w:r>
      <w:r>
        <w:t xml:space="preserve"> </w:t>
      </w:r>
      <m:oMath>
        <m:r>
          <m:t>τ</m:t>
        </m:r>
      </m:oMath>
      <w:r>
        <w:t xml:space="preserve"> </w:t>
      </w:r>
      <w:r>
        <w:t xml:space="preserve">was modelled as a parameter directly and</w:t>
      </w:r>
      <w:r>
        <w:t xml:space="preserve"> </w:t>
      </w:r>
      <m:oMath>
        <m:sSup>
          <m:e>
            <m:r>
              <m:t>I</m:t>
            </m:r>
          </m:e>
          <m:sup>
            <m:r>
              <m:t>2</m:t>
            </m:r>
          </m:sup>
        </m:sSup>
      </m:oMath>
      <w:r>
        <w:t xml:space="preserve"> </w:t>
      </w:r>
      <w:r>
        <w:t xml:space="preserve">was calculated using the typical within-study variance that is used in the frequentist approach so that it is comparable.</w:t>
      </w:r>
    </w:p>
    <w:bookmarkEnd w:id="35"/>
    <w:bookmarkStart w:id="37"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must be chosen for all parameters to be estimated in the analysis, which in this case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 conservative priors were chosen so that the posterior distributions are softly being bounded to a realistic range.</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about 95% probability.</w:t>
      </w:r>
      <w:r>
        <w:t xml:space="preserve"> </w:t>
      </w:r>
      <w:r>
        <w:t xml:space="preserve">The center point of the prior was chosen to be -1 because the negative effects of lead on the developing nervous system and its toxicological mechanisms of action are well established in the scientific literature</w:t>
      </w:r>
      <w:r>
        <w:t xml:space="preserve"> </w:t>
      </w:r>
      <w:r>
        <w:t xml:space="preserve">(18)</w:t>
      </w:r>
      <w:r>
        <w:t xml:space="preserve">.</w:t>
      </w:r>
      <w:r>
        <w:br/>
      </w:r>
      <w:r>
        <w:t xml:space="preserve">Since between-study standard deviation (heterogeneity)</w:t>
      </w:r>
      <w:r>
        <w:t xml:space="preserve"> </w:t>
      </w:r>
      <m:oMath>
        <m:r>
          <m:t>τ</m:t>
        </m:r>
      </m:oMath>
      <w:r>
        <w:t xml:space="preserve"> </w:t>
      </w:r>
      <w:r>
        <w:t xml:space="preserve">must by definition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and posterior predictive simulations were conducted using the</w:t>
      </w:r>
      <w:r>
        <w:t xml:space="preserve"> </w:t>
      </w:r>
      <w:r>
        <w:rPr>
          <w:rStyle w:val="VerbatimChar"/>
        </w:rPr>
        <w:t xml:space="preserve">bayesplot</w:t>
      </w:r>
      <w:r>
        <w:t xml:space="preserve"> </w:t>
      </w:r>
      <w:r>
        <w:t xml:space="preserve">package</w:t>
      </w:r>
      <w:r>
        <w:t xml:space="preserve"> </w:t>
      </w:r>
      <w:r>
        <w:t xml:space="preserve">(42)</w:t>
      </w:r>
      <w:r>
        <w:t xml:space="preserve">.</w:t>
      </w:r>
    </w:p>
    <w:bookmarkEnd w:id="37"/>
    <w:bookmarkStart w:id="38"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w:t>
      </w:r>
      <w:r>
        <w:t xml:space="preserve">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(43)</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(less conservative):</w:t>
      </w:r>
    </w:p>
    <w:p>
      <w:pPr>
        <w:pStyle w:val="BodyText"/>
      </w:pPr>
      <w:bookmarkStart w:id="40"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4</m:t>
              </m:r>
            </m:e>
          </m:d>
        </m:oMath>
      </m:oMathPara>
      <w:bookmarkEnd w:id="40"/>
    </w:p>
    <w:p>
      <w:pPr>
        <w:pStyle w:val="FirstParagraph"/>
      </w:pPr>
      <w:r>
        <w:t xml:space="preserve">Less informative priors (more conservative):</w:t>
      </w:r>
    </w:p>
    <w:p>
      <w:pPr>
        <w:pStyle w:val="BodyText"/>
      </w:pPr>
      <w:bookmarkStart w:id="41"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5</m:t>
              </m:r>
            </m:e>
          </m:d>
        </m:oMath>
      </m:oMathPara>
      <w:bookmarkEnd w:id="41"/>
    </w:p>
    <w:bookmarkEnd w:id="42"/>
    <w:bookmarkEnd w:id="43"/>
    <w:bookmarkStart w:id="51" w:name="results"/>
    <w:p>
      <w:pPr>
        <w:pStyle w:val="Heading1"/>
      </w:pPr>
      <w:r>
        <w:t xml:space="preserve">3.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because it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lead to 149 records (Pb &amp; Hg) to be screened in fulltext.</w:t>
      </w:r>
      <w:r>
        <w:t xml:space="preserve"> </w:t>
      </w:r>
      <w:r>
        <w:t xml:space="preserve">After fulltext-screening,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a duplicate.</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preserve">Table 1: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 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full-scale 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total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(MnBP, MEOHP + MEHP), and BPA]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SPM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 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0.8087</w:t>
            </w:r>
          </w:p>
        </w:tc>
      </w:tr>
    </w:tbl>
    <w:p>
      <w:pPr>
        <w:pStyle w:val="BodyText"/>
      </w:pPr>
      <w:r>
        <w:t xml:space="preserve">A PRISMA flow diagram summarizing the review process is shown as in figure 1</w:t>
      </w:r>
      <w:r>
        <w:t xml:space="preserve"> </w:t>
      </w:r>
      <w:r>
        <w:t xml:space="preserve">(31)</w:t>
      </w:r>
      <w:r>
        <w:t xml:space="preserve">.</w:t>
      </w:r>
      <w:r>
        <w:t xml:space="preserve"> </w:t>
      </w:r>
      <w:r>
        <w:t xml:space="preserve">A file containing detailed information on the screening process and exclusion reasons can be found in suppl. file X (systeamtic review process excel).</w:t>
      </w:r>
    </w:p>
    <w:p>
      <w:pPr>
        <w:pStyle w:val="CaptionedFigure"/>
      </w:pPr>
      <w:r>
        <w:drawing>
          <wp:inline>
            <wp:extent cx="2971800" cy="4205471"/>
            <wp:effectExtent b="0" l="0" r="0" t="0"/>
            <wp:docPr descr="Figure 1: PRISMA flow diagram" title="" id="45" name="Picture"/>
            <a:graphic>
              <a:graphicData uri="http://schemas.openxmlformats.org/drawingml/2006/picture">
                <pic:pic>
                  <pic:nvPicPr>
                    <pic:cNvPr descr="PRISMA_flow_diagram.png" id="46" name="Picture"/>
                    <pic:cNvPicPr>
                      <a:picLocks noChangeArrowheads="1" noChangeAspect="1"/>
                    </pic:cNvPicPr>
                  </pic:nvPicPr>
                  <pic:blipFill>
                    <a:blip r:embed="rId44"/>
                    <a:stretch>
                      <a:fillRect/>
                    </a:stretch>
                  </pic:blipFill>
                  <pic:spPr bwMode="auto">
                    <a:xfrm>
                      <a:off x="0" y="0"/>
                      <a:ext cx="2971800" cy="4205471"/>
                    </a:xfrm>
                    <a:prstGeom prst="rect">
                      <a:avLst/>
                    </a:prstGeom>
                    <a:noFill/>
                    <a:ln w="9525">
                      <a:noFill/>
                      <a:headEnd/>
                      <a:tailEnd/>
                    </a:ln>
                  </pic:spPr>
                </pic:pic>
              </a:graphicData>
            </a:graphic>
          </wp:inline>
        </w:drawing>
      </w:r>
    </w:p>
    <w:p>
      <w:pPr>
        <w:pStyle w:val="ImageCaption"/>
      </w:pPr>
      <w:r>
        <w:t xml:space="preserve">Figure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(37)</w:t>
      </w:r>
      <w:r>
        <w:t xml:space="preserve">,</w:t>
      </w:r>
      <w:r>
        <w:t xml:space="preserve"> </w:t>
      </w:r>
      <w:r>
        <w:t xml:space="preserve">two with a moderate risk</w:t>
      </w:r>
      <w:r>
        <w:t xml:space="preserve"> </w:t>
      </w:r>
      <w:r>
        <w:t xml:space="preserve">(52)</w:t>
      </w:r>
      <w:r>
        <w:t xml:space="preserve"> </w:t>
      </w:r>
      <w:r>
        <w:t xml:space="preserve">and two studies with a high RoB</w:t>
      </w:r>
      <w:r>
        <w:t xml:space="preserve"> </w:t>
      </w:r>
      <w:r>
        <w:t xml:space="preserve">(53)</w:t>
      </w:r>
      <w:r>
        <w:t xml:space="preserve">.</w:t>
      </w:r>
      <w:r>
        <w:br/>
      </w:r>
      <w:r>
        <w:t xml:space="preserve">Domains with a higher RoB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in the included studies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(28)</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preserve">Table 2: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RoB Criterion</w:t>
            </w:r>
          </w:p>
        </w:tc>
        <w:tc>
          <w:tcPr>
            <w:tcBorders>
              <w:bottom w:val="single" w:sz="16" w:space="0" w:color="D3D3D3"/>
            </w:tcBorders>
          </w:tcPr>
          <w:p>
            <w:pPr>
              <w:spacing w:before="0" w:after="60"/>
              <w:keepNext/>
              <w:jc w:val="end"/>
            </w:pPr>
            <w:r>
              <w:rPr>
                <w:rFonts w:ascii="Calibri" w:hAnsi="Calibri"/>
                <w:sz w:val="20"/>
              </w:rPr>
              <w:t xml:space="default">Eligibility criteria</w:t>
            </w:r>
          </w:p>
        </w:tc>
        <w:tc>
          <w:tcPr>
            <w:tcBorders>
              <w:bottom w:val="single" w:sz="16" w:space="0" w:color="D3D3D3"/>
            </w:tcBorders>
          </w:tcPr>
          <w:p>
            <w:pPr>
              <w:spacing w:before="0" w:after="60"/>
              <w:keepNext/>
              <w:jc w:val="end"/>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end"/>
            </w:pPr>
            <w:r>
              <w:rPr>
                <w:rFonts w:ascii="Calibri" w:hAnsi="Calibri"/>
                <w:sz w:val="20"/>
              </w:rPr>
              <w:t xml:space="default">Non-response rate </w:t>
            </w:r>
          </w:p>
        </w:tc>
        <w:tc>
          <w:tcPr>
            <w:tcBorders>
              <w:bottom w:val="single" w:sz="16" w:space="0" w:color="D3D3D3"/>
            </w:tcBorders>
          </w:tcPr>
          <w:p>
            <w:pPr>
              <w:spacing w:before="0" w:after="60"/>
              <w:keepNext/>
              <w:jc w:val="end"/>
            </w:pPr>
            <w:r>
              <w:rPr>
                <w:rFonts w:ascii="Calibri" w:hAnsi="Calibri"/>
                <w:sz w:val="20"/>
              </w:rPr>
              <w:t xml:space="default">Recruitment time frame </w:t>
            </w:r>
          </w:p>
        </w:tc>
        <w:tc>
          <w:tcPr>
            <w:tcBorders>
              <w:bottom w:val="single" w:sz="16" w:space="0" w:color="D3D3D3"/>
            </w:tcBorders>
          </w:tcPr>
          <w:p>
            <w:pPr>
              <w:spacing w:before="0" w:after="60"/>
              <w:keepNext/>
              <w:jc w:val="start"/>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end"/>
            </w:pPr>
            <w:r>
              <w:rPr>
                <w:rFonts w:ascii="Calibri" w:hAnsi="Calibri"/>
                <w:sz w:val="20"/>
              </w:rPr>
              <w:t xml:space="default">Misclassification of exposure </w:t>
            </w:r>
          </w:p>
        </w:tc>
        <w:tc>
          <w:tcPr>
            <w:tcBorders>
              <w:bottom w:val="single" w:sz="16" w:space="0" w:color="D3D3D3"/>
            </w:tcBorders>
          </w:tcPr>
          <w:p>
            <w:pPr>
              <w:spacing w:before="0" w:after="60"/>
              <w:keepNext/>
              <w:jc w:val="end"/>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end"/>
            </w:pPr>
            <w:r>
              <w:rPr>
                <w:rFonts w:ascii="Calibri" w:hAnsi="Calibri"/>
                <w:sz w:val="20"/>
              </w:rPr>
              <w:t xml:space="default">Misclassification of outcome </w:t>
            </w:r>
          </w:p>
        </w:tc>
        <w:tc>
          <w:tcPr>
            <w:tcBorders>
              <w:bottom w:val="single" w:sz="16" w:space="0" w:color="D3D3D3"/>
            </w:tcBorders>
          </w:tcPr>
          <w:p>
            <w:pPr>
              <w:spacing w:before="0" w:after="60"/>
              <w:keepNext/>
              <w:jc w:val="end"/>
            </w:pPr>
            <w:r>
              <w:rPr>
                <w:rFonts w:ascii="Calibri" w:hAnsi="Calibri"/>
                <w:sz w:val="20"/>
              </w:rPr>
              <w:t xml:space="default">Accounting for confounding </w:t>
            </w:r>
          </w:p>
        </w:tc>
        <w:tc>
          <w:tcPr>
            <w:tcBorders>
              <w:bottom w:val="single" w:sz="16" w:space="0" w:color="D3D3D3"/>
            </w:tcBorders>
          </w:tcPr>
          <w:p>
            <w:pPr>
              <w:spacing w:before="0" w:after="60"/>
              <w:keepNext/>
              <w:jc w:val="end"/>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start"/>
            </w:pPr>
            <w:r>
              <w:rPr>
                <w:rFonts w:ascii="Calibri" w:hAnsi="Calibri"/>
                <w:sz w:val="20"/>
              </w:rPr>
              <w:t xml:space="default">Adequacy of length of follow-up </w:t>
            </w:r>
          </w:p>
        </w:tc>
        <w:tc>
          <w:tcPr>
            <w:tcBorders>
              <w:bottom w:val="single" w:sz="16" w:space="0" w:color="D3D3D3"/>
            </w:tcBorders>
          </w:tcPr>
          <w:p>
            <w:pPr>
              <w:spacing w:before="0" w:after="60"/>
              <w:keepNext/>
              <w:jc w:val="start"/>
            </w:pPr>
            <w:r>
              <w:rPr>
                <w:rFonts w:ascii="Calibri" w:hAnsi="Calibri"/>
                <w:sz w:val="20"/>
              </w:rPr>
              <w:t xml:space="default">Amount and handling of loss to follow-up </w:t>
            </w:r>
          </w:p>
        </w:tc>
        <w:tc>
          <w:tcPr>
            <w:tcBorders>
              <w:bottom w:val="single" w:sz="16" w:space="0" w:color="D3D3D3"/>
            </w:tcBorders>
          </w:tcPr>
          <w:p>
            <w:pPr>
              <w:spacing w:before="0" w:after="60"/>
              <w:keepNext/>
              <w:jc w:val="end"/>
            </w:pPr>
            <w:r>
              <w:rPr>
                <w:rFonts w:ascii="Calibri" w:hAnsi="Calibri"/>
                <w:sz w:val="20"/>
              </w:rPr>
              <w:t xml:space="default">Appropriate data analysis methods </w:t>
            </w:r>
          </w:p>
        </w:tc>
        <w:tc>
          <w:tcPr>
            <w:tcBorders>
              <w:bottom w:val="single" w:sz="16" w:space="0" w:color="D3D3D3"/>
            </w:tcBorders>
          </w:tcPr>
          <w:p>
            <w:pPr>
              <w:spacing w:before="0" w:after="60"/>
              <w:keepNext/>
              <w:jc w:val="end"/>
            </w:pPr>
            <w:r>
              <w:rPr>
                <w:rFonts w:ascii="Calibri" w:hAnsi="Calibri"/>
                <w:sz w:val="20"/>
              </w:rPr>
              <w:t xml:space="default">Handling of missing values </w:t>
            </w:r>
          </w:p>
        </w:tc>
        <w:tc>
          <w:tcPr>
            <w:tcBorders>
              <w:bottom w:val="single" w:sz="16" w:space="0" w:color="D3D3D3"/>
            </w:tcBorders>
          </w:tcPr>
          <w:p>
            <w:pPr>
              <w:spacing w:before="0" w:after="60"/>
              <w:keepNext/>
              <w:jc w:val="end"/>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start"/>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w:t>
            </w:r>
          </w:p>
        </w:tc>
      </w:tr>
    </w:tbl>
    <w:bookmarkEnd w:id="48"/>
    <w:bookmarkStart w:id="49" w:name="meta-analysis-results"/>
    <w:p>
      <w:pPr>
        <w:pStyle w:val="Heading2"/>
      </w:pPr>
      <w:r>
        <w:t xml:space="preserve">3.3 Meta Analysis Results</w:t>
      </w:r>
    </w:p>
    <w:p>
      <w:pPr>
        <w:pStyle w:val="FirstParagraph"/>
      </w:pPr>
      <w:r>
        <w:t xml:space="preserve">The frequentist approach yielded a pooled estimate of -2.35 (95% confidence interval (CI): -3.65; -1.05)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-2.15 (95% credible interval (CrI): -3.48; -0.92).</w:t>
      </w:r>
      <w:r>
        <w:t xml:space="preserve"> </w:t>
      </w:r>
      <w:r>
        <w:t xml:space="preserve">Between-study heterogeneity was substantial in both approaches (frequentist:</w:t>
      </w:r>
      <w:r>
        <w:t xml:space="preserve"> </w:t>
      </w:r>
      <m:oMath>
        <m:sSup>
          <m:e>
            <m:r>
              <m:t>τ</m:t>
            </m:r>
          </m:e>
          <m:sup>
            <m:r>
              <m:t>2</m:t>
            </m:r>
          </m:sup>
        </m:sSup>
      </m:oMath>
      <w:r>
        <w:t xml:space="preserve"> </w:t>
      </w:r>
      <w:r>
        <w:t xml:space="preserve">= 3.79,</w:t>
      </w:r>
      <w:r>
        <w:t xml:space="preserve"> </w:t>
      </w:r>
      <m:oMath>
        <m:sSup>
          <m:e>
            <m:r>
              <m:rPr>
                <m:nor/>
                <m:sty m:val="p"/>
              </m:rPr>
              <m:t>I</m:t>
            </m:r>
          </m:e>
          <m:sup>
            <m:r>
              <m:t>2</m:t>
            </m:r>
          </m:sup>
        </m:sSup>
      </m:oMath>
      <w:r>
        <w:t xml:space="preserve"> </w:t>
      </w:r>
      <w:r>
        <w:t xml:space="preserve">= 98.5%; Bayesian:</w:t>
      </w:r>
      <w:r>
        <w:t xml:space="preserve"> </w:t>
      </w:r>
      <m:oMath>
        <m:sSup>
          <m:e>
            <m:r>
              <m:t>τ</m:t>
            </m:r>
          </m:e>
          <m:sup>
            <m:r>
              <m:t>2</m:t>
            </m:r>
          </m:sup>
        </m:sSup>
      </m:oMath>
      <w:r>
        <w:t xml:space="preserve"> </w:t>
      </w:r>
      <w:r>
        <w:t xml:space="preserve">= 4.32 [95% CrI: 1.28; 10.6],</w:t>
      </w:r>
      <w:r>
        <w:t xml:space="preserve"> </w:t>
      </w:r>
      <m:oMath>
        <m:sSup>
          <m:e>
            <m:r>
              <m:rPr>
                <m:nor/>
                <m:sty m:val="p"/>
              </m:rPr>
              <m:t>I</m:t>
            </m:r>
          </m:e>
          <m:sup>
            <m:r>
              <m:t>2</m:t>
            </m:r>
          </m:sup>
        </m:sSup>
      </m:oMath>
      <w:r>
        <w:t xml:space="preserve"> </w:t>
      </w:r>
      <w:r>
        <w:t xml:space="preserve">= 98.3% [95% CrI: 95.8%; 99.5%]).</w:t>
      </w:r>
    </w:p>
    <w:bookmarkEnd w:id="49"/>
    <w:bookmarkStart w:id="50" w:name="sensitivity-analysis-results"/>
    <w:p>
      <w:pPr>
        <w:pStyle w:val="Heading2"/>
      </w:pPr>
      <w:r>
        <w:t xml:space="preserve">3.4 Sensitivity Analysis Results</w:t>
      </w:r>
    </w:p>
    <w:p>
      <w:pPr>
        <w:pStyle w:val="Compact"/>
        <w:numPr>
          <w:ilvl w:val="0"/>
          <w:numId w:val="1008"/>
        </w:numPr>
      </w:pPr>
      <w:r>
        <w:t xml:space="preserve">Cite studies that might appear to meet inclusion criteria, but were excluded &amp; explain why (no citation so far)</w:t>
      </w:r>
    </w:p>
    <w:p>
      <w:pPr>
        <w:pStyle w:val="Compact"/>
        <w:numPr>
          <w:ilvl w:val="0"/>
          <w:numId w:val="1009"/>
        </w:numPr>
      </w:pPr>
      <w:r>
        <w:t xml:space="preserve">Study characteristics (table), including original and harmonized effect measures</w:t>
      </w:r>
    </w:p>
    <w:p>
      <w:pPr>
        <w:pStyle w:val="Compact"/>
        <w:numPr>
          <w:ilvl w:val="0"/>
          <w:numId w:val="1010"/>
        </w:numPr>
      </w:pPr>
      <w:r>
        <w:t xml:space="preserve">Flow diagram, description of (full text) screening results</w:t>
      </w:r>
    </w:p>
    <w:p>
      <w:pPr>
        <w:pStyle w:val="Compact"/>
        <w:numPr>
          <w:ilvl w:val="0"/>
          <w:numId w:val="1011"/>
        </w:numPr>
      </w:pPr>
      <w:r>
        <w:t xml:space="preserve">RoB results for each included study</w:t>
      </w:r>
    </w:p>
    <w:p>
      <w:pPr>
        <w:pStyle w:val="Compact"/>
        <w:numPr>
          <w:ilvl w:val="0"/>
          <w:numId w:val="1012"/>
        </w:numPr>
      </w:pPr>
      <w:r>
        <w:t xml:space="preserve">Forest plots</w:t>
      </w:r>
    </w:p>
    <w:p>
      <w:pPr>
        <w:pStyle w:val="Compact"/>
        <w:numPr>
          <w:ilvl w:val="0"/>
          <w:numId w:val="1013"/>
        </w:numPr>
      </w:pPr>
      <w:r>
        <w:t xml:space="preserve">Sensitivity analysis results</w:t>
      </w:r>
    </w:p>
    <w:bookmarkEnd w:id="50"/>
    <w:bookmarkEnd w:id="51"/>
    <w:bookmarkStart w:id="52" w:name="discussion"/>
    <w:p>
      <w:pPr>
        <w:pStyle w:val="Heading1"/>
      </w:pPr>
      <w:r>
        <w:t xml:space="preserve">4. Discussion</w:t>
      </w:r>
    </w:p>
    <w:p>
      <w:pPr>
        <w:pStyle w:val="Compact"/>
        <w:numPr>
          <w:ilvl w:val="0"/>
          <w:numId w:val="1014"/>
        </w:numPr>
      </w:pPr>
      <w:r>
        <w:t xml:space="preserve">General interpretation of results in light of evidence in literature</w:t>
      </w:r>
    </w:p>
    <w:p>
      <w:pPr>
        <w:pStyle w:val="Compact"/>
        <w:numPr>
          <w:ilvl w:val="0"/>
          <w:numId w:val="1015"/>
        </w:numPr>
      </w:pPr>
      <w:r>
        <w:t xml:space="preserve">Discuss differences, similarities, strengths and weaknesses of freq vs. Bayesian approach</w:t>
      </w:r>
    </w:p>
    <w:p>
      <w:pPr>
        <w:pStyle w:val="Compact"/>
        <w:numPr>
          <w:ilvl w:val="0"/>
          <w:numId w:val="1016"/>
        </w:numPr>
      </w:pPr>
      <w:r>
        <w:t xml:space="preserve">Study limitations &amp; strengths</w:t>
      </w:r>
    </w:p>
    <w:bookmarkEnd w:id="52"/>
    <w:bookmarkStart w:id="53" w:name="conclusions"/>
    <w:p>
      <w:pPr>
        <w:pStyle w:val="Heading1"/>
      </w:pPr>
      <w:r>
        <w:t xml:space="preserve">5. Conclusions</w:t>
      </w:r>
    </w:p>
    <w:p>
      <w:pPr>
        <w:pStyle w:val="Compact"/>
        <w:numPr>
          <w:ilvl w:val="0"/>
          <w:numId w:val="1017"/>
        </w:numPr>
      </w:pPr>
      <w:r>
        <w:t xml:space="preserve">Conclusion, with reference to aim of study</w:t>
      </w:r>
    </w:p>
    <w:p>
      <w:pPr>
        <w:pStyle w:val="Compact"/>
        <w:numPr>
          <w:ilvl w:val="0"/>
          <w:numId w:val="1018"/>
        </w:numPr>
      </w:pPr>
      <w:r>
        <w:t xml:space="preserve">Implications of results: policy, (scientific?) practice, future research needs</w:t>
      </w:r>
    </w:p>
    <w:bookmarkEnd w:id="53"/>
    <w:bookmarkStart w:id="5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4"/>
    <w:bookmarkStart w:id="55"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55"/>
    <w:bookmarkStart w:id="5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6"/>
    <w:bookmarkStart w:id="160" w:name="bibliography"/>
    <w:p>
      <w:pPr>
        <w:pStyle w:val="Heading1"/>
      </w:pPr>
      <w:r>
        <w:t xml:space="preserve">References</w:t>
      </w:r>
    </w:p>
    <w:bookmarkStart w:id="159" w:name="refs"/>
    <w:bookmarkStart w:id="58"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57">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58"/>
    <w:bookmarkStart w:id="60"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59">
        <w:r>
          <w:rPr>
            <w:rStyle w:val="Hyperlink"/>
          </w:rPr>
          <w:t xml:space="preserve">Global decrease in blood lead concentrations due to the removal of leaded gasoline</w:t>
        </w:r>
      </w:hyperlink>
      <w:r>
        <w:t xml:space="preserve">. Chemosphere. 2023;324:138207.</w:t>
      </w:r>
      <w:r>
        <w:t xml:space="preserve"> </w:t>
      </w:r>
    </w:p>
    <w:bookmarkEnd w:id="60"/>
    <w:bookmarkStart w:id="62" w:name="X4707f3a4b72a0982487545f9dc3d674642af108"/>
    <w:p>
      <w:pPr>
        <w:pStyle w:val="Bibliography"/>
      </w:pPr>
      <w:r>
        <w:t xml:space="preserve">3.</w:t>
      </w:r>
      <w:r>
        <w:t xml:space="preserve"> </w:t>
      </w:r>
      <w:r>
        <w:t xml:space="preserve">	</w:t>
      </w:r>
      <w:r>
        <w:t xml:space="preserve">European Food Safety Authority.</w:t>
      </w:r>
      <w:r>
        <w:t xml:space="preserve"> </w:t>
      </w:r>
      <w:hyperlink r:id="rId61">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62"/>
    <w:bookmarkStart w:id="64"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3">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4"/>
    <w:bookmarkStart w:id="66"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65">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66"/>
    <w:bookmarkStart w:id="68"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67">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68"/>
    <w:bookmarkStart w:id="70"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69">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70"/>
    <w:bookmarkStart w:id="72"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71">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72"/>
    <w:bookmarkStart w:id="74"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3">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4"/>
    <w:bookmarkStart w:id="76"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75">
        <w:r>
          <w:rPr>
            <w:rStyle w:val="Hyperlink"/>
          </w:rPr>
          <w:t xml:space="preserve">Low blood lead concentration in association with infertility in women</w:t>
        </w:r>
      </w:hyperlink>
      <w:r>
        <w:t xml:space="preserve">. Environmental Research. 2006 Jul;101(3):380–6.</w:t>
      </w:r>
      <w:r>
        <w:t xml:space="preserve"> </w:t>
      </w:r>
    </w:p>
    <w:bookmarkEnd w:id="76"/>
    <w:bookmarkStart w:id="78"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77">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78"/>
    <w:bookmarkStart w:id="80"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79">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80"/>
    <w:bookmarkStart w:id="82"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81">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82"/>
    <w:bookmarkStart w:id="84" w:name="ref-needleman1990LowLevelLeadExposure"/>
    <w:p>
      <w:pPr>
        <w:pStyle w:val="Bibliography"/>
      </w:pPr>
      <w:r>
        <w:t xml:space="preserve">14.</w:t>
      </w:r>
      <w:r>
        <w:t xml:space="preserve"> </w:t>
      </w:r>
      <w:r>
        <w:t xml:space="preserve">	</w:t>
      </w:r>
      <w:r>
        <w:t xml:space="preserve">Needleman HL.</w:t>
      </w:r>
      <w:r>
        <w:t xml:space="preserve"> </w:t>
      </w:r>
      <w:hyperlink r:id="rId83">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4"/>
    <w:bookmarkStart w:id="86" w:name="ref-bellinger1992LowLevelLeadExposure"/>
    <w:p>
      <w:pPr>
        <w:pStyle w:val="Bibliography"/>
      </w:pPr>
      <w:r>
        <w:t xml:space="preserve">15.</w:t>
      </w:r>
      <w:r>
        <w:t xml:space="preserve"> </w:t>
      </w:r>
      <w:r>
        <w:t xml:space="preserve">	</w:t>
      </w:r>
      <w:r>
        <w:t xml:space="preserve">Bellinger DC, Stiles KM, Needleman HL.</w:t>
      </w:r>
      <w:r>
        <w:t xml:space="preserve"> </w:t>
      </w:r>
      <w:hyperlink r:id="rId85">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86"/>
    <w:bookmarkStart w:id="88"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87">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88"/>
    <w:bookmarkStart w:id="90" w:name="ref-larsen2023GlobalHealthBurden"/>
    <w:p>
      <w:pPr>
        <w:pStyle w:val="Bibliography"/>
      </w:pPr>
      <w:r>
        <w:t xml:space="preserve">17.</w:t>
      </w:r>
      <w:r>
        <w:t xml:space="preserve"> </w:t>
      </w:r>
      <w:r>
        <w:t xml:space="preserve">	</w:t>
      </w:r>
      <w:r>
        <w:t xml:space="preserve">Larsen B, Sánchez-Triana E.</w:t>
      </w:r>
      <w:r>
        <w:t xml:space="preserve"> </w:t>
      </w:r>
      <w:hyperlink r:id="rId8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90"/>
    <w:bookmarkStart w:id="92"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9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92"/>
    <w:bookmarkStart w:id="94" w:name="ref-schwartz1994LowLevelLeadExposure"/>
    <w:p>
      <w:pPr>
        <w:pStyle w:val="Bibliography"/>
      </w:pPr>
      <w:r>
        <w:t xml:space="preserve">19.</w:t>
      </w:r>
      <w:r>
        <w:t xml:space="preserve"> </w:t>
      </w:r>
      <w:r>
        <w:t xml:space="preserve">	</w:t>
      </w:r>
      <w:r>
        <w:t xml:space="preserve">Schwartz J.</w:t>
      </w:r>
      <w:r>
        <w:t xml:space="preserve"> </w:t>
      </w:r>
      <w:hyperlink r:id="rId9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94"/>
    <w:bookmarkStart w:id="96"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9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96"/>
    <w:bookmarkStart w:id="98"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97">
        <w:r>
          <w:rPr>
            <w:rStyle w:val="Hyperlink"/>
          </w:rPr>
          <w:t xml:space="preserve">Global burden of intellectual disability resulting from dietary exposure to lead, 2015</w:t>
        </w:r>
      </w:hyperlink>
      <w:r>
        <w:t xml:space="preserve">. Environmental Research. 2019;172:420–9.</w:t>
      </w:r>
      <w:r>
        <w:t xml:space="preserve"> </w:t>
      </w:r>
    </w:p>
    <w:bookmarkEnd w:id="98"/>
    <w:bookmarkStart w:id="100"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9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00"/>
    <w:bookmarkStart w:id="102" w:name="ref-mcfarland2022HalfUSPopulation"/>
    <w:p>
      <w:pPr>
        <w:pStyle w:val="Bibliography"/>
      </w:pPr>
      <w:r>
        <w:t xml:space="preserve">23.</w:t>
      </w:r>
      <w:r>
        <w:t xml:space="preserve"> </w:t>
      </w:r>
      <w:r>
        <w:t xml:space="preserve">	</w:t>
      </w:r>
      <w:r>
        <w:t xml:space="preserve">McFarland MJ, Hauer ME, Reuben A.</w:t>
      </w:r>
      <w:r>
        <w:t xml:space="preserve"> </w:t>
      </w:r>
      <w:hyperlink r:id="rId10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02"/>
    <w:bookmarkStart w:id="104"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10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04"/>
    <w:bookmarkStart w:id="106"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10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06"/>
    <w:bookmarkStart w:id="108" w:name="X99fa6bd9cd2521340285769f289a6c9d4bfe17b"/>
    <w:p>
      <w:pPr>
        <w:pStyle w:val="Bibliography"/>
      </w:pPr>
      <w:r>
        <w:t xml:space="preserve">26.</w:t>
      </w:r>
      <w:r>
        <w:t xml:space="preserve"> </w:t>
      </w:r>
      <w:r>
        <w:t xml:space="preserve">	</w:t>
      </w:r>
      <w:r>
        <w:t xml:space="preserve">Thompson B.</w:t>
      </w:r>
      <w:r>
        <w:t xml:space="preserve"> </w:t>
      </w:r>
      <w:hyperlink r:id="rId107">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08"/>
    <w:bookmarkStart w:id="110" w:name="Xec30ec7c912152a14c0f622040312567154bf15"/>
    <w:p>
      <w:pPr>
        <w:pStyle w:val="Bibliography"/>
      </w:pPr>
      <w:r>
        <w:t xml:space="preserve">27.</w:t>
      </w:r>
      <w:r>
        <w:t xml:space="preserve"> </w:t>
      </w:r>
      <w:r>
        <w:t xml:space="preserve">	</w:t>
      </w:r>
      <w:r>
        <w:t xml:space="preserve">Harrell FE.</w:t>
      </w:r>
      <w:r>
        <w:t xml:space="preserve"> </w:t>
      </w:r>
      <w:hyperlink r:id="rId109">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10"/>
    <w:bookmarkStart w:id="112" w:name="ref-smith2018StepAwayStepwise"/>
    <w:p>
      <w:pPr>
        <w:pStyle w:val="Bibliography"/>
      </w:pPr>
      <w:r>
        <w:t xml:space="preserve">28.</w:t>
      </w:r>
      <w:r>
        <w:t xml:space="preserve"> </w:t>
      </w:r>
      <w:r>
        <w:t xml:space="preserve">	</w:t>
      </w:r>
      <w:r>
        <w:t xml:space="preserve">Smith G.</w:t>
      </w:r>
      <w:r>
        <w:t xml:space="preserve"> </w:t>
      </w:r>
      <w:hyperlink r:id="rId111">
        <w:r>
          <w:rPr>
            <w:rStyle w:val="Hyperlink"/>
          </w:rPr>
          <w:t xml:space="preserve">Step away from stepwise</w:t>
        </w:r>
      </w:hyperlink>
      <w:r>
        <w:t xml:space="preserve">. J Big Data. 2018 Dec;5(1):32.</w:t>
      </w:r>
      <w:r>
        <w:t xml:space="preserve"> </w:t>
      </w:r>
    </w:p>
    <w:bookmarkEnd w:id="112"/>
    <w:bookmarkStart w:id="114" w:name="X035620408d1fb22c7ed381e74f0468c30df4612"/>
    <w:p>
      <w:pPr>
        <w:pStyle w:val="Bibliography"/>
      </w:pPr>
      <w:r>
        <w:t xml:space="preserve">29.</w:t>
      </w:r>
      <w:r>
        <w:t xml:space="preserve"> </w:t>
      </w:r>
      <w:r>
        <w:t xml:space="preserve">	</w:t>
      </w:r>
      <w:r>
        <w:t xml:space="preserve">Grant R, Di Tanna GL.</w:t>
      </w:r>
      <w:r>
        <w:t xml:space="preserve"> </w:t>
      </w:r>
      <w:hyperlink r:id="rId113">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4"/>
    <w:bookmarkStart w:id="116" w:name="X837f91f784566061977da85c17a5755a81dedde"/>
    <w:p>
      <w:pPr>
        <w:pStyle w:val="Bibliography"/>
      </w:pPr>
      <w:r>
        <w:t xml:space="preserve">30.</w:t>
      </w:r>
      <w:r>
        <w:t xml:space="preserve"> </w:t>
      </w:r>
      <w:r>
        <w:t xml:space="preserve">	</w:t>
      </w:r>
      <w:r>
        <w:t xml:space="preserve">Hoekstra R, Morey RD, Rouder JN, Wagenmakers EJ.</w:t>
      </w:r>
      <w:r>
        <w:t xml:space="preserve"> </w:t>
      </w:r>
      <w:hyperlink r:id="rId115">
        <w:r>
          <w:rPr>
            <w:rStyle w:val="Hyperlink"/>
          </w:rPr>
          <w:t xml:space="preserve">Robust misinterpretation of confidence intervals</w:t>
        </w:r>
      </w:hyperlink>
      <w:r>
        <w:t xml:space="preserve">. Psychon Bull Rev. 2014 Oct;21(5):1157–64.</w:t>
      </w:r>
      <w:r>
        <w:t xml:space="preserve"> </w:t>
      </w:r>
    </w:p>
    <w:bookmarkEnd w:id="116"/>
    <w:bookmarkStart w:id="118" w:name="ref-page2021PRISMA2020Statement"/>
    <w:p>
      <w:pPr>
        <w:pStyle w:val="Bibliography"/>
      </w:pPr>
      <w:r>
        <w:t xml:space="preserve">31.</w:t>
      </w:r>
      <w:r>
        <w:t xml:space="preserve"> </w:t>
      </w:r>
      <w:r>
        <w:t xml:space="preserve">	</w:t>
      </w:r>
      <w:r>
        <w:t xml:space="preserve">Page MJ, McKenzie JE, Bossuyt PM, Boutron I, Hoffmann TC, Mulrow CD, et al.</w:t>
      </w:r>
      <w:r>
        <w:t xml:space="preserve"> </w:t>
      </w:r>
      <w:hyperlink r:id="rId117">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8"/>
    <w:bookmarkStart w:id="120" w:name="X5cae6442bbe0e1f5d8df6cd5008aab2dbfb65a6"/>
    <w:p>
      <w:pPr>
        <w:pStyle w:val="Bibliography"/>
      </w:pPr>
      <w:r>
        <w:t xml:space="preserve">32.</w:t>
      </w:r>
      <w:r>
        <w:t xml:space="preserve"> </w:t>
      </w:r>
      <w:r>
        <w:t xml:space="preserve">	</w:t>
      </w:r>
      <w:r>
        <w:t xml:space="preserve">Kruschke JK.</w:t>
      </w:r>
      <w:r>
        <w:t xml:space="preserve"> </w:t>
      </w:r>
      <w:hyperlink r:id="rId119">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20"/>
    <w:bookmarkStart w:id="121" w:name="Xf5486a80753c915bf34b5d8f3ad5e46aac479a7"/>
    <w:p>
      <w:pPr>
        <w:pStyle w:val="Bibliography"/>
      </w:pPr>
      <w:r>
        <w:t xml:space="preserve">33.</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21"/>
    <w:bookmarkStart w:id="123" w:name="ref-plate2024DevelopmentToolRapid"/>
    <w:p>
      <w:pPr>
        <w:pStyle w:val="Bibliography"/>
      </w:pPr>
      <w:r>
        <w:t xml:space="preserve">34.</w:t>
      </w:r>
      <w:r>
        <w:t xml:space="preserve"> </w:t>
      </w:r>
      <w:r>
        <w:t xml:space="preserve">	</w:t>
      </w:r>
      <w:r>
        <w:t xml:space="preserve">Plate K, Knüppel S, Hornbacher A, Greiner M, Müller-Graf C.</w:t>
      </w:r>
      <w:r>
        <w:t xml:space="preserve"> </w:t>
      </w:r>
      <w:hyperlink r:id="rId122">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3"/>
    <w:bookmarkStart w:id="125" w:name="ref-halabicky2023LowLevelLead"/>
    <w:p>
      <w:pPr>
        <w:pStyle w:val="Bibliography"/>
      </w:pPr>
      <w:r>
        <w:t xml:space="preserve">35.</w:t>
      </w:r>
      <w:r>
        <w:t xml:space="preserve"> </w:t>
      </w:r>
      <w:r>
        <w:t xml:space="preserve">	</w:t>
      </w:r>
      <w:r>
        <w:t xml:space="preserve">Halabicky OM, Pinto-Martin JA, Compton P, Liu J.</w:t>
      </w:r>
      <w:r>
        <w:t xml:space="preserve"> </w:t>
      </w:r>
      <w:hyperlink r:id="rId124">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5"/>
    <w:bookmarkStart w:id="127" w:name="ref-chen2005IQBloodLead"/>
    <w:p>
      <w:pPr>
        <w:pStyle w:val="Bibliography"/>
      </w:pPr>
      <w:r>
        <w:t xml:space="preserve">36.</w:t>
      </w:r>
      <w:r>
        <w:t xml:space="preserve"> </w:t>
      </w:r>
      <w:r>
        <w:t xml:space="preserve">	</w:t>
      </w:r>
      <w:r>
        <w:t xml:space="preserve">Chen A, Dietrich KN, Ware JH, Radcliffe J, Rogan WJ.</w:t>
      </w:r>
      <w:r>
        <w:t xml:space="preserve"> </w:t>
      </w:r>
      <w:hyperlink r:id="rId126">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7"/>
    <w:bookmarkStart w:id="129" w:name="Xcf7993c3f58afaabaf73be6238c67f4f63053d9"/>
    <w:p>
      <w:pPr>
        <w:pStyle w:val="Bibliography"/>
      </w:pPr>
      <w:r>
        <w:t xml:space="preserve">37.</w:t>
      </w:r>
      <w:r>
        <w:t xml:space="preserve"> </w:t>
      </w:r>
      <w:r>
        <w:t xml:space="preserve">	</w:t>
      </w:r>
      <w:r>
        <w:t xml:space="preserve">Schnaas L, Rothenberg Stephen J, Flores MF, Martinez S, Hernandez C, Osorio E, et al.</w:t>
      </w:r>
      <w:r>
        <w:t xml:space="preserve"> </w:t>
      </w:r>
      <w:hyperlink r:id="rId128">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9"/>
    <w:bookmarkStart w:id="130" w:name="X4bd034c52731e178b4de125c2c778bdc533803c"/>
    <w:p>
      <w:pPr>
        <w:pStyle w:val="Bibliography"/>
      </w:pPr>
      <w:r>
        <w:t xml:space="preserve">38.</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30"/>
    <w:bookmarkStart w:id="132" w:name="ref-burkner2017BrmsPackageBayesian"/>
    <w:p>
      <w:pPr>
        <w:pStyle w:val="Bibliography"/>
      </w:pPr>
      <w:r>
        <w:t xml:space="preserve">39.</w:t>
      </w:r>
      <w:r>
        <w:t xml:space="preserve"> </w:t>
      </w:r>
      <w:r>
        <w:t xml:space="preserve">	</w:t>
      </w:r>
      <w:r>
        <w:t xml:space="preserve">Bürkner PC.</w:t>
      </w:r>
      <w:r>
        <w:t xml:space="preserve"> </w:t>
      </w:r>
      <w:hyperlink r:id="rId131">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32"/>
    <w:bookmarkStart w:id="134" w:name="X7a078cdffdd6e8b0aafa2bdbd48e4ff223eee2f"/>
    <w:p>
      <w:pPr>
        <w:pStyle w:val="Bibliography"/>
      </w:pPr>
      <w:r>
        <w:t xml:space="preserve">40.</w:t>
      </w:r>
      <w:r>
        <w:t xml:space="preserve"> </w:t>
      </w:r>
      <w:r>
        <w:t xml:space="preserve">	</w:t>
      </w:r>
      <w:r>
        <w:t xml:space="preserve">Betancourt M.</w:t>
      </w:r>
      <w:r>
        <w:t xml:space="preserve"> </w:t>
      </w:r>
      <w:hyperlink r:id="rId133">
        <w:r>
          <w:rPr>
            <w:rStyle w:val="Hyperlink"/>
          </w:rPr>
          <w:t xml:space="preserve">A</w:t>
        </w:r>
        <w:r>
          <w:rPr>
            <w:rStyle w:val="Hyperlink"/>
          </w:rPr>
          <w:t xml:space="preserve"> </w:t>
        </w:r>
        <w:r>
          <w:rPr>
            <w:rStyle w:val="Hyperlink"/>
          </w:rPr>
          <w:t xml:space="preserve">Conceptual Introduction</w:t>
        </w:r>
        <w:r>
          <w:rPr>
            <w:rStyle w:val="Hyperlink"/>
          </w:rPr>
          <w:t xml:space="preserve"> </w:t>
        </w:r>
        <w:r>
          <w:rPr>
            <w:rStyle w:val="Hyperlink"/>
          </w:rPr>
          <w:t xml:space="preserve">to</w:t>
        </w:r>
        <w:r>
          <w:rPr>
            <w:rStyle w:val="Hyperlink"/>
          </w:rPr>
          <w:t xml:space="preserve"> </w:t>
        </w:r>
        <w:r>
          <w:rPr>
            <w:rStyle w:val="Hyperlink"/>
          </w:rPr>
          <w:t xml:space="preserve">Hamiltonian Monte Carlo</w:t>
        </w:r>
      </w:hyperlink>
      <w:r>
        <w:t xml:space="preserve">. arXiv; 2017.</w:t>
      </w:r>
      <w:r>
        <w:t xml:space="preserve"> </w:t>
      </w:r>
    </w:p>
    <w:bookmarkEnd w:id="134"/>
    <w:bookmarkStart w:id="136" w:name="ref-hoffman2011NoUTurnSamplerAdaptively"/>
    <w:p>
      <w:pPr>
        <w:pStyle w:val="Bibliography"/>
      </w:pPr>
      <w:r>
        <w:t xml:space="preserve">41.</w:t>
      </w:r>
      <w:r>
        <w:t xml:space="preserve"> </w:t>
      </w:r>
      <w:r>
        <w:t xml:space="preserve">	</w:t>
      </w:r>
      <w:r>
        <w:t xml:space="preserve">Hoffman MD, Gelman A.</w:t>
      </w:r>
      <w:r>
        <w:t xml:space="preserve"> </w:t>
      </w:r>
      <w:hyperlink r:id="rId135">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6"/>
    <w:bookmarkStart w:id="137" w:name="X21bf392f662dc1b38e9a7fa4b314fc7a471696b"/>
    <w:p>
      <w:pPr>
        <w:pStyle w:val="Bibliography"/>
      </w:pPr>
      <w:r>
        <w:t xml:space="preserve">42.</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7"/>
    <w:bookmarkStart w:id="139" w:name="X111bb06244f8f2a1a6d0d2f1f41c24b71f248e6"/>
    <w:p>
      <w:pPr>
        <w:pStyle w:val="Bibliography"/>
      </w:pPr>
      <w:r>
        <w:t xml:space="preserve">43.</w:t>
      </w:r>
      <w:r>
        <w:t xml:space="preserve"> </w:t>
      </w:r>
      <w:r>
        <w:t xml:space="preserve">	</w:t>
      </w:r>
      <w:r>
        <w:t xml:space="preserve">Wolfgang Viechtbauer.</w:t>
      </w:r>
      <w:r>
        <w:t xml:space="preserve"> </w:t>
      </w:r>
      <w:hyperlink r:id="rId138">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9"/>
    <w:bookmarkStart w:id="141" w:name="ref-bauer2020AssociationsMetalMixture"/>
    <w:p>
      <w:pPr>
        <w:pStyle w:val="Bibliography"/>
      </w:pPr>
      <w:r>
        <w:t xml:space="preserve">44.</w:t>
      </w:r>
      <w:r>
        <w:t xml:space="preserve"> </w:t>
      </w:r>
      <w:r>
        <w:t xml:space="preserve">	</w:t>
      </w:r>
      <w:r>
        <w:t xml:space="preserve">Bauer JA, Devick KL, Bobb JF, Coull BA, Bellinger D, Benedetti C, et al.</w:t>
      </w:r>
      <w:r>
        <w:t xml:space="preserve"> </w:t>
      </w:r>
      <w:hyperlink r:id="rId140">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41"/>
    <w:bookmarkStart w:id="143" w:name="ref-dantzer2020ComparisonBloodToenails"/>
    <w:p>
      <w:pPr>
        <w:pStyle w:val="Bibliography"/>
      </w:pPr>
      <w:r>
        <w:t xml:space="preserve">45.</w:t>
      </w:r>
      <w:r>
        <w:t xml:space="preserve"> </w:t>
      </w:r>
      <w:r>
        <w:t xml:space="preserve">	</w:t>
      </w:r>
      <w:r>
        <w:t xml:space="preserve">Dantzer J, Ryan P, Yolton K, Parsons PJ, Palmer CD, Cecil K, et al.</w:t>
      </w:r>
      <w:r>
        <w:t xml:space="preserve"> </w:t>
      </w:r>
      <w:hyperlink r:id="rId142">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43"/>
    <w:bookmarkStart w:id="145" w:name="X6bc65313eadd1b86059eb4ba10c8cf9d91be17d"/>
    <w:p>
      <w:pPr>
        <w:pStyle w:val="Bibliography"/>
      </w:pPr>
      <w:r>
        <w:t xml:space="preserve">46.</w:t>
      </w:r>
      <w:r>
        <w:t xml:space="preserve"> </w:t>
      </w:r>
      <w:r>
        <w:t xml:space="preserve">	</w:t>
      </w:r>
      <w:r>
        <w:t xml:space="preserve">Desrochers-Couture M, Oulhote Y, Arbuckle TE, Fraser WD, Séguin JR, Ouellet E, et al.</w:t>
      </w:r>
      <w:r>
        <w:t xml:space="preserve"> </w:t>
      </w:r>
      <w:hyperlink r:id="rId144">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5"/>
    <w:bookmarkStart w:id="147" w:name="ref-hong2015EnvironmentalLeadExposure"/>
    <w:p>
      <w:pPr>
        <w:pStyle w:val="Bibliography"/>
      </w:pPr>
      <w:r>
        <w:t xml:space="preserve">47.</w:t>
      </w:r>
      <w:r>
        <w:t xml:space="preserve"> </w:t>
      </w:r>
      <w:r>
        <w:t xml:space="preserve">	</w:t>
      </w:r>
      <w:r>
        <w:t xml:space="preserve">Hong SB, Im MH, Kim JW, Park EJ, Shin MS, Kim BN, et al.</w:t>
      </w:r>
      <w:r>
        <w:t xml:space="preserve"> </w:t>
      </w:r>
      <w:hyperlink r:id="rId146">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7"/>
    <w:bookmarkStart w:id="149" w:name="ref-lee2021PrenatalPostnatalExposures"/>
    <w:p>
      <w:pPr>
        <w:pStyle w:val="Bibliography"/>
      </w:pPr>
      <w:r>
        <w:t xml:space="preserve">48.</w:t>
      </w:r>
      <w:r>
        <w:t xml:space="preserve"> </w:t>
      </w:r>
      <w:r>
        <w:t xml:space="preserve">	</w:t>
      </w:r>
      <w:r>
        <w:t xml:space="preserve">Lee KS, Kim KN, Ahn YD, Choi YJ, Cho J, Jang Y, et al.</w:t>
      </w:r>
      <w:r>
        <w:t xml:space="preserve"> </w:t>
      </w:r>
      <w:hyperlink r:id="rId148">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49"/>
    <w:bookmarkStart w:id="150" w:name="X33fe7de6e8b65c86af337dbdb8d7cc8651c48a8"/>
    <w:p>
      <w:pPr>
        <w:pStyle w:val="Bibliography"/>
      </w:pPr>
      <w:r>
        <w:t xml:space="preserve">49.</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50"/>
    <w:bookmarkStart w:id="152" w:name="ref-roy2013EffectModificationTransferrin"/>
    <w:p>
      <w:pPr>
        <w:pStyle w:val="Bibliography"/>
      </w:pPr>
      <w:r>
        <w:t xml:space="preserve">50.</w:t>
      </w:r>
      <w:r>
        <w:t xml:space="preserve"> </w:t>
      </w:r>
      <w:r>
        <w:t xml:space="preserve">	</w:t>
      </w:r>
      <w:r>
        <w:t xml:space="preserve">Roy A, Ettinger AS, Hu H, Bellinger D, Schwartz J, Modali R, et al.</w:t>
      </w:r>
      <w:r>
        <w:t xml:space="preserve"> </w:t>
      </w:r>
      <w:hyperlink r:id="rId151">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52"/>
    <w:bookmarkStart w:id="154" w:name="Xb0421be95a139ca5af39ce6040517bf1be79427"/>
    <w:p>
      <w:pPr>
        <w:pStyle w:val="Bibliography"/>
      </w:pPr>
      <w:r>
        <w:t xml:space="preserve">51.</w:t>
      </w:r>
      <w:r>
        <w:t xml:space="preserve"> </w:t>
      </w:r>
      <w:r>
        <w:t xml:space="preserve">	</w:t>
      </w:r>
      <w:r>
        <w:t xml:space="preserve">Lucchini RG, Zoni S, Guazzetti S, Bontempi E, Micheletti S, Broberg K, et al.</w:t>
      </w:r>
      <w:r>
        <w:t xml:space="preserve"> </w:t>
      </w:r>
      <w:hyperlink r:id="rId153">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54"/>
    <w:bookmarkStart w:id="156" w:name="X716dc31ca13dac7355fea3a0f7dea95779ecabb"/>
    <w:p>
      <w:pPr>
        <w:pStyle w:val="Bibliography"/>
      </w:pPr>
      <w:r>
        <w:t xml:space="preserve">52.</w:t>
      </w:r>
      <w:r>
        <w:t xml:space="preserve"> </w:t>
      </w:r>
      <w:r>
        <w:t xml:space="preserve">	</w:t>
      </w:r>
      <w:r>
        <w:t xml:space="preserve">Lucchini RG, Guazzetti S, Renzetti S, Conversano M, Cagna G, Fedrighi C, et al.</w:t>
      </w:r>
      <w:r>
        <w:t xml:space="preserve"> </w:t>
      </w:r>
      <w:hyperlink r:id="rId155">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6"/>
    <w:bookmarkStart w:id="158" w:name="ref-earl2016LowlevelEnvironmentalLead"/>
    <w:p>
      <w:pPr>
        <w:pStyle w:val="Bibliography"/>
      </w:pPr>
      <w:r>
        <w:t xml:space="preserve">53.</w:t>
      </w:r>
      <w:r>
        <w:t xml:space="preserve"> </w:t>
      </w:r>
      <w:r>
        <w:t xml:space="preserve">	</w:t>
      </w:r>
      <w:r>
        <w:t xml:space="preserve">Earl R, Burns N, Nettelbeck T, Baghurst P.</w:t>
      </w:r>
      <w:r>
        <w:t xml:space="preserve"> </w:t>
      </w:r>
      <w:hyperlink r:id="rId157">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58"/>
    <w:bookmarkEnd w:id="159"/>
    <w:bookmarkEnd w:id="160"/>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4" Target="media/rId44.png" /><Relationship Type="http://schemas.openxmlformats.org/officeDocument/2006/relationships/hyperlink" Id="rId83" Target="https://doi.org/10.1001/jama.1990.03440050067035" TargetMode="External" /><Relationship Type="http://schemas.openxmlformats.org/officeDocument/2006/relationships/hyperlink" Id="rId93" Target="https://doi.org/10.1006/enrs.1994.1020" TargetMode="External" /><Relationship Type="http://schemas.openxmlformats.org/officeDocument/2006/relationships/hyperlink" Id="rId109"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65" Target="https://doi.org/10.1016/S0140-6736(24)00933-4"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44"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53"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142" Target="https://doi.org/10.1016/j.scitotenv.2019.134519" TargetMode="External" /><Relationship Type="http://schemas.openxmlformats.org/officeDocument/2006/relationships/hyperlink" Id="rId124" Target="https://doi.org/10.1038/s41370-022-00450-9" TargetMode="External" /><Relationship Type="http://schemas.openxmlformats.org/officeDocument/2006/relationships/hyperlink" Id="rId119"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57" Target="https://doi.org/10.1111/ajpy.12096" TargetMode="External" /><Relationship Type="http://schemas.openxmlformats.org/officeDocument/2006/relationships/hyperlink" Id="rId117" Target="https://doi.org/10.1136/bmj.n71" TargetMode="External" /><Relationship Type="http://schemas.openxmlformats.org/officeDocument/2006/relationships/hyperlink" Id="rId71" Target="https://doi.org/10.1161/JAHA.124.037633" TargetMode="External" /><Relationship Type="http://schemas.openxmlformats.org/officeDocument/2006/relationships/hyperlink" Id="rId107" Target="https://doi.org/10.1177/0013164495055004001" TargetMode="External" /><Relationship Type="http://schemas.openxmlformats.org/officeDocument/2006/relationships/hyperlink" Id="rId155" Target="https://doi.org/10.1186/s12940-019-0505-3" TargetMode="External" /><Relationship Type="http://schemas.openxmlformats.org/officeDocument/2006/relationships/hyperlink" Id="rId111"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05" Target="https://doi.org/10.1289/EHP5685" TargetMode="External" /><Relationship Type="http://schemas.openxmlformats.org/officeDocument/2006/relationships/hyperlink" Id="rId128"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8" Target="https://doi.org/10.18637/jss.v036.i03" TargetMode="External" /><Relationship Type="http://schemas.openxmlformats.org/officeDocument/2006/relationships/hyperlink" Id="rId131"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22"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35" Target="https://doi.org/10.48550/ARXIV.1111.4246" TargetMode="External" /><Relationship Type="http://schemas.openxmlformats.org/officeDocument/2006/relationships/hyperlink" Id="rId133" Target="https://doi.org/10.48550/ARXIV.1701.02434" TargetMode="External" /><Relationship Type="http://schemas.openxmlformats.org/officeDocument/2006/relationships/hyperlink" Id="rId140" Target="https://doi.org/doi:10.1289/EHP6803" TargetMode="External" /><Relationship Type="http://schemas.openxmlformats.org/officeDocument/2006/relationships/hyperlink" Id="rId146" Target="https://doi.org/doi:10.1289/ehp.1307420" TargetMode="External" /><Relationship Type="http://schemas.openxmlformats.org/officeDocument/2006/relationships/hyperlink" Id="rId126" Target="https://doi.org/doi:10.1289/ehp.7625" TargetMode="External" /><Relationship Type="http://schemas.openxmlformats.org/officeDocument/2006/relationships/hyperlink" Id="rId8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93" Target="https://doi.org/10.1006/enrs.1994.1020" TargetMode="External" /><Relationship Type="http://schemas.openxmlformats.org/officeDocument/2006/relationships/hyperlink" Id="rId109"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65" Target="https://doi.org/10.1016/S0140-6736(24)00933-4"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44"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53" Target="https://doi.org/10.1016/j.envres.2012.08.003" TargetMode="External" /><Relationship Type="http://schemas.openxmlformats.org/officeDocument/2006/relationships/hyperlink" Id="rId97" Target="https://doi.org/10.1016/j.envres.2019.02.023" TargetMode="External" /><Relationship Type="http://schemas.openxmlformats.org/officeDocument/2006/relationships/hyperlink" Id="rId99" Target="https://doi.org/10.1016/j.envres.2024.120013" TargetMode="External" /><Relationship Type="http://schemas.openxmlformats.org/officeDocument/2006/relationships/hyperlink" Id="rId151" Target="https://doi.org/10.1016/j.neuro.2013.05.005" TargetMode="External" /><Relationship Type="http://schemas.openxmlformats.org/officeDocument/2006/relationships/hyperlink" Id="rId142" Target="https://doi.org/10.1016/j.scitotenv.2019.134519" TargetMode="External" /><Relationship Type="http://schemas.openxmlformats.org/officeDocument/2006/relationships/hyperlink" Id="rId124" Target="https://doi.org/10.1038/s41370-022-00450-9" TargetMode="External" /><Relationship Type="http://schemas.openxmlformats.org/officeDocument/2006/relationships/hyperlink" Id="rId119"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5" Target="https://doi.org/10.1056/NEJMoa022848" TargetMode="External" /><Relationship Type="http://schemas.openxmlformats.org/officeDocument/2006/relationships/hyperlink" Id="rId101" Target="https://doi.org/10.1073/pnas.2118631119" TargetMode="External" /><Relationship Type="http://schemas.openxmlformats.org/officeDocument/2006/relationships/hyperlink" Id="rId157" Target="https://doi.org/10.1111/ajpy.12096" TargetMode="External" /><Relationship Type="http://schemas.openxmlformats.org/officeDocument/2006/relationships/hyperlink" Id="rId117" Target="https://doi.org/10.1136/bmj.n71" TargetMode="External" /><Relationship Type="http://schemas.openxmlformats.org/officeDocument/2006/relationships/hyperlink" Id="rId71" Target="https://doi.org/10.1161/JAHA.124.037633" TargetMode="External" /><Relationship Type="http://schemas.openxmlformats.org/officeDocument/2006/relationships/hyperlink" Id="rId107" Target="https://doi.org/10.1177/0013164495055004001" TargetMode="External" /><Relationship Type="http://schemas.openxmlformats.org/officeDocument/2006/relationships/hyperlink" Id="rId155" Target="https://doi.org/10.1186/s12940-019-0505-3" TargetMode="External" /><Relationship Type="http://schemas.openxmlformats.org/officeDocument/2006/relationships/hyperlink" Id="rId111" Target="https://doi.org/10.1186/s40537-018-0143-6" TargetMode="External" /><Relationship Type="http://schemas.openxmlformats.org/officeDocument/2006/relationships/hyperlink" Id="rId113" Target="https://doi.org/10.1201/9781003375821" TargetMode="External" /><Relationship Type="http://schemas.openxmlformats.org/officeDocument/2006/relationships/hyperlink" Id="rId105" Target="https://doi.org/10.1289/EHP5685" TargetMode="External" /><Relationship Type="http://schemas.openxmlformats.org/officeDocument/2006/relationships/hyperlink" Id="rId128"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8" Target="https://doi.org/10.18637/jss.v036.i03" TargetMode="External" /><Relationship Type="http://schemas.openxmlformats.org/officeDocument/2006/relationships/hyperlink" Id="rId131"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22" Target="https://doi.org/10.2903/sp.efsa.2024.EN-8925" TargetMode="External" /><Relationship Type="http://schemas.openxmlformats.org/officeDocument/2006/relationships/hyperlink" Id="rId103" Target="https://doi.org/10.3109/10408444.2013.832726" TargetMode="External" /><Relationship Type="http://schemas.openxmlformats.org/officeDocument/2006/relationships/hyperlink" Id="rId115" Target="https://doi.org/10.3758/s13423-013-0572-3" TargetMode="External" /><Relationship Type="http://schemas.openxmlformats.org/officeDocument/2006/relationships/hyperlink" Id="rId135" Target="https://doi.org/10.48550/ARXIV.1111.4246" TargetMode="External" /><Relationship Type="http://schemas.openxmlformats.org/officeDocument/2006/relationships/hyperlink" Id="rId133" Target="https://doi.org/10.48550/ARXIV.1701.02434" TargetMode="External" /><Relationship Type="http://schemas.openxmlformats.org/officeDocument/2006/relationships/hyperlink" Id="rId140" Target="https://doi.org/doi:10.1289/EHP6803" TargetMode="External" /><Relationship Type="http://schemas.openxmlformats.org/officeDocument/2006/relationships/hyperlink" Id="rId146" Target="https://doi.org/doi:10.1289/ehp.1307420" TargetMode="External" /><Relationship Type="http://schemas.openxmlformats.org/officeDocument/2006/relationships/hyperlink" Id="rId126" Target="https://doi.org/doi:10.1289/ehp.7625" TargetMode="External" /><Relationship Type="http://schemas.openxmlformats.org/officeDocument/2006/relationships/hyperlink" Id="rId87" Target="https://doi.org/doi:10.1289/ehp.7688" TargetMode="External" /><Relationship Type="http://schemas.openxmlformats.org/officeDocument/2006/relationships/hyperlink" Id="rId23"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6" Target="https://hbm.vito.be/eu-hbm-dashboard" TargetMode="External" /><Relationship Type="http://schemas.openxmlformats.org/officeDocument/2006/relationships/hyperlink" Id="rId21" Target="https://link.springer.com/journal/12963/submission-guidelines#aimsAndScope" TargetMode="External" /><Relationship Type="http://schemas.openxmlformats.org/officeDocument/2006/relationships/hyperlink" Id="rId28" Target="https://www.eu-parc.eu" TargetMode="External" /><Relationship Type="http://schemas.openxmlformats.org/officeDocument/2006/relationships/hyperlink" Id="rId22" Target="https://www.prisma-statement.org/prisma-2020"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Sell1,✉, Margaux Sanchez2, Philippe Palmont2, and Dietrich Plass1</dc:creator>
  <cp:keywords/>
  <dcterms:created xsi:type="dcterms:W3CDTF">2026-02-23T09:24:40Z</dcterms:created>
  <dcterms:modified xsi:type="dcterms:W3CDTF">2026-02-23T09:24:40Z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23 February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eference-section-title">
    <vt:lpwstr>References</vt:lpwstr>
  </property>
  <property fmtid="{D5CDD505-2E9C-101B-9397-08002B2CF9AE}" pid="15" name="toc-title">
    <vt:lpwstr>Table of contents</vt:lpwstr>
  </property>
</Properties>
</file>