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55569"/>
          <w:spacing w:val="20"/>
          <w:sz w:val="17"/>
          <w:szCs w:val="17"/>
        </w:rPr>
        <w:t xml:space="preserve">PROYECTO DE TÍTULO · INGENIERÍA EN INFORMÁTICA · DUOC UC, SEDE VALPARAÍSO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2313F"/>
          <w:sz w:val="44"/>
          <w:szCs w:val="44"/>
        </w:rPr>
        <w:t xml:space="preserve">Arquitectura del sistema</w:t>
      </w:r>
    </w:p>
    <w:p>
      <w:pPr>
        <w:spacing w:after="80"/>
      </w:pPr>
      <w:r>
        <w:rPr>
          <w:rFonts w:ascii="Calibri" w:cs="Calibri" w:eastAsia="Calibri" w:hAnsi="Calibri"/>
          <w:color w:val="3F5963"/>
          <w:sz w:val="22"/>
          <w:szCs w:val="22"/>
        </w:rPr>
        <w:t xml:space="preserve">Pethub: carnet sanitario digital y red de donantes de sangre para mascotas</w:t>
      </w:r>
    </w:p>
    <w:p>
      <w:pPr>
        <w:spacing w:after="40"/>
        <w:jc w:val="center"/>
      </w:pPr>
      <w:r>
        <w:drawing/>
      </w:r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276"/>
      </w:pPr>
      <w:r>
        <w:rPr>
          <w:rFonts w:ascii="Calibri" w:cs="Calibri" w:eastAsia="Calibri" w:hAnsi="Calibri"/>
          <w:sz w:val="19"/>
          <w:szCs w:val="19"/>
        </w:rPr>
        <w:t>Pethub se entrega como plataforma web con arquitectura cliente-servidor en tres capas: interfaz Angular e Ionic en el navegador, API REST Node.js y Express, y PostgreSQL mediante Prisma. Los avisos actuales se consultan dentro de la plataforma y los adjuntos se almacenan en el backend.</w:t>
      </w:r>
    </w:p>
    <w:p>
      <w:pPr>
        <w:sectPr>
          <w:footerReference w:type="default" r:id="rId7"/>
          <w:pgSz w:w="15840" w:h="12240" w:orient="landscape"/>
          <w:pgMar w:top="600" w:right="1000" w:bottom="500" w:left="1000" w:header="708" w:footer="708" w:gutter="0"/>
          <w:pgNumType/>
          <w:docGrid w:linePitch="360"/>
        </w:sectPr>
      </w:pPr>
    </w:p>
    <w:p>
      <w:pPr>
        <w:pStyle w:val="Heading2"/>
        <w:keepNext/>
        <w:pBdr>
          <w:bottom w:val="single" w:color="E8A33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2313F"/>
          <w:sz w:val="25"/>
          <w:szCs w:val="25"/>
        </w:rPr>
        <w:t xml:space="preserve">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4860"/>
      </w:tblGrid>
      <w:tr>
        <w:trPr>
          <w:tblHeader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12313F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12313F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12313F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2313F"/>
                <w:sz w:val="19"/>
                <w:szCs w:val="19"/>
              </w:rPr>
              <w:t>Interfaz web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Angular + Ionic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Pantallas y formularios en navegador; no se comprometen paquetes nativos Android/iOS.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2313F"/>
                <w:sz w:val="19"/>
                <w:szCs w:val="19"/>
              </w:rPr>
              <w:t>API REST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Node.js + Express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Autenticación, mascotas, carnet sanitario, donantes, solicitudes y notificaciones internas.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2313F"/>
                <w:sz w:val="19"/>
                <w:szCs w:val="19"/>
              </w:rPr>
              <w:t>Contacto y chat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Por definir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Se conserva como decisión pendiente; no se declara implementado.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2313F"/>
                <w:sz w:val="19"/>
                <w:szCs w:val="19"/>
              </w:rPr>
              <w:t>Base de datos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PostgreSQL + Prisma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Usuarios, mascotas, vacunas, registros médicos, documentos, recordatorios, donantes, solicitudes y notificaciones.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2313F"/>
                <w:sz w:val="19"/>
                <w:szCs w:val="19"/>
              </w:rPr>
              <w:t>Notificaciones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API REST + interfaz web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Consulta de avisos, filtro de no leídas y marcado persistente. Sin compromiso de push o correo.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2313F"/>
                <w:sz w:val="19"/>
                <w:szCs w:val="19"/>
              </w:rPr>
              <w:t>Archivos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uploads del backend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Adjuntos locales persistentes mediante volumen de Docker.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2313F"/>
                <w:sz w:val="19"/>
                <w:szCs w:val="19"/>
              </w:rPr>
              <w:t>Entorno local</w:t>
            </w:r>
          </w:p>
        </w:tc>
        <w:tc>
          <w:tcPr>
            <w:tcW w:type="dxa" w:w="26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Docker + Docker Compose</w:t>
            </w:r>
          </w:p>
        </w:tc>
        <w:tc>
          <w:tcPr>
            <w:tcW w:type="dxa" w:w="486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>API y PostgreSQL en contenedores; frontend iniciado por separado.</w:t>
            </w:r>
          </w:p>
        </w:tc>
      </w:tr>
    </w:tbl>
    <w:p>
      <w:pPr>
        <w:pStyle w:val="Heading2"/>
        <w:keepNext/>
        <w:pBdr>
          <w:bottom w:val="single" w:color="E8A33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2313F"/>
          <w:sz w:val="25"/>
          <w:szCs w:val="25"/>
        </w:rPr>
        <w:t xml:space="preserve">Cómo se comunican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</w:r>
      <w:r>
        <w:rPr>
          <w:rFonts w:ascii="Calibri" w:cs="Calibri" w:eastAsia="Calibri" w:hAnsi="Calibri"/>
          <w:sz w:val="20"/>
          <w:szCs w:val="20"/>
        </w:rPr>
      </w:r>
      <w:r>
        <w:rPr>
          <w:b/>
        </w:rPr>
        <w:t xml:space="preserve">Uso de la web. </w:t>
      </w:r>
      <w:r>
        <w:rPr>
          <w:b w:val="0"/>
        </w:rPr>
        <w:t>El navegador envía peticiones HTTP a la API REST en el entorno local; la API valida el token JWT cuando corresponde y responde en JSON. El despliegue público deberá configurar HTTPS.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</w:r>
      <w:r>
        <w:rPr>
          <w:rFonts w:ascii="Calibri" w:cs="Calibri" w:eastAsia="Calibri" w:hAnsi="Calibri"/>
          <w:sz w:val="20"/>
          <w:szCs w:val="20"/>
        </w:rPr>
      </w:r>
      <w:r>
        <w:rPr>
          <w:b/>
        </w:rPr>
        <w:t xml:space="preserve">Datos. </w:t>
      </w:r>
      <w:r>
        <w:rPr>
          <w:b w:val="0"/>
        </w:rPr>
        <w:t>La API consulta y modifica PostgreSQL mediante Prisma. Las migraciones se versionan en GitHub.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</w:r>
      <w:r>
        <w:rPr>
          <w:rFonts w:ascii="Calibri" w:cs="Calibri" w:eastAsia="Calibri" w:hAnsi="Calibri"/>
          <w:sz w:val="20"/>
          <w:szCs w:val="20"/>
        </w:rPr>
      </w:r>
      <w:r>
        <w:rPr>
          <w:b/>
        </w:rPr>
        <w:t xml:space="preserve">Contacto y chat. </w:t>
      </w:r>
      <w:r>
        <w:rPr>
          <w:b w:val="0"/>
        </w:rPr>
        <w:t>El alcance del contacto directo y del chat sigue por definir. Socket.io no se presenta como componente implementado ni como compromiso confirmado de esta entrega.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</w:r>
      <w:r>
        <w:rPr>
          <w:rFonts w:ascii="Calibri" w:cs="Calibri" w:eastAsia="Calibri" w:hAnsi="Calibri"/>
          <w:sz w:val="20"/>
          <w:szCs w:val="20"/>
        </w:rPr>
      </w:r>
      <w:r>
        <w:rPr>
          <w:b/>
        </w:rPr>
        <w:t xml:space="preserve">Avisos. </w:t>
      </w:r>
      <w:r>
        <w:rPr>
          <w:b w:val="0"/>
        </w:rPr>
        <w:t>Las solicitudes coincidentes generan notificaciones internas que el usuario consulta, filtra y marca como leídas. Los recordatorios de vacunas se consultan en la web. Push con FCM y correo no forman parte del comportamiento confirmado.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</w:r>
      <w:r>
        <w:rPr>
          <w:rFonts w:ascii="Calibri" w:cs="Calibri" w:eastAsia="Calibri" w:hAnsi="Calibri"/>
          <w:sz w:val="20"/>
          <w:szCs w:val="20"/>
        </w:rPr>
      </w:r>
      <w:r>
        <w:rPr>
          <w:b/>
        </w:rPr>
        <w:t xml:space="preserve">Archivos. </w:t>
      </w:r>
      <w:r>
        <w:rPr>
          <w:b w:val="0"/>
        </w:rPr>
        <w:t>El backend almacena los adjuntos en uploads y conserva sus referencias en PostgreSQL. Docker monta la carpeta en /app/uploads. No se presenta S3 o Cloudflare R2 como servicio implementado.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sz w:val="18"/>
          <w:szCs w:val="18"/>
        </w:rPr>
      </w:r>
      <w:r>
        <w:rPr>
          <w:rFonts w:ascii="Calibri" w:cs="Calibri" w:eastAsia="Calibri" w:hAnsi="Calibri"/>
          <w:sz w:val="18"/>
          <w:szCs w:val="18"/>
        </w:rPr>
      </w:r>
      <w:r>
        <w:rPr>
          <w:b/>
        </w:rPr>
        <w:t xml:space="preserve">Alcance vigente. </w:t>
      </w:r>
      <w:r>
        <w:rPr>
          <w:b w:val="0"/>
        </w:rPr>
        <w:t>Se mantienen el carnet sanitario, las solicitudes y la búsqueda de donantes. El foro se retira y se reemplaza por una sección educativa todavía no implementada, con contenidos y criterios detallados por validar. El chat y los módulos nuevos de la práctica permanecen por definir. La aptitud médica del donante siempre corresponde a un veterinario.</w:t>
      </w:r>
    </w:p>
    <w:p>
      <w:r>
        <w:rPr>
          <w:rFonts w:ascii="Calibri" w:hAnsi="Calibri"/>
          <w:b w:val="0"/>
          <w:sz w:val="22"/>
        </w:rPr>
        <w:t>Actualización de alcance: 27-10-2026. La sección educativa reemplaza al foro; su detalle funcional requiere validación antes de comprometer esfuerzo o fecha.</w:t>
      </w:r>
    </w:p>
    <w:sectPr>
      <w:footerReference w:type="default" r:id="rId8"/>
      <w:pgSz w:w="12240" w:h="15840" w:orient="portrait"/>
      <w:pgMar w:top="10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F86"/>
        <w:sz w:val="17"/>
        <w:szCs w:val="17"/>
      </w:rPr>
      <w:t xml:space="preserve">Arquitectura del sistema — Pethub · Página </w:t>
    </w:r>
    <w:r>
      <w:rPr>
        <w:rFonts w:ascii="Calibri" w:cs="Calibri" w:eastAsia="Calibri" w:hAnsi="Calibri"/>
        <w:color w:val="6B7F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F86"/>
        <w:sz w:val="17"/>
        <w:szCs w:val="17"/>
      </w:rPr>
      <w:t xml:space="preserve">Arquitectura del sistema — Pethub · Página </w:t>
    </w:r>
    <w:r>
      <w:rPr>
        <w:rFonts w:ascii="Calibri" w:cs="Calibri" w:eastAsia="Calibri" w:hAnsi="Calibri"/>
        <w:color w:val="6B7F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Calibri" w:cs="Calibri" w:eastAsia="Calibri" w:hAnsi="Calibri"/>
      <w:b/>
      <w:bCs/>
      <w:color w:val="12313F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706a4a09501cd03b882f887bb238619cbf564e5.png"/><Relationship Id="rId10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Arquitectura del sistema — Pethub</dc:title>
  <dc:creator>Equipo Pethub</dc:creator>
  <cp:lastModifiedBy>Un-named</cp:lastModifiedBy>
  <cp:revision>1</cp:revision>
  <dcterms:created xsi:type="dcterms:W3CDTF">2026-10-06T23:46:34.311Z</dcterms:created>
  <dcterms:modified xsi:type="dcterms:W3CDTF">2026-10-06T23:46:34.312Z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