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32"/>
          <w:szCs w:val="32"/>
        </w:rPr>
      </w:pPr>
      <w:bookmarkStart w:colFirst="0" w:colLast="0" w:name="_tr3f1yt1ln87" w:id="0"/>
      <w:bookmarkEnd w:id="0"/>
      <w:r w:rsidDel="00000000" w:rsidR="00000000" w:rsidRPr="00000000">
        <w:rPr>
          <w:b w:val="1"/>
          <w:sz w:val="32"/>
          <w:szCs w:val="32"/>
          <w:rtl w:val="0"/>
        </w:rPr>
        <w:t xml:space="preserve">1         Contexte de l’étude :</w:t>
      </w:r>
    </w:p>
    <w:p w:rsidR="00000000" w:rsidDel="00000000" w:rsidP="00000000" w:rsidRDefault="00000000" w:rsidRPr="00000000" w14:paraId="00000002">
      <w:pPr>
        <w:rPr/>
      </w:pPr>
      <w:r w:rsidDel="00000000" w:rsidR="00000000" w:rsidRPr="00000000">
        <w:rPr>
          <w:rtl w:val="0"/>
        </w:rPr>
        <w:t xml:space="preserve">Gestint est une application web permettant à l’opérateur de Pyrescom de gérer les tournées des techniciens. Chaque technicien est référencé, ainsi que le matériel les clients et les prestations. L’évolution devra permettre aux techniciens d’utiliser Gestint à travers une application sur des dispositifs mobiles.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0" w:line="240" w:lineRule="auto"/>
        <w:rPr/>
      </w:pPr>
      <w:r w:rsidDel="00000000" w:rsidR="00000000" w:rsidRPr="00000000">
        <w:rPr>
          <w:rtl w:val="0"/>
        </w:rPr>
        <w:t xml:space="preserve">L’application mobile peut actuellement récupérer les informations grâce au fichier csv. Elle peut lire les informations concernant la tournée du technicien. De plus, elle permet de suivre l’intervention du technicien. Pour finir, le client peut signer le rapport de l’intervention. </w:t>
      </w:r>
    </w:p>
    <w:p w:rsidR="00000000" w:rsidDel="00000000" w:rsidP="00000000" w:rsidRDefault="00000000" w:rsidRPr="00000000" w14:paraId="00000005">
      <w:pPr>
        <w:spacing w:after="160" w:before="0" w:line="240" w:lineRule="auto"/>
        <w:rPr/>
      </w:pPr>
      <w:r w:rsidDel="00000000" w:rsidR="00000000" w:rsidRPr="00000000">
        <w:rPr>
          <w:rtl w:val="0"/>
        </w:rPr>
      </w:r>
    </w:p>
    <w:p w:rsidR="00000000" w:rsidDel="00000000" w:rsidP="00000000" w:rsidRDefault="00000000" w:rsidRPr="00000000" w14:paraId="00000006">
      <w:pPr>
        <w:spacing w:after="0" w:before="0" w:line="240" w:lineRule="auto"/>
        <w:rPr/>
      </w:pPr>
      <w:r w:rsidDel="00000000" w:rsidR="00000000" w:rsidRPr="00000000">
        <w:rPr>
          <w:rtl w:val="0"/>
        </w:rPr>
        <w:t xml:space="preserve">L’application web est actuellement stockée sur un serveur web qui contient Apache 2.4.7 et PHP 5.5. Concernant la base de données, elle est sous MySQL 5.5.50. Le serveur web est dans la VM qui se trouve elle-même dans l’Intranet de l’ESXi. Ce serveur web est accessible par l’interface réseau à l’adresse IP 10.0.249.14. Gestint est accessible par Internet grâce à TRAEFIK qui fait le lien entre le nom de domaine (gestint.pyres.com) et l’adresse IP.</w:t>
        <w:br w:type="textWrapping"/>
      </w:r>
    </w:p>
    <w:p w:rsidR="00000000" w:rsidDel="00000000" w:rsidP="00000000" w:rsidRDefault="00000000" w:rsidRPr="00000000" w14:paraId="00000007">
      <w:pPr>
        <w:pStyle w:val="Heading1"/>
        <w:keepNext w:val="0"/>
        <w:keepLines w:val="0"/>
        <w:spacing w:before="480" w:lineRule="auto"/>
        <w:rPr>
          <w:b w:val="1"/>
          <w:sz w:val="32"/>
          <w:szCs w:val="32"/>
        </w:rPr>
      </w:pPr>
      <w:bookmarkStart w:colFirst="0" w:colLast="0" w:name="_6y15fuymq9k5" w:id="1"/>
      <w:bookmarkEnd w:id="1"/>
      <w:r w:rsidDel="00000000" w:rsidR="00000000" w:rsidRPr="00000000">
        <w:rPr>
          <w:b w:val="1"/>
          <w:sz w:val="32"/>
          <w:szCs w:val="32"/>
          <w:rtl w:val="0"/>
        </w:rPr>
        <w:t xml:space="preserve">2         Périmètre et niveau de remise en cause :</w:t>
      </w:r>
    </w:p>
    <w:p w:rsidR="00000000" w:rsidDel="00000000" w:rsidP="00000000" w:rsidRDefault="00000000" w:rsidRPr="00000000" w14:paraId="00000008">
      <w:pPr>
        <w:rPr/>
      </w:pPr>
      <w:r w:rsidDel="00000000" w:rsidR="00000000" w:rsidRPr="00000000">
        <w:rPr>
          <w:rtl w:val="0"/>
        </w:rPr>
        <w:t xml:space="preserve">Gestint permet actuellement à l’opérateur de Pyrescom de gérer les tournées des techniciens. Pour effectuer l’évolution vers le dispositif mobile, nous allons faire en sorte de pouvoir exporter des données de l’application web vers le dispositif mobile. Pour ce faire, un bouton “exporter vers la tablette” sera ajouté. Il exportera les données sous format csv. Nous l’importons ensuite dans le dispositif mobile (voir annexe 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Le technicien peut ajouter, mettre à jour et supprimer des données via le dispositif mobile. Une fois sa tournée effectuée, nous exportons les données (voir annexe 4) sous format csv pour les réinjecter dans Gestint (voir annexe 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Lors de la réception des données par Gestint, des comparaisons seront effectuées avec les données déjà présentes. Pour effectuer ces transferts, une table “trafic” sera ajoutée à la base de données existante. Tous ces échanges seront effectués par des fonctions (voir annexe 3).</w:t>
        <w:br w:type="textWrapping"/>
      </w:r>
    </w:p>
    <w:p w:rsidR="00000000" w:rsidDel="00000000" w:rsidP="00000000" w:rsidRDefault="00000000" w:rsidRPr="00000000" w14:paraId="0000000D">
      <w:pPr>
        <w:rPr/>
      </w:pPr>
      <w:r w:rsidDel="00000000" w:rsidR="00000000" w:rsidRPr="00000000">
        <w:rPr>
          <w:rtl w:val="0"/>
        </w:rPr>
        <w:t xml:space="preserve">De plus, dans la page modification du matériel “modifMateriel”, nous devons ajouter un statut “non accessible” ainsi que des champs pour placer des éléments qui sont actuellement écrits dans le champ description. </w:t>
      </w:r>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rPr>
          <w:b w:val="1"/>
          <w:sz w:val="32"/>
          <w:szCs w:val="32"/>
        </w:rPr>
      </w:pPr>
      <w:bookmarkStart w:colFirst="0" w:colLast="0" w:name="_6ksf174cnb5i" w:id="2"/>
      <w:bookmarkEnd w:id="2"/>
      <w:r w:rsidDel="00000000" w:rsidR="00000000" w:rsidRPr="00000000">
        <w:rPr>
          <w:rtl w:val="0"/>
        </w:rPr>
      </w:r>
    </w:p>
    <w:p w:rsidR="00000000" w:rsidDel="00000000" w:rsidP="00000000" w:rsidRDefault="00000000" w:rsidRPr="00000000" w14:paraId="0000000F">
      <w:pPr>
        <w:pStyle w:val="Heading1"/>
        <w:keepNext w:val="0"/>
        <w:keepLines w:val="0"/>
        <w:spacing w:before="480" w:lineRule="auto"/>
        <w:rPr>
          <w:b w:val="1"/>
          <w:sz w:val="32"/>
          <w:szCs w:val="32"/>
        </w:rPr>
      </w:pPr>
      <w:bookmarkStart w:colFirst="0" w:colLast="0" w:name="_xwm9pvrurspq" w:id="3"/>
      <w:bookmarkEnd w:id="3"/>
      <w:r w:rsidDel="00000000" w:rsidR="00000000" w:rsidRPr="00000000">
        <w:rPr>
          <w:rtl w:val="0"/>
        </w:rPr>
      </w:r>
    </w:p>
    <w:p w:rsidR="00000000" w:rsidDel="00000000" w:rsidP="00000000" w:rsidRDefault="00000000" w:rsidRPr="00000000" w14:paraId="00000010">
      <w:pPr>
        <w:pStyle w:val="Heading1"/>
        <w:keepNext w:val="0"/>
        <w:keepLines w:val="0"/>
        <w:spacing w:before="480" w:lineRule="auto"/>
        <w:rPr>
          <w:b w:val="1"/>
          <w:sz w:val="32"/>
          <w:szCs w:val="32"/>
        </w:rPr>
      </w:pPr>
      <w:bookmarkStart w:colFirst="0" w:colLast="0" w:name="_r91svjy80mip" w:id="4"/>
      <w:bookmarkEnd w:id="4"/>
      <w:r w:rsidDel="00000000" w:rsidR="00000000" w:rsidRPr="00000000">
        <w:rPr>
          <w:rtl w:val="0"/>
        </w:rPr>
      </w:r>
    </w:p>
    <w:p w:rsidR="00000000" w:rsidDel="00000000" w:rsidP="00000000" w:rsidRDefault="00000000" w:rsidRPr="00000000" w14:paraId="00000011">
      <w:pPr>
        <w:pStyle w:val="Heading1"/>
        <w:keepNext w:val="0"/>
        <w:keepLines w:val="0"/>
        <w:spacing w:before="480" w:lineRule="auto"/>
        <w:rPr>
          <w:b w:val="1"/>
          <w:sz w:val="32"/>
          <w:szCs w:val="32"/>
        </w:rPr>
      </w:pPr>
      <w:bookmarkStart w:colFirst="0" w:colLast="0" w:name="_t4czkgu3o6p9" w:id="5"/>
      <w:bookmarkEnd w:id="5"/>
      <w:r w:rsidDel="00000000" w:rsidR="00000000" w:rsidRPr="00000000">
        <w:rPr>
          <w:b w:val="1"/>
          <w:sz w:val="32"/>
          <w:szCs w:val="32"/>
          <w:rtl w:val="0"/>
        </w:rPr>
        <w:t xml:space="preserve">3         Les objectifs :</w:t>
      </w:r>
    </w:p>
    <w:p w:rsidR="00000000" w:rsidDel="00000000" w:rsidP="00000000" w:rsidRDefault="00000000" w:rsidRPr="00000000" w14:paraId="00000012">
      <w:pPr>
        <w:rPr/>
      </w:pPr>
      <w:r w:rsidDel="00000000" w:rsidR="00000000" w:rsidRPr="00000000">
        <w:rPr>
          <w:rtl w:val="0"/>
        </w:rPr>
        <w:t xml:space="preserve">Gain de temps pour l’opérateur de Pyrescom.</w:t>
      </w:r>
    </w:p>
    <w:p w:rsidR="00000000" w:rsidDel="00000000" w:rsidP="00000000" w:rsidRDefault="00000000" w:rsidRPr="00000000" w14:paraId="00000013">
      <w:pPr>
        <w:rPr>
          <w:b w:val="1"/>
          <w:sz w:val="32"/>
          <w:szCs w:val="32"/>
        </w:rPr>
      </w:pPr>
      <w:r w:rsidDel="00000000" w:rsidR="00000000" w:rsidRPr="00000000">
        <w:rPr>
          <w:rtl w:val="0"/>
        </w:rPr>
        <w:t xml:space="preserve">Faciliter le travail des techniciens.</w:t>
      </w:r>
      <w:r w:rsidDel="00000000" w:rsidR="00000000" w:rsidRPr="00000000">
        <w:rPr>
          <w:rtl w:val="0"/>
        </w:rPr>
      </w:r>
    </w:p>
    <w:p w:rsidR="00000000" w:rsidDel="00000000" w:rsidP="00000000" w:rsidRDefault="00000000" w:rsidRPr="00000000" w14:paraId="00000014">
      <w:pPr>
        <w:pStyle w:val="Heading1"/>
        <w:keepNext w:val="0"/>
        <w:keepLines w:val="0"/>
        <w:spacing w:before="480" w:lineRule="auto"/>
        <w:rPr>
          <w:b w:val="1"/>
          <w:sz w:val="32"/>
          <w:szCs w:val="32"/>
        </w:rPr>
      </w:pPr>
      <w:bookmarkStart w:colFirst="0" w:colLast="0" w:name="_34wwcwdrtpck" w:id="6"/>
      <w:bookmarkEnd w:id="6"/>
      <w:r w:rsidDel="00000000" w:rsidR="00000000" w:rsidRPr="00000000">
        <w:rPr>
          <w:b w:val="1"/>
          <w:sz w:val="32"/>
          <w:szCs w:val="32"/>
          <w:rtl w:val="0"/>
        </w:rPr>
        <w:t xml:space="preserve">4         Prise en compte du RGPD :</w:t>
      </w:r>
    </w:p>
    <w:p w:rsidR="00000000" w:rsidDel="00000000" w:rsidP="00000000" w:rsidRDefault="00000000" w:rsidRPr="00000000" w14:paraId="00000015">
      <w:pPr>
        <w:rPr/>
      </w:pPr>
      <w:r w:rsidDel="00000000" w:rsidR="00000000" w:rsidRPr="00000000">
        <w:rPr>
          <w:rtl w:val="0"/>
        </w:rPr>
        <w:t xml:space="preserve">Le respect du RGPD se fait manuellement par l’opérateur de Pyrescom.</w:t>
      </w:r>
      <w:r w:rsidDel="00000000" w:rsidR="00000000" w:rsidRPr="00000000">
        <w:rPr>
          <w:rtl w:val="0"/>
        </w:rPr>
      </w:r>
    </w:p>
    <w:p w:rsidR="00000000" w:rsidDel="00000000" w:rsidP="00000000" w:rsidRDefault="00000000" w:rsidRPr="00000000" w14:paraId="00000016">
      <w:pPr>
        <w:rPr>
          <w:b w:val="1"/>
          <w:sz w:val="32"/>
          <w:szCs w:val="32"/>
        </w:rPr>
      </w:pPr>
      <w:r w:rsidDel="00000000" w:rsidR="00000000" w:rsidRPr="00000000">
        <w:rPr>
          <w:rtl w:val="0"/>
        </w:rPr>
      </w:r>
    </w:p>
    <w:p w:rsidR="00000000" w:rsidDel="00000000" w:rsidP="00000000" w:rsidRDefault="00000000" w:rsidRPr="00000000" w14:paraId="00000017">
      <w:pPr>
        <w:rPr>
          <w:b w:val="1"/>
          <w:sz w:val="32"/>
          <w:szCs w:val="32"/>
        </w:rPr>
      </w:pPr>
      <w:r w:rsidDel="00000000" w:rsidR="00000000" w:rsidRPr="00000000">
        <w:rPr>
          <w:b w:val="1"/>
          <w:sz w:val="32"/>
          <w:szCs w:val="32"/>
          <w:rtl w:val="0"/>
        </w:rPr>
        <w:t xml:space="preserve">5         L’équipe :</w:t>
      </w:r>
    </w:p>
    <w:p w:rsidR="00000000" w:rsidDel="00000000" w:rsidP="00000000" w:rsidRDefault="00000000" w:rsidRPr="00000000" w14:paraId="00000018">
      <w:pPr>
        <w:rPr/>
      </w:pPr>
      <w:r w:rsidDel="00000000" w:rsidR="00000000" w:rsidRPr="00000000">
        <w:rPr>
          <w:rtl w:val="0"/>
        </w:rPr>
        <w:t xml:space="preserve">L’équipe est composée de deux stagiaires, étudiants en seconde année de BTS SIO option SLAM.</w:t>
      </w:r>
      <w:r w:rsidDel="00000000" w:rsidR="00000000" w:rsidRPr="00000000">
        <w:rPr>
          <w:rtl w:val="0"/>
        </w:rPr>
      </w:r>
    </w:p>
    <w:p w:rsidR="00000000" w:rsidDel="00000000" w:rsidP="00000000" w:rsidRDefault="00000000" w:rsidRPr="00000000" w14:paraId="00000019">
      <w:pPr>
        <w:pStyle w:val="Heading1"/>
        <w:keepNext w:val="0"/>
        <w:keepLines w:val="0"/>
        <w:spacing w:before="480" w:lineRule="auto"/>
        <w:rPr>
          <w:b w:val="1"/>
          <w:sz w:val="32"/>
          <w:szCs w:val="32"/>
        </w:rPr>
      </w:pPr>
      <w:bookmarkStart w:colFirst="0" w:colLast="0" w:name="_d2zvs3kl0znr" w:id="7"/>
      <w:bookmarkEnd w:id="7"/>
      <w:r w:rsidDel="00000000" w:rsidR="00000000" w:rsidRPr="00000000">
        <w:rPr>
          <w:b w:val="1"/>
          <w:sz w:val="32"/>
          <w:szCs w:val="32"/>
          <w:rtl w:val="0"/>
        </w:rPr>
        <w:t xml:space="preserve">6         Budget du projet :</w:t>
      </w:r>
    </w:p>
    <w:p w:rsidR="00000000" w:rsidDel="00000000" w:rsidP="00000000" w:rsidRDefault="00000000" w:rsidRPr="00000000" w14:paraId="0000001A">
      <w:pPr>
        <w:rPr>
          <w:b w:val="1"/>
          <w:u w:val="single"/>
        </w:rPr>
      </w:pPr>
      <w:r w:rsidDel="00000000" w:rsidR="00000000" w:rsidRPr="00000000">
        <w:rPr>
          <w:rtl w:val="0"/>
        </w:rPr>
        <w:t xml:space="preserve">Projet interne à l’entreprise, donc pas de coûts de production.</w:t>
      </w:r>
      <w:r w:rsidDel="00000000" w:rsidR="00000000" w:rsidRPr="00000000">
        <w:rPr>
          <w:rtl w:val="0"/>
        </w:rPr>
      </w:r>
    </w:p>
    <w:p w:rsidR="00000000" w:rsidDel="00000000" w:rsidP="00000000" w:rsidRDefault="00000000" w:rsidRPr="00000000" w14:paraId="0000001B">
      <w:pPr>
        <w:pStyle w:val="Heading1"/>
        <w:keepNext w:val="0"/>
        <w:keepLines w:val="0"/>
        <w:spacing w:before="480" w:lineRule="auto"/>
        <w:rPr>
          <w:b w:val="1"/>
          <w:sz w:val="32"/>
          <w:szCs w:val="32"/>
        </w:rPr>
      </w:pPr>
      <w:bookmarkStart w:colFirst="0" w:colLast="0" w:name="_w7wn31av5dcd" w:id="8"/>
      <w:bookmarkEnd w:id="8"/>
      <w:r w:rsidDel="00000000" w:rsidR="00000000" w:rsidRPr="00000000">
        <w:rPr>
          <w:b w:val="1"/>
          <w:sz w:val="32"/>
          <w:szCs w:val="32"/>
          <w:rtl w:val="0"/>
        </w:rPr>
        <w:t xml:space="preserve">7         Les enjeux du projet : </w:t>
      </w:r>
    </w:p>
    <w:p w:rsidR="00000000" w:rsidDel="00000000" w:rsidP="00000000" w:rsidRDefault="00000000" w:rsidRPr="00000000" w14:paraId="0000001C">
      <w:pPr>
        <w:rPr/>
      </w:pPr>
      <w:r w:rsidDel="00000000" w:rsidR="00000000" w:rsidRPr="00000000">
        <w:rPr>
          <w:rtl w:val="0"/>
        </w:rPr>
        <w:t xml:space="preserve">Faire en sorte que l’outil de dématérialisation fonctionne.</w:t>
      </w:r>
      <w:r w:rsidDel="00000000" w:rsidR="00000000" w:rsidRPr="00000000">
        <w:rPr>
          <w:rtl w:val="0"/>
        </w:rPr>
      </w:r>
    </w:p>
    <w:p w:rsidR="00000000" w:rsidDel="00000000" w:rsidP="00000000" w:rsidRDefault="00000000" w:rsidRPr="00000000" w14:paraId="0000001D">
      <w:pPr>
        <w:pStyle w:val="Heading1"/>
        <w:keepNext w:val="0"/>
        <w:keepLines w:val="0"/>
        <w:spacing w:before="480" w:lineRule="auto"/>
        <w:rPr>
          <w:b w:val="1"/>
          <w:sz w:val="32"/>
          <w:szCs w:val="32"/>
        </w:rPr>
      </w:pPr>
      <w:bookmarkStart w:colFirst="0" w:colLast="0" w:name="_dyfz99rvj5el" w:id="9"/>
      <w:bookmarkEnd w:id="9"/>
      <w:r w:rsidDel="00000000" w:rsidR="00000000" w:rsidRPr="00000000">
        <w:rPr>
          <w:b w:val="1"/>
          <w:sz w:val="32"/>
          <w:szCs w:val="32"/>
          <w:rtl w:val="0"/>
        </w:rPr>
        <w:t xml:space="preserve">8         Le planning :</w:t>
      </w:r>
    </w:p>
    <w:p w:rsidR="00000000" w:rsidDel="00000000" w:rsidP="00000000" w:rsidRDefault="00000000" w:rsidRPr="00000000" w14:paraId="0000001E">
      <w:pPr>
        <w:rPr/>
      </w:pPr>
      <w:r w:rsidDel="00000000" w:rsidR="00000000" w:rsidRPr="00000000">
        <w:rPr>
          <w:i w:val="1"/>
          <w:rtl w:val="0"/>
        </w:rPr>
        <w:t xml:space="preserve">(macro planning afin de situer les grandes périodes)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br w:type="textWrapping"/>
        <w:br w:type="textWrapping"/>
        <w:br w:type="textWrapping"/>
        <w:br w:type="textWrapping"/>
      </w:r>
    </w:p>
    <w:tbl>
      <w:tblPr>
        <w:tblStyle w:val="Table1"/>
        <w:tblW w:w="11895.0" w:type="dxa"/>
        <w:jc w:val="left"/>
        <w:tblInd w:w="-13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575"/>
        <w:gridCol w:w="2145"/>
        <w:gridCol w:w="915"/>
        <w:gridCol w:w="6120"/>
        <w:tblGridChange w:id="0">
          <w:tblGrid>
            <w:gridCol w:w="1140"/>
            <w:gridCol w:w="1575"/>
            <w:gridCol w:w="2145"/>
            <w:gridCol w:w="915"/>
            <w:gridCol w:w="6120"/>
          </w:tblGrid>
        </w:tblGridChange>
      </w:tblGrid>
      <w:tr>
        <w:trPr>
          <w:trHeight w:val="620" w:hRule="atLeast"/>
        </w:trPr>
        <w:tc>
          <w:tcPr>
            <w:gridSpan w:val="5"/>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ind w:left="100" w:right="100" w:firstLine="0"/>
              <w:rPr>
                <w:rFonts w:ascii="Calibri" w:cs="Calibri" w:eastAsia="Calibri" w:hAnsi="Calibri"/>
                <w:b w:val="1"/>
                <w:color w:val="404040"/>
              </w:rPr>
            </w:pPr>
            <w:r w:rsidDel="00000000" w:rsidR="00000000" w:rsidRPr="00000000">
              <w:rPr>
                <w:rFonts w:ascii="Calibri" w:cs="Calibri" w:eastAsia="Calibri" w:hAnsi="Calibri"/>
                <w:b w:val="1"/>
                <w:color w:val="404040"/>
                <w:rtl w:val="0"/>
              </w:rPr>
              <w:t xml:space="preserve">HISTORIQUE :</w:t>
            </w:r>
          </w:p>
        </w:tc>
      </w:tr>
      <w:tr>
        <w:tc>
          <w:tcPr>
            <w:tcBorders>
              <w:top w:color="000000" w:space="0" w:sz="0" w:val="nil"/>
              <w:left w:color="000000" w:space="0" w:sz="0" w:val="nil"/>
              <w:bottom w:color="bfbfbf" w:space="0" w:sz="8" w:val="single"/>
              <w:right w:color="c300c8" w:space="0" w:sz="8" w:val="single"/>
            </w:tcBorders>
            <w:shd w:fill="262626"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ind w:left="100" w:right="100" w:firstLine="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Version</w:t>
            </w:r>
          </w:p>
        </w:tc>
        <w:tc>
          <w:tcPr>
            <w:tcBorders>
              <w:top w:color="000000" w:space="0" w:sz="0" w:val="nil"/>
              <w:left w:color="000000" w:space="0" w:sz="0" w:val="nil"/>
              <w:bottom w:color="bfbfbf" w:space="0" w:sz="8" w:val="single"/>
              <w:right w:color="c300c8" w:space="0" w:sz="8" w:val="single"/>
            </w:tcBorders>
            <w:shd w:fill="e24b48"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ind w:left="100" w:right="100" w:firstLine="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Date</w:t>
            </w:r>
          </w:p>
        </w:tc>
        <w:tc>
          <w:tcPr>
            <w:tcBorders>
              <w:top w:color="000000" w:space="0" w:sz="0" w:val="nil"/>
              <w:left w:color="000000" w:space="0" w:sz="0" w:val="nil"/>
              <w:bottom w:color="bfbfbf" w:space="0" w:sz="8" w:val="single"/>
              <w:right w:color="c300c8" w:space="0" w:sz="8" w:val="single"/>
            </w:tcBorders>
            <w:shd w:fill="ff3300"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ind w:left="100" w:right="100" w:firstLine="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Auteur</w:t>
            </w:r>
          </w:p>
        </w:tc>
        <w:tc>
          <w:tcPr>
            <w:tcBorders>
              <w:top w:color="000000" w:space="0" w:sz="0" w:val="nil"/>
              <w:left w:color="000000" w:space="0" w:sz="0" w:val="nil"/>
              <w:bottom w:color="bfbfbf" w:space="0" w:sz="8" w:val="single"/>
              <w:right w:color="c300c8" w:space="0" w:sz="8" w:val="single"/>
            </w:tcBorders>
            <w:shd w:fill="be1522"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ind w:left="100" w:right="100" w:firstLine="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Page</w:t>
            </w:r>
          </w:p>
        </w:tc>
        <w:tc>
          <w:tcPr>
            <w:tcBorders>
              <w:top w:color="000000" w:space="0" w:sz="0" w:val="nil"/>
              <w:left w:color="000000" w:space="0" w:sz="0" w:val="nil"/>
              <w:bottom w:color="bfbfbf" w:space="0" w:sz="8" w:val="single"/>
              <w:right w:color="000000" w:space="0" w:sz="0" w:val="nil"/>
            </w:tcBorders>
            <w:shd w:fill="862608"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ind w:left="100" w:right="100" w:firstLine="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Modifications</w:t>
            </w:r>
          </w:p>
        </w:tc>
      </w:tr>
      <w:tr>
        <w:trPr>
          <w:trHeight w:val="500" w:hRule="atLeast"/>
        </w:trPr>
        <w:tc>
          <w:tcPr>
            <w:tcBorders>
              <w:top w:color="000000" w:space="0" w:sz="0" w:val="nil"/>
              <w:left w:color="000000" w:space="0" w:sz="0" w:val="nil"/>
              <w:bottom w:color="bfbfbf" w:space="0" w:sz="8" w:val="single"/>
              <w:right w:color="c300c8"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B">
            <w:pPr>
              <w:ind w:left="100" w:right="100" w:firstLine="0"/>
              <w:rPr>
                <w:rFonts w:ascii="Calibri" w:cs="Calibri" w:eastAsia="Calibri" w:hAnsi="Calibri"/>
              </w:rPr>
            </w:pPr>
            <w:r w:rsidDel="00000000" w:rsidR="00000000" w:rsidRPr="00000000">
              <w:rPr>
                <w:rFonts w:ascii="Calibri" w:cs="Calibri" w:eastAsia="Calibri" w:hAnsi="Calibri"/>
                <w:rtl w:val="0"/>
              </w:rPr>
              <w:t xml:space="preserve"> 1</w:t>
            </w:r>
          </w:p>
        </w:tc>
        <w:tc>
          <w:tcPr>
            <w:tcBorders>
              <w:top w:color="000000" w:space="0" w:sz="0" w:val="nil"/>
              <w:left w:color="000000" w:space="0" w:sz="0" w:val="nil"/>
              <w:bottom w:color="bfbfbf" w:space="0" w:sz="8" w:val="single"/>
              <w:right w:color="c300c8"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C">
            <w:pPr>
              <w:ind w:left="100" w:right="100" w:firstLine="0"/>
              <w:rPr>
                <w:rFonts w:ascii="Calibri" w:cs="Calibri" w:eastAsia="Calibri" w:hAnsi="Calibri"/>
              </w:rPr>
            </w:pPr>
            <w:r w:rsidDel="00000000" w:rsidR="00000000" w:rsidRPr="00000000">
              <w:rPr>
                <w:rFonts w:ascii="Calibri" w:cs="Calibri" w:eastAsia="Calibri" w:hAnsi="Calibri"/>
                <w:rtl w:val="0"/>
              </w:rPr>
              <w:t xml:space="preserve"> 21/01/2019</w:t>
            </w:r>
          </w:p>
        </w:tc>
        <w:tc>
          <w:tcPr>
            <w:tcBorders>
              <w:top w:color="000000" w:space="0" w:sz="0" w:val="nil"/>
              <w:left w:color="000000" w:space="0" w:sz="0" w:val="nil"/>
              <w:bottom w:color="bfbfbf" w:space="0" w:sz="8" w:val="single"/>
              <w:right w:color="c300c8"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D">
            <w:pPr>
              <w:ind w:left="100" w:right="100" w:firstLine="0"/>
              <w:rPr>
                <w:rFonts w:ascii="Calibri" w:cs="Calibri" w:eastAsia="Calibri" w:hAnsi="Calibri"/>
              </w:rPr>
            </w:pPr>
            <w:r w:rsidDel="00000000" w:rsidR="00000000" w:rsidRPr="00000000">
              <w:rPr>
                <w:rFonts w:ascii="Calibri" w:cs="Calibri" w:eastAsia="Calibri" w:hAnsi="Calibri"/>
                <w:rtl w:val="0"/>
              </w:rPr>
              <w:t xml:space="preserve">Charles Goedefroit et Pauline Delhaye</w:t>
            </w:r>
          </w:p>
        </w:tc>
        <w:tc>
          <w:tcPr>
            <w:tcBorders>
              <w:top w:color="000000" w:space="0" w:sz="0" w:val="nil"/>
              <w:left w:color="000000" w:space="0" w:sz="0" w:val="nil"/>
              <w:bottom w:color="bfbfbf" w:space="0" w:sz="8" w:val="single"/>
              <w:right w:color="c300c8"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E">
            <w:pPr>
              <w:ind w:left="100" w:right="100" w:firstLine="0"/>
              <w:rPr>
                <w:rFonts w:ascii="Calibri" w:cs="Calibri" w:eastAsia="Calibri" w:hAnsi="Calibri"/>
              </w:rPr>
            </w:pPr>
            <w:r w:rsidDel="00000000" w:rsidR="00000000" w:rsidRPr="00000000">
              <w:rPr>
                <w:rFonts w:ascii="Calibri" w:cs="Calibri" w:eastAsia="Calibri" w:hAnsi="Calibri"/>
                <w:rtl w:val="0"/>
              </w:rPr>
              <w:t xml:space="preserve"> [1-4]</w:t>
            </w:r>
          </w:p>
        </w:tc>
        <w:tc>
          <w:tcPr>
            <w:tcBorders>
              <w:top w:color="000000" w:space="0" w:sz="0" w:val="nil"/>
              <w:left w:color="000000" w:space="0" w:sz="0" w:val="nil"/>
              <w:bottom w:color="bfbfbf"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F">
            <w:pPr>
              <w:ind w:left="100" w:right="100" w:firstLine="0"/>
              <w:rPr>
                <w:rFonts w:ascii="Calibri" w:cs="Calibri" w:eastAsia="Calibri" w:hAnsi="Calibri"/>
              </w:rPr>
            </w:pPr>
            <w:r w:rsidDel="00000000" w:rsidR="00000000" w:rsidRPr="00000000">
              <w:rPr>
                <w:rFonts w:ascii="Calibri" w:cs="Calibri" w:eastAsia="Calibri" w:hAnsi="Calibri"/>
                <w:rtl w:val="0"/>
              </w:rPr>
              <w:t xml:space="preserve"> Création du document</w:t>
            </w:r>
          </w:p>
        </w:tc>
      </w:tr>
      <w:tr>
        <w:trPr>
          <w:trHeight w:val="500" w:hRule="atLeast"/>
        </w:trPr>
        <w:tc>
          <w:tcPr>
            <w:tcBorders>
              <w:top w:color="000000" w:space="0" w:sz="0" w:val="nil"/>
              <w:left w:color="000000" w:space="0" w:sz="0" w:val="nil"/>
              <w:bottom w:color="bfbfbf" w:space="0" w:sz="8" w:val="single"/>
              <w:right w:color="c300c8"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0">
            <w:pPr>
              <w:ind w:left="100" w:right="100" w:firstLine="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bfbfbf" w:space="0" w:sz="8" w:val="single"/>
              <w:right w:color="c300c8"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1">
            <w:pPr>
              <w:ind w:left="100" w:right="100" w:firstLine="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bfbfbf" w:space="0" w:sz="8" w:val="single"/>
              <w:right w:color="c300c8"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2">
            <w:pPr>
              <w:ind w:left="100" w:right="100" w:firstLine="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bfbfbf" w:space="0" w:sz="8" w:val="single"/>
              <w:right w:color="c300c8"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3">
            <w:pPr>
              <w:ind w:left="100" w:right="100" w:firstLine="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bfbfbf"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4">
            <w:pPr>
              <w:ind w:left="100" w:right="100" w:firstLine="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35">
      <w:pPr>
        <w:pStyle w:val="Title"/>
        <w:rPr>
          <w:sz w:val="24"/>
          <w:szCs w:val="24"/>
        </w:rPr>
      </w:pPr>
      <w:bookmarkStart w:colFirst="0" w:colLast="0" w:name="_kr052ebimzcq" w:id="10"/>
      <w:bookmarkEnd w:id="10"/>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Title"/>
        <w:rPr/>
      </w:pPr>
      <w:bookmarkStart w:colFirst="0" w:colLast="0" w:name="_en32e2k77tb5" w:id="11"/>
      <w:bookmarkEnd w:id="11"/>
      <w:r w:rsidDel="00000000" w:rsidR="00000000" w:rsidRPr="00000000">
        <w:rPr>
          <w:rtl w:val="0"/>
        </w:rPr>
        <w:t xml:space="preserve">ANNEXES :</w:t>
      </w:r>
    </w:p>
    <w:p w:rsidR="00000000" w:rsidDel="00000000" w:rsidP="00000000" w:rsidRDefault="00000000" w:rsidRPr="00000000" w14:paraId="0000003F">
      <w:pPr>
        <w:rPr>
          <w:u w:val="single"/>
        </w:rPr>
      </w:pPr>
      <w:r w:rsidDel="00000000" w:rsidR="00000000" w:rsidRPr="00000000">
        <w:rPr>
          <w:u w:val="single"/>
          <w:rtl w:val="0"/>
        </w:rPr>
        <w:t xml:space="preserve">Annexe 1 :</w:t>
      </w:r>
    </w:p>
    <w:p w:rsidR="00000000" w:rsidDel="00000000" w:rsidP="00000000" w:rsidRDefault="00000000" w:rsidRPr="00000000" w14:paraId="00000040">
      <w:pPr>
        <w:rPr>
          <w:u w:val="single"/>
        </w:rPr>
      </w:pPr>
      <w:r w:rsidDel="00000000" w:rsidR="00000000" w:rsidRPr="00000000">
        <w:rPr/>
        <w:drawing>
          <wp:inline distB="114300" distT="114300" distL="114300" distR="114300">
            <wp:extent cx="5734050" cy="430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u w:val="single"/>
        </w:rPr>
      </w:pPr>
      <w:r w:rsidDel="00000000" w:rsidR="00000000" w:rsidRPr="00000000">
        <w:rPr>
          <w:u w:val="single"/>
          <w:rtl w:val="0"/>
        </w:rPr>
        <w:t xml:space="preserve">Annexe 2 :</w:t>
      </w:r>
    </w:p>
    <w:p w:rsidR="00000000" w:rsidDel="00000000" w:rsidP="00000000" w:rsidRDefault="00000000" w:rsidRPr="00000000" w14:paraId="00000042">
      <w:pPr>
        <w:rPr>
          <w:u w:val="single"/>
        </w:rPr>
      </w:pPr>
      <w:r w:rsidDel="00000000" w:rsidR="00000000" w:rsidRPr="00000000">
        <w:rPr/>
        <w:drawing>
          <wp:inline distB="114300" distT="114300" distL="114300" distR="114300">
            <wp:extent cx="5734050" cy="2844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u w:val="single"/>
          <w:rtl w:val="0"/>
        </w:rPr>
        <w:t xml:space="preserve">Annexe 3 :</w:t>
      </w:r>
    </w:p>
    <w:p w:rsidR="00000000" w:rsidDel="00000000" w:rsidP="00000000" w:rsidRDefault="00000000" w:rsidRPr="00000000" w14:paraId="00000044">
      <w:pPr>
        <w:widowControl w:val="0"/>
        <w:spacing w:line="240" w:lineRule="auto"/>
        <w:rPr/>
      </w:pPr>
      <w:r w:rsidDel="00000000" w:rsidR="00000000" w:rsidRPr="00000000">
        <w:rPr>
          <w:color w:val="ff0000"/>
          <w:rtl w:val="0"/>
        </w:rPr>
        <w:t xml:space="preserve">1 </w:t>
      </w:r>
      <w:r w:rsidDel="00000000" w:rsidR="00000000" w:rsidRPr="00000000">
        <w:rPr>
          <w:rtl w:val="0"/>
        </w:rPr>
        <w:t xml:space="preserve">- RenseignerTrafic() // permet de renseigner la table trafic avec les données des interventions ainsi qu’un statut “prêt à l’export”.</w:t>
      </w:r>
    </w:p>
    <w:p w:rsidR="00000000" w:rsidDel="00000000" w:rsidP="00000000" w:rsidRDefault="00000000" w:rsidRPr="00000000" w14:paraId="00000045">
      <w:pPr>
        <w:widowControl w:val="0"/>
        <w:spacing w:line="240" w:lineRule="auto"/>
        <w:rPr/>
      </w:pPr>
      <w:r w:rsidDel="00000000" w:rsidR="00000000" w:rsidRPr="00000000">
        <w:rPr>
          <w:color w:val="ff0000"/>
          <w:rtl w:val="0"/>
        </w:rPr>
        <w:t xml:space="preserve">2</w:t>
      </w:r>
      <w:r w:rsidDel="00000000" w:rsidR="00000000" w:rsidRPr="00000000">
        <w:rPr>
          <w:rtl w:val="0"/>
        </w:rPr>
        <w:t xml:space="preserve"> - ExporteCSV() // prend les données du trafic et les met sous format CSV</w:t>
      </w:r>
    </w:p>
    <w:p w:rsidR="00000000" w:rsidDel="00000000" w:rsidP="00000000" w:rsidRDefault="00000000" w:rsidRPr="00000000" w14:paraId="00000046">
      <w:pPr>
        <w:widowControl w:val="0"/>
        <w:spacing w:line="240" w:lineRule="auto"/>
        <w:rPr/>
      </w:pPr>
      <w:r w:rsidDel="00000000" w:rsidR="00000000" w:rsidRPr="00000000">
        <w:rPr>
          <w:color w:val="ff0000"/>
          <w:rtl w:val="0"/>
        </w:rPr>
        <w:t xml:space="preserve">3</w:t>
      </w:r>
      <w:r w:rsidDel="00000000" w:rsidR="00000000" w:rsidRPr="00000000">
        <w:rPr>
          <w:rtl w:val="0"/>
        </w:rPr>
        <w:t xml:space="preserve"> - ImporteCSV() // compare le CSV avec l’enregistrement correspondant dans trafic et modifie celui-ci puis change le statut à “importé”</w:t>
      </w:r>
    </w:p>
    <w:p w:rsidR="00000000" w:rsidDel="00000000" w:rsidP="00000000" w:rsidRDefault="00000000" w:rsidRPr="00000000" w14:paraId="00000047">
      <w:pPr>
        <w:widowControl w:val="0"/>
        <w:spacing w:line="240" w:lineRule="auto"/>
        <w:rPr/>
      </w:pPr>
      <w:r w:rsidDel="00000000" w:rsidR="00000000" w:rsidRPr="00000000">
        <w:rPr>
          <w:color w:val="ff0000"/>
          <w:rtl w:val="0"/>
        </w:rPr>
        <w:t xml:space="preserve">4</w:t>
      </w:r>
      <w:r w:rsidDel="00000000" w:rsidR="00000000" w:rsidRPr="00000000">
        <w:rPr>
          <w:rtl w:val="0"/>
        </w:rPr>
        <w:t xml:space="preserve"> - AppliquerModifTrafic() // applique les modifications apportées au trafic si le trafic en question a bien le statut “importé”.</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u w:val="single"/>
          <w:rtl w:val="0"/>
        </w:rPr>
        <w:t xml:space="preserve">Annexe 4 :</w:t>
      </w:r>
    </w:p>
    <w:tbl>
      <w:tblPr>
        <w:tblStyle w:val="Table2"/>
        <w:tblW w:w="11895.0" w:type="dxa"/>
        <w:jc w:val="left"/>
        <w:tblInd w:w="-144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690"/>
        <w:gridCol w:w="345"/>
        <w:gridCol w:w="7860"/>
        <w:tblGridChange w:id="0">
          <w:tblGrid>
            <w:gridCol w:w="3690"/>
            <w:gridCol w:w="345"/>
            <w:gridCol w:w="7860"/>
          </w:tblGrid>
        </w:tblGridChange>
      </w:tblGrid>
      <w:t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trafic</w:t>
            </w:r>
          </w:p>
        </w:tc>
        <w:tc>
          <w:tcPr>
            <w:tcBorders>
              <w:top w:color="ffffff" w:space="0" w:sz="8" w:val="single"/>
              <w:left w:color="000000" w:space="0" w:sz="8" w:val="single"/>
              <w:bottom w:color="ffffff"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B">
            <w:pPr>
              <w:widowControl w:val="0"/>
              <w:spacing w:line="240" w:lineRule="auto"/>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Description</w:t>
            </w:r>
          </w:p>
        </w:tc>
      </w:tr>
      <w:tr>
        <w:trPr>
          <w:trHeight w:val="12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Position :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Position dans la tournée générée (A, B, C …)</w:t>
            </w:r>
          </w:p>
        </w:tc>
      </w:tr>
      <w:t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PlanPrevention :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Indique au technicien s’il doit assister à une séance de sensibilisation avant d’accéder au site</w:t>
            </w:r>
          </w:p>
        </w:tc>
      </w:tr>
      <w:tr>
        <w:trPr>
          <w:trHeight w:val="10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CodeClient :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Référence du client dans la gestion commerciale de PYRESCOM(AD903</w:t>
            </w:r>
            <w:r w:rsidDel="00000000" w:rsidR="00000000" w:rsidRPr="00000000">
              <w:rPr>
                <w:rtl w:val="0"/>
              </w:rPr>
              <w:t xml:space="preserve">4)</w:t>
            </w:r>
            <w:r w:rsidDel="00000000" w:rsidR="00000000" w:rsidRPr="00000000">
              <w:rPr>
                <w:rtl w:val="0"/>
              </w:rPr>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NumSite :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Certains client ont plusieurs sites avec le même code client</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Emplacement :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Détail de la position physique de la badgeuse sur le site</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TypeMatériel :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Libellé du type du matériel </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LibelleBoitier :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Réservé à l’AIVIA</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RefBoitier :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Référence du boitier</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NumSerieBoitier :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Numéro de série d’un boîtier</w:t>
            </w:r>
          </w:p>
        </w:tc>
      </w:tr>
      <w:tr>
        <w:trPr>
          <w:trHeight w:val="34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NumSerie :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Numéro de série d’un type de matériel</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DAE :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Réservé à l’AIVIA</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PeremptionElectrodeAdulte :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Date de péremption électrode adulte</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PeremptionElectrodeEnfant :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Date de péremption électrode enfant</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Statut :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Statut (ex :  "Présent", "Manquant", "Echangé", "En spare", "Rendu" ou "Non Accessible") dans la table “statutmateriels” sauf "Non Accessible"</w:t>
            </w:r>
          </w:p>
        </w:tc>
      </w:tr>
      <w:tr>
        <w:trPr>
          <w:trHeight w:val="22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AdresseIP :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Adresse IP du matériel</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AdresseMAC :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Adresse MAC du matériel</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Commentaires :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Commentaires apportés sur le matériel </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Historique :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Historique des prestations sur le matériel</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NumPrestation :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Numéro de la prestation</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TypeIntervention :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Type d’intervention</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LibelleSite: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Libellé du site</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Adresse :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Adresse du site</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AdresseSuite :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Suite de l’adresse du site (complément)</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CodePostal :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Code postal du site</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Ville :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Ville où se situe le site</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Contact :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Nom de la personne à contacter</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EmailClient :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Adresse mail du client</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EmailConfirmation :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Email de la personne à qui on a confirmé le RDV, peut être différente de l’Email de contact</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Telephone :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N° de téléphone du client</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DatePlanification :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Date planifiée pour l’intervention sur le site </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Etat01 : integer</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Fixation / Scelles</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Etat02 : integer</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Cablage / LEDS</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Etat03 : integer</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PileMemoire / Moteur</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Etat04 : integer</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Lecteur / Chauffage</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Etat05 : integer</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Clavier / Sirène</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Etat06 : integer</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Batterie / Téléphone</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Etat07 : integer</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RAM / Clavier A</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Etat08 : integer</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Ecran / Piles</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Etat09 : integer</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Coque</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Etat10 : integer</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Plexi</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Traité :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Utilisé en interne sur la tablette, indique que la badgeuse a été contrôlée</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Notes :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Notes concernant la badgeuse, prises par le technicien, n’existe pas encore dans GESTINT</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NotesPresta :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Commentaires sur la prestation</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NumSerieOld : string</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Renseigné si le numéro de série a changé</w:t>
            </w:r>
          </w:p>
        </w:tc>
      </w:tr>
      <w:tr>
        <w:trPr>
          <w:trHeight w:val="1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DebInter : DateTime</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Date et heure du début de l’intervention</w:t>
            </w:r>
          </w:p>
        </w:tc>
      </w:tr>
      <w:tr>
        <w:trPr>
          <w:trHeight w:val="360" w:hRule="atLeast"/>
        </w:trPr>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FinInter : DateTime</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Date et heure lorsque l’intervention est terminée</w:t>
            </w:r>
            <w:r w:rsidDel="00000000" w:rsidR="00000000" w:rsidRPr="00000000">
              <w:rPr>
                <w:rtl w:val="0"/>
              </w:rPr>
            </w:r>
          </w:p>
        </w:tc>
      </w:tr>
      <w:tr>
        <w:trPr>
          <w:trHeight w:val="360" w:hRule="atLeast"/>
        </w:trPr>
        <w:tc>
          <w:tcPr>
            <w:tcBorders>
              <w:top w:color="ffffff" w:space="0" w:sz="8" w:val="single"/>
              <w:left w:color="000000" w:space="0" w:sz="8" w:val="single"/>
              <w:bottom w:color="000000"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Id : int PK</w:t>
            </w:r>
          </w:p>
        </w:tc>
        <w:tc>
          <w:tcPr>
            <w:tcBorders>
              <w:top w:color="ffffff" w:space="0" w:sz="8" w:val="single"/>
              <w:left w:color="000000" w:space="0" w:sz="8" w:val="single"/>
              <w:bottom w:color="ffffff"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tc>
        <w:tc>
          <w:tcPr>
            <w:tcBorders>
              <w:top w:color="ffffff" w:space="0" w:sz="8" w:val="single"/>
              <w:left w:color="000000" w:space="0" w:sz="8" w:val="single"/>
              <w:bottom w:color="000000" w:space="0" w:sz="8" w:val="single"/>
              <w:right w:color="000000" w:space="0" w:sz="8" w:val="single"/>
            </w:tcBorders>
            <w:tcMar>
              <w:top w:w="0.0" w:type="dxa"/>
              <w:left w:w="140.0" w:type="dxa"/>
              <w:bottom w:w="0.0" w:type="dxa"/>
              <w:right w:w="14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Id du trafic (à mettre dans le csv)</w:t>
            </w:r>
          </w:p>
        </w:tc>
      </w:tr>
    </w:tbl>
    <w:p w:rsidR="00000000" w:rsidDel="00000000" w:rsidP="00000000" w:rsidRDefault="00000000" w:rsidRPr="00000000" w14:paraId="000000DA">
      <w:pPr>
        <w:rPr>
          <w:u w:val="single"/>
        </w:rPr>
      </w:pPr>
      <w:r w:rsidDel="00000000" w:rsidR="00000000" w:rsidRPr="00000000">
        <w:rPr>
          <w:rtl w:val="0"/>
        </w:rPr>
      </w:r>
    </w:p>
    <w:sectPr>
      <w:headerReference r:id="rId8" w:type="default"/>
      <w:pgSz w:h="16838" w:w="11906"/>
      <w:pgMar w:bottom="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