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Saugos struktūrinis vertinimas</w:t>
      </w:r>
    </w:p>
    <w:p>
      <w:pPr>
        <w:pBdr>
          <w:bottom w:val="single" w:color="1565C0" w:sz="48"/>
        </w:pBdr>
        <w:spacing w:after="200"/>
      </w:pPr>
    </w:p>
    <w:tbl>
      <w:tblPr>
        <w:tblW w:type="auto" w:w="1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200"/>
      </w:tblGrid>
      <w:tr>
        <w:tc>
          <w:tcPr>
            <w:tcW w:type="dxa" w:w="2400"/>
            <w:tcBorders>
              <w:top w:val="none" w:sz="0"/>
              <w:left w:val="none" w:sz="0"/>
              <w:bottom w:val="single" w:color="EEEEEE" w:sz="4"/>
              <w:right w:val="none" w:sz="0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2"/>
                <w:szCs w:val="22"/>
              </w:rPr>
              <w:t xml:space="preserve">Tipas</w:t>
            </w:r>
          </w:p>
        </w:tc>
        <w:tc>
          <w:tcPr>
            <w:tcW w:type="dxa" w:w="7200"/>
            <w:tcBorders>
              <w:top w:val="none" w:sz="0"/>
              <w:left w:val="none" w:sz="0"/>
              <w:bottom w:val="single" w:color="EEEEEE" w:sz="4"/>
              <w:right w:val="none" w:sz="0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A : Vertinimo pamoka (7 iš 7 saugos modulyje)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EEEEE" w:sz="4"/>
              <w:right w:val="none" w:sz="0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2"/>
                <w:szCs w:val="22"/>
              </w:rPr>
              <w:t xml:space="preserve">Klasė</w:t>
            </w:r>
          </w:p>
        </w:tc>
        <w:tc>
          <w:tcPr>
            <w:tcW w:type="dxa" w:w="7200"/>
            <w:tcBorders>
              <w:top w:val="none" w:sz="0"/>
              <w:left w:val="none" w:sz="0"/>
              <w:bottom w:val="single" w:color="EEEEEE" w:sz="4"/>
              <w:right w:val="none" w:sz="0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9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EEEEE" w:sz="4"/>
              <w:right w:val="none" w:sz="0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2"/>
                <w:szCs w:val="22"/>
              </w:rPr>
              <w:t xml:space="preserve">Trukmė</w:t>
            </w:r>
          </w:p>
        </w:tc>
        <w:tc>
          <w:tcPr>
            <w:tcW w:type="dxa" w:w="7200"/>
            <w:tcBorders>
              <w:top w:val="none" w:sz="0"/>
              <w:left w:val="none" w:sz="0"/>
              <w:bottom w:val="single" w:color="EEEEEE" w:sz="4"/>
              <w:right w:val="none" w:sz="0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~40 min.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EEEEE" w:sz="4"/>
              <w:right w:val="none" w:sz="0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2"/>
                <w:szCs w:val="22"/>
              </w:rPr>
              <w:t xml:space="preserve">Forma</w:t>
            </w:r>
          </w:p>
        </w:tc>
        <w:tc>
          <w:tcPr>
            <w:tcW w:type="dxa" w:w="7200"/>
            <w:tcBorders>
              <w:top w:val="none" w:sz="0"/>
              <w:left w:val="none" w:sz="0"/>
              <w:bottom w:val="single" w:color="EEEEEE" w:sz="4"/>
              <w:right w:val="none" w:sz="0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A/T šablonas (trumpas paaiškinimas + vertinimo užduotis)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EEEEE" w:sz="4"/>
              <w:right w:val="none" w:sz="0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2"/>
                <w:szCs w:val="22"/>
              </w:rPr>
              <w:t xml:space="preserve">Temos ribos</w:t>
            </w:r>
          </w:p>
        </w:tc>
        <w:tc>
          <w:tcPr>
            <w:tcW w:type="dxa" w:w="7200"/>
            <w:tcBorders>
              <w:top w:val="none" w:sz="0"/>
              <w:left w:val="none" w:sz="0"/>
              <w:bottom w:val="single" w:color="EEEEEE" w:sz="4"/>
              <w:right w:val="none" w:sz="0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Formalus struktūrinis vertinimas, apimantis visą saugos modulį: ergonomiką, privatumo ir paskyrų saugą, internetines rizikas ir skaitmeninių technologijų poveikį aplinkai. Testas vykdomas Testmoz platformoje. Rezultatas fiksuojamas kaip pažymys.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rPr>
          <w:cantSplit/>
        </w:trPr>
        <w:tc>
          <w:tcPr>
            <w:tcBorders>
              <w:top w:val="single" w:color="E0E0E0" w:sz="4"/>
              <w:left w:val="single" w:color="5E35B1" w:sz="64"/>
              <w:bottom w:val="single" w:color="E0E0E0" w:sz="4"/>
              <w:right w:val="single" w:color="E0E0E0" w:sz="4"/>
            </w:tcBorders>
            <w:shd w:fill="EDE7F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A148C"/>
                <w:sz w:val="22"/>
                <w:szCs w:val="22"/>
              </w:rPr>
              <w:t xml:space="preserve">PAMOKOS TIKSLAI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E35B1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Pademonstruoti saugos modulio žinių įsisavinimą atsakant į struktūrinius klausimus.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E35B1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Pritaikyti išmoktas taisykles naujose situacijose analizuojant scenarijus.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  <w:tblLayout w:type="fixed"/>
      </w:tblPr>
      <w:tblGrid>
        <w:gridCol w:w="200"/>
        <w:gridCol w:w="9400"/>
      </w:tblGrid>
      <w:tr>
        <w:trPr>
          <w:cantSplit/>
        </w:trPr>
        <w:tc>
          <w:tcPr>
            <w:tcW w:type="dxa" w:w="200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val="clear"/>
          </w:tcPr>
          <w:p/>
        </w:tc>
        <w:tc>
          <w:tcPr>
            <w:tcW w:type="dxa" w:w="9400"/>
            <w:tcBorders>
              <w:top w:val="none" w:sz="0"/>
              <w:left w:val="none" w:sz="0"/>
              <w:bottom w:val="none" w:sz="0"/>
              <w:right w:val="none" w:sz="0"/>
            </w:tcBorders>
            <w:shd w:fill="E3F2FD" w:val="clear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Trumpas paaiškinimas</w:t>
            </w:r>
            <w:r>
              <w:rPr>
                <w:rFonts w:ascii="Arial" w:cs="Arial" w:eastAsia="Arial" w:hAnsi="Arial"/>
                <w:color w:val="757575"/>
                <w:sz w:val="20"/>
                <w:szCs w:val="20"/>
              </w:rPr>
              <w:t xml:space="preserve"> : ~2 min.</w:t>
            </w:r>
          </w:p>
        </w:tc>
      </w:tr>
    </w:tbl>
    <w:p>
      <w:pPr>
        <w:keepNext/>
        <w:spacing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Mokytojo veiksmai: </w:t>
      </w:r>
      <w:r>
        <w:rPr>
          <w:rFonts w:ascii="Arial" w:cs="Arial" w:eastAsia="Arial" w:hAnsi="Arial"/>
          <w:i w:val="false"/>
          <w:iCs w:val="false"/>
          <w:color w:val="212121"/>
          <w:sz w:val="22"/>
          <w:szCs w:val="22"/>
        </w:rPr>
        <w:t xml:space="preserve">paaiškinkite vertinimo tvarką.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1.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Praneškite, kad šiandien vyksta saugos modulio vertinimas Testmoz platformoje.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2.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Nurodykite prisijungimo adresą (užrašykite ant lentos arba parodykite ekrane).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3.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Pasakykite, kad testas apima keturias temas: ergonomiką, privatumo ir paskyrų saugą, internetines rizikas, skaitmeninių technologijų poveikį aplinkai.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4.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Nurodykite laiko limitą: ~35 min. Baigus testą, rezultatą mokiniai mato iš karto.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5.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Pabrėžkite: darbas individualus, be pagalbinių priemonių. Draudžiama naudotis internetu, užrašais ar klasės draugais.</w:t>
      </w: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Mokinių veiksmai: </w:t>
      </w:r>
      <w:r>
        <w:rPr>
          <w:rFonts w:ascii="Arial" w:cs="Arial" w:eastAsia="Arial" w:hAnsi="Arial"/>
          <w:i w:val="false"/>
          <w:iCs w:val="false"/>
          <w:color w:val="212121"/>
          <w:sz w:val="22"/>
          <w:szCs w:val="22"/>
        </w:rPr>
        <w:t xml:space="preserve">klausosi instrukcijos, prisijungia prie Testmoz, įsitikina, kad mato testo pradžios ekraną. Laukia mokytojo komandos pradėti.</w:t>
      </w:r>
    </w:p>
    <w:p>
      <w:pPr>
        <w:spacing w:before="200"/>
      </w:pPr>
    </w:p>
    <w:tbl>
      <w:tblPr>
        <w:tblW w:type="auto" w:w="1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  <w:tblLayout w:type="fixed"/>
      </w:tblPr>
      <w:tblGrid>
        <w:gridCol w:w="200"/>
        <w:gridCol w:w="9400"/>
      </w:tblGrid>
      <w:tr>
        <w:trPr>
          <w:cantSplit/>
        </w:trPr>
        <w:tc>
          <w:tcPr>
            <w:tcW w:type="dxa" w:w="200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val="clear"/>
          </w:tcPr>
          <w:p/>
        </w:tc>
        <w:tc>
          <w:tcPr>
            <w:tcW w:type="dxa" w:w="9400"/>
            <w:tcBorders>
              <w:top w:val="none" w:sz="0"/>
              <w:left w:val="none" w:sz="0"/>
              <w:bottom w:val="none" w:sz="0"/>
              <w:right w:val="none" w:sz="0"/>
            </w:tcBorders>
            <w:shd w:fill="E8F5E9" w:val="clea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Vertinimo užduotis</w:t>
            </w:r>
            <w:r>
              <w:rPr>
                <w:rFonts w:ascii="Arial" w:cs="Arial" w:eastAsia="Arial" w:hAnsi="Arial"/>
                <w:color w:val="757575"/>
                <w:sz w:val="20"/>
                <w:szCs w:val="20"/>
              </w:rPr>
              <w:t xml:space="preserve"> : ~35 min.</w:t>
            </w:r>
          </w:p>
        </w:tc>
      </w:tr>
    </w:tbl>
    <w:p>
      <w:pPr>
        <w:keepNext/>
        <w:spacing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Mokytojo veiksmai: </w:t>
      </w:r>
      <w:r>
        <w:rPr>
          <w:rFonts w:ascii="Arial" w:cs="Arial" w:eastAsia="Arial" w:hAnsi="Arial"/>
          <w:i w:val="false"/>
          <w:iCs w:val="false"/>
          <w:color w:val="212121"/>
          <w:sz w:val="22"/>
          <w:szCs w:val="22"/>
        </w:rPr>
        <w:t xml:space="preserve">duokite komandą pradėti testą. Stebėkite klasę.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1.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Stebėkite, kad mokiniai dirbtų individualiai ir neatsidarytų kitų naršyklės skirtukų.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2.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Padėkite tik su techniniu prisijungimu ar platformos klausimais. Į turinio klausimus neatsakinėkite.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3.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Jei mokinys baigia anksčiau, nurodykite sėdėti tyliai iki pamokos pabaigos. Neleiskite naršyti interneto.</w:t>
      </w: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Mokinių veiksmai: </w:t>
      </w:r>
      <w:r>
        <w:rPr>
          <w:rFonts w:ascii="Arial" w:cs="Arial" w:eastAsia="Arial" w:hAnsi="Arial"/>
          <w:i w:val="false"/>
          <w:iCs w:val="false"/>
          <w:color w:val="212121"/>
          <w:sz w:val="22"/>
          <w:szCs w:val="22"/>
        </w:rPr>
        <w:t xml:space="preserve">individualiai atlieka testą Testmoz platformoje. Atsako į uždarus klausimus, trumpai paaiškina sąvokas, analizuoja scenarijus. Baigę mato savo rezultatą.</w:t>
      </w:r>
    </w:p>
    <w:p>
      <w:pPr>
        <w:spacing w:after="40"/>
      </w:pPr>
    </w:p>
    <w:p>
      <w:pPr>
        <w:keepNext w:val="false"/>
        <w:keepLines w:val="false"/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2"/>
          <w:szCs w:val="22"/>
        </w:rPr>
        <w:t xml:space="preserve">Vertinimo sąlygos:</w:t>
      </w:r>
    </w:p>
    <w:p>
      <w:pPr>
        <w:keepNext w:val="false"/>
        <w:spacing w:after="40"/>
        <w:ind w:left="36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Platforma: </w:t>
      </w:r>
      <w:r>
        <w:rPr>
          <w:rFonts w:ascii="Arial" w:cs="Arial" w:eastAsia="Arial" w:hAnsi="Arial"/>
          <w:i w:val="false"/>
          <w:iCs w:val="false"/>
          <w:color w:val="212121"/>
          <w:sz w:val="22"/>
          <w:szCs w:val="22"/>
        </w:rPr>
        <w:t xml:space="preserve">Testmoz</w:t>
      </w:r>
    </w:p>
    <w:p>
      <w:pPr>
        <w:keepNext w:val="false"/>
        <w:spacing w:after="40"/>
        <w:ind w:left="36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Trukmė: </w:t>
      </w:r>
      <w:r>
        <w:rPr>
          <w:rFonts w:ascii="Arial" w:cs="Arial" w:eastAsia="Arial" w:hAnsi="Arial"/>
          <w:i w:val="false"/>
          <w:iCs w:val="false"/>
          <w:color w:val="212121"/>
          <w:sz w:val="22"/>
          <w:szCs w:val="22"/>
        </w:rPr>
        <w:t xml:space="preserve">~35 min.</w:t>
      </w:r>
    </w:p>
    <w:p>
      <w:pPr>
        <w:keepNext w:val="false"/>
        <w:spacing w:after="40"/>
        <w:ind w:left="36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Sąlygos: </w:t>
      </w:r>
      <w:r>
        <w:rPr>
          <w:rFonts w:ascii="Arial" w:cs="Arial" w:eastAsia="Arial" w:hAnsi="Arial"/>
          <w:i w:val="false"/>
          <w:iCs w:val="false"/>
          <w:color w:val="212121"/>
          <w:sz w:val="22"/>
          <w:szCs w:val="22"/>
        </w:rPr>
        <w:t xml:space="preserve">individualiai, be pagalbinių priemonių</w:t>
      </w:r>
    </w:p>
    <w:p>
      <w:pPr>
        <w:keepNext w:val="false"/>
        <w:spacing w:after="40"/>
        <w:ind w:left="36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Vertinimo skalė: </w:t>
      </w:r>
      <w:r>
        <w:rPr>
          <w:rFonts w:ascii="Arial" w:cs="Arial" w:eastAsia="Arial" w:hAnsi="Arial"/>
          <w:i w:val="false"/>
          <w:iCs w:val="false"/>
          <w:color w:val="212121"/>
          <w:sz w:val="22"/>
          <w:szCs w:val="22"/>
        </w:rPr>
        <w:t xml:space="preserve">1–10</w:t>
      </w:r>
    </w:p>
    <w:p>
      <w:pPr>
        <w:keepNext w:val="false"/>
        <w:spacing w:after="40"/>
        <w:ind w:left="36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Klausimų tipai: </w:t>
      </w:r>
      <w:r>
        <w:rPr>
          <w:rFonts w:ascii="Arial" w:cs="Arial" w:eastAsia="Arial" w:hAnsi="Arial"/>
          <w:i w:val="false"/>
          <w:iCs w:val="false"/>
          <w:color w:val="212121"/>
          <w:sz w:val="22"/>
          <w:szCs w:val="22"/>
        </w:rPr>
        <w:t xml:space="preserve">uždari (pasirinkimo), trumpi atviri, scenarijų analizė</w:t>
      </w:r>
    </w:p>
    <w:p>
      <w:pPr>
        <w:keepNext w:val="false"/>
        <w:spacing w:after="12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ℹ Pastaba: </w:t>
      </w:r>
      <w:r>
        <w:rPr>
          <w:rFonts w:ascii="Arial" w:cs="Arial" w:eastAsia="Arial" w:hAnsi="Arial"/>
          <w:i w:val="false"/>
          <w:iCs w:val="false"/>
          <w:color w:val="212121"/>
          <w:sz w:val="22"/>
          <w:szCs w:val="22"/>
        </w:rPr>
        <w:t xml:space="preserve">jei mokinys turi specialiųjų ugdymosi poreikių, suteikite papildomo laiko pagal mokyklos nustatytas taisykles.</w:t>
      </w:r>
    </w:p>
    <w:p>
      <w:pPr>
        <w:keepNext/>
        <w:pBdr>
          <w:bottom w:val="single" w:color="757575" w:sz="8"/>
        </w:pBdr>
        <w:spacing w:after="120" w:before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757575"/>
          <w:sz w:val="22"/>
          <w:szCs w:val="22"/>
        </w:rPr>
        <w:t xml:space="preserve">PAMOKOS APRAŠYMAS (DIENYNUI)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16161"/>
          <w:sz w:val="21"/>
          <w:szCs w:val="21"/>
        </w:rPr>
        <w:t xml:space="preserve">Saugos modulio struktūrinis vertinimas. Mokiniai individualiai atliko testą Testmoz platformoje. Testas apimė keturias saugos temas: ergonomiką, privatumo ir paskyrų saugą, internetines rizikas, skaitmeninių technologijų poveikį aplinkai. Klausimų tipai: uždari, trumpi atviri ir scenarijų analizė. Rezultatas fiksuojamas kaip pažymys (1–10 skalė).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2026-03-29T13:20:36.652Z</dcterms:created>
  <dcterms:modified xsi:type="dcterms:W3CDTF">2026-03-29T13:20:36.655Z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