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808080"/>
          <w:sz w:val="18"/>
        </w:rPr>
        <w:t>VERTINIMO KRITERIJAI</w:t>
      </w:r>
    </w:p>
    <w:p>
      <w:pPr>
        <w:spacing w:after="0"/>
        <w:jc w:val="center"/>
      </w:pPr>
      <w:r>
        <w:rPr>
          <w:rFonts w:ascii="Arial" w:hAnsi="Arial"/>
          <w:b/>
          <w:color w:val="1F4E79"/>
          <w:sz w:val="36"/>
        </w:rPr>
        <w:t>Saugos atsiskaitomasis darbas</w:t>
      </w:r>
    </w:p>
    <w:p>
      <w:pPr>
        <w:spacing w:after="0"/>
        <w:jc w:val="center"/>
      </w:pPr>
      <w:r>
        <w:rPr>
          <w:rFonts w:ascii="Arial" w:hAnsi="Arial"/>
          <w:b w:val="0"/>
          <w:color w:val="808080"/>
          <w:sz w:val="20"/>
        </w:rPr>
        <w:t>9 klasė • Sauga • 1 semestras</w:t>
      </w:r>
    </w:p>
    <w:p>
      <w:pPr>
        <w:pBdr>
          <w:bottom w:val="single" w:sz="8" w:space="1" w:color="1F4E79"/>
        </w:pBdr>
        <w:spacing w:after="160"/>
      </w:pPr>
    </w:p>
    <w:p>
      <w:pPr>
        <w:spacing w:before="200" w:after="80"/>
      </w:pPr>
      <w:r>
        <w:rPr>
          <w:rFonts w:ascii="Arial" w:hAnsi="Arial"/>
          <w:b/>
          <w:color w:val="1F4E79"/>
          <w:sz w:val="26"/>
        </w:rPr>
        <w:t>1. Vertinimo struktūra</w:t>
      </w:r>
    </w:p>
    <w:p>
      <w:pPr>
        <w:spacing w:after="80"/>
      </w:pPr>
      <w:r>
        <w:rPr>
          <w:rFonts w:ascii="Arial" w:hAnsi="Arial"/>
          <w:b w:val="0"/>
          <w:color w:val="333333"/>
          <w:sz w:val="22"/>
        </w:rPr>
        <w:t>Atsiskaitomasis darbas atliekamas Testmoz platformoje. Darbo trukmė: 35 min.</w:t>
      </w:r>
    </w:p>
    <w:p>
      <w:pPr>
        <w:spacing w:after="80"/>
      </w:pPr>
      <w:r>
        <w:rPr>
          <w:rFonts w:ascii="Arial" w:hAnsi="Arial"/>
          <w:b w:val="0"/>
          <w:color w:val="333333"/>
          <w:sz w:val="22"/>
        </w:rPr>
        <w:t>Darbą sudaro 10 klausimų: 6 uždaro tipo (pasirenkamas atsakymas) ir 4 atviro tipo (rašytinis atsakymas).</w:t>
      </w:r>
    </w:p>
    <w:p>
      <w:pPr>
        <w:spacing w:after="80"/>
      </w:pPr>
      <w:r>
        <w:rPr>
          <w:rFonts w:ascii="Arial" w:hAnsi="Arial"/>
          <w:b w:val="0"/>
          <w:color w:val="333333"/>
          <w:sz w:val="22"/>
        </w:rPr>
        <w:t>Darbas atliekamas individualiai, be jokių pagalbinių priemonių.</w:t>
      </w:r>
    </w:p>
    <w:p>
      <w:pPr>
        <w:spacing w:before="200" w:after="80"/>
      </w:pPr>
      <w:r>
        <w:rPr>
          <w:rFonts w:ascii="Arial" w:hAnsi="Arial"/>
          <w:b/>
          <w:color w:val="1F4E79"/>
          <w:sz w:val="26"/>
        </w:rPr>
        <w:t>2. Taškų paskirstymas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Klausimų grupė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Tipas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Taškai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Tema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uŽari klausimai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Pasirenkamas atsakymas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× 2 = 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Ergonomika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uŽari klausimai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Pasirenkamas atsakymas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× 2 = 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Privatumas ir paskyrų sauga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uŽari klausimai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Pasirenkamas atsakymas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 × 2 = 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Internetinės rizikos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 trumpas atviras klausimas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Trumpas atviras atsakymas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Aplinkos poveikis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 trumpas atviras klausimas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Trumpas atviras atsakymas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Aplinkos poveikis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Trumpesnė scenarijaus analizė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Scenarijaus analizė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Kelių temų integracija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Išplėstinė scenarijaus analizė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Scenarijaus analizė</w:t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7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Kelių temų integracija</w:t>
            </w:r>
          </w:p>
        </w:tc>
      </w:tr>
      <w:tr>
        <w:tc>
          <w:tcPr>
            <w:tcW w:type="dxa" w:w="283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Iš viso</w:t>
            </w:r>
          </w:p>
        </w:tc>
        <w:tc>
          <w:tcPr>
            <w:tcW w:type="dxa" w:w="28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</w:r>
          </w:p>
        </w:tc>
        <w:tc>
          <w:tcPr>
            <w:tcW w:type="dxa" w:w="141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30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F4E79"/>
          <w:sz w:val="26"/>
        </w:rPr>
        <w:t>3. Vertinimo kriterijai</w:t>
      </w:r>
    </w:p>
    <w:p>
      <w:pPr>
        <w:spacing w:after="80"/>
      </w:pPr>
      <w:r>
        <w:rPr>
          <w:rFonts w:ascii="Arial" w:hAnsi="Arial"/>
          <w:b w:val="0"/>
          <w:color w:val="333333"/>
          <w:sz w:val="22"/>
        </w:rPr>
        <w:t>Pasirenkamo atsakymo klausimai: automatinis vertinimas. Teisingas atsakymas = pilni taškai, neteisingas = 0.</w:t>
      </w:r>
    </w:p>
    <w:p>
      <w:pPr>
        <w:spacing w:after="80"/>
      </w:pPr>
      <w:r>
        <w:rPr>
          <w:rFonts w:ascii="Arial" w:hAnsi="Arial"/>
          <w:b/>
          <w:color w:val="333333"/>
          <w:sz w:val="22"/>
        </w:rPr>
        <w:t>Trumpi atviri atsakymai (po 3 taškus)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13"/>
        <w:gridCol w:w="4513"/>
      </w:tblGrid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Taškai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Kriterijus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Įvardytas konkretus veiksmas ir pateiktas logiškas paaiškinimas su priežastiniu ryšiu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Įvardytas veiksmas, bet paaiškinimas neišsamus arba trūksta priežastinio ryšio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Pateiktas tik bendras teiginys be konkretaus veiksmo arba be paaiškinimo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0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Neatsakyta arba atsakymas nesusijęs su klausimu</w:t>
            </w:r>
          </w:p>
        </w:tc>
      </w:tr>
    </w:tbl>
    <w:p>
      <w:pPr>
        <w:spacing w:after="80"/>
      </w:pPr>
      <w:r>
        <w:rPr>
          <w:rFonts w:ascii="Arial" w:hAnsi="Arial"/>
          <w:b/>
          <w:color w:val="333333"/>
          <w:sz w:val="22"/>
        </w:rPr>
        <w:t>Trumpesnė scenarijaus analizė (5 taškai)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13"/>
        <w:gridCol w:w="4513"/>
      </w:tblGrid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Taškai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Kriterijus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5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Identifikuoti visi pagrindiniai požymiai, pritaikytas tinkamas algoritmas, pateikti pagrīsti sprendimai su "nes..."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3-4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Identifikuota dauguma požymių, algoritmas pritaikytas iš dalies, pagrindimas dalinis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1-2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Identifikuotas tik vienas požymis arba pasiūlytas tik vienas veiksmas be pagrindimo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0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Neatsakyta arba atsakymas nesusijęs su scenarijumi</w:t>
            </w:r>
          </w:p>
        </w:tc>
      </w:tr>
    </w:tbl>
    <w:p>
      <w:pPr>
        <w:spacing w:after="80"/>
      </w:pPr>
      <w:r>
        <w:rPr>
          <w:rFonts w:ascii="Arial" w:hAnsi="Arial"/>
          <w:b/>
          <w:color w:val="333333"/>
          <w:sz w:val="22"/>
        </w:rPr>
        <w:t>Išplėstinė scenarijaus analizė (7 taškai)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13"/>
        <w:gridCol w:w="4513"/>
      </w:tblGrid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Taškai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Kriterijus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6-7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Identifikuotos problemos iš 3 ir daugiau saugos sričių, kiekvienai pasiūlytas konkretus sprendimas su pagrindimais, atsakymas struktūruotas ir nuoseklus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4-5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Identifikuotos problemos iš 2 sričių, pasiūlyti sprendimai su daliniais pagrindimais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2-3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Identifikuota tik viena sritis arba sprendimai be pagrindimų</w:t>
            </w:r>
          </w:p>
        </w:tc>
      </w:tr>
      <w:tr>
        <w:tc>
          <w:tcPr>
            <w:tcW w:type="dxa" w:w="1247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0-1</w:t>
            </w:r>
          </w:p>
        </w:tc>
        <w:tc>
          <w:tcPr>
            <w:tcW w:type="dxa" w:w="8391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Neatsakyta arba atsakymas nesusijęs su pateiktu scenarijumi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F4E79"/>
          <w:sz w:val="26"/>
        </w:rPr>
        <w:t>4. Pažymio konvertavimas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13"/>
        <w:gridCol w:w="4513"/>
      </w:tblGrid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Taškai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Pažymys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29-30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10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26-28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9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23-25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8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20-22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7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17-19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6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14-16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5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9-13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4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6-8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3-5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2</w:t>
            </w:r>
          </w:p>
        </w:tc>
      </w:tr>
      <w:tr>
        <w:tc>
          <w:tcPr>
            <w:tcW w:type="dxa" w:w="3402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0-2</w:t>
            </w:r>
          </w:p>
        </w:tc>
        <w:tc>
          <w:tcPr>
            <w:tcW w:type="dxa" w:w="6236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333333"/>
                <w:sz w:val="20"/>
              </w:rPr>
              <w:t>1</w:t>
            </w:r>
          </w:p>
        </w:tc>
      </w:tr>
    </w:tbl>
    <w:p>
      <w:pPr>
        <w:spacing w:after="80"/>
      </w:pPr>
      <w:r>
        <w:rPr>
          <w:rFonts w:ascii="Arial" w:hAnsi="Arial"/>
          <w:b/>
          <w:color w:val="333333"/>
          <w:sz w:val="22"/>
        </w:rPr>
        <w:t>Iš viso: 30 taškų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