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76"/>
      </w:pPr>
      <w:r>
        <w:rPr>
          <w:rFonts w:ascii="Arial" w:cs="Arial" w:eastAsia="Arial" w:hAnsi="Arial"/>
          <w:b/>
          <w:bCs/>
          <w:color w:val="1A237E"/>
          <w:sz w:val="48"/>
          <w:szCs w:val="48"/>
        </w:rPr>
        <w:t xml:space="preserve">Saugos struktūrinis vertinimas</w:t>
      </w:r>
    </w:p>
    <w:p>
      <w:pPr>
        <w:pBdr>
          <w:bottom w:val="single" w:color="1565C0" w:sz="6"/>
        </w:pBdr>
        <w:spacing w:after="80"/>
      </w:pPr>
    </w:p>
    <w:p>
      <w:pPr>
        <w:spacing w:after="120"/>
      </w:pP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dxa" w:w="2400"/>
            <w:tcBorders>
              <w:top w:val="none" w:sz="0"/>
              <w:left w:val="none" w:sz="0"/>
              <w:bottom w:val="none" w:sz="0"/>
              <w:right w:val="none" w:sz="0"/>
            </w:tcBorders>
            <w:shd w:fill="F8F9FA" w:val="clear"/>
          </w:tcPr>
          <w:p>
            <w:pPr>
              <w:spacing w:after="40" w:line="276"/>
            </w:pPr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Tipas:</w:t>
            </w:r>
          </w:p>
        </w:tc>
        <w:tc>
          <w:tcPr>
            <w:tcBorders>
              <w:top w:val="none" w:sz="0"/>
              <w:left w:val="none" w:sz="0"/>
              <w:bottom w:val="none" w:sz="0"/>
              <w:right w:val="none" w:sz="0"/>
            </w:tcBorders>
            <w:shd w:fill="F8F9FA" w:val="clear"/>
          </w:tcPr>
          <w:p>
            <w:pPr>
              <w:spacing w:after="40" w:line="276"/>
            </w:pPr>
            <w:r>
              <w:rPr>
                <w:rFonts w:ascii="Arial" w:cs="Arial" w:eastAsia="Arial" w:hAnsi="Arial"/>
                <w:b w:val="false"/>
                <w:bCs w:val="false"/>
                <w:color w:val="757575"/>
                <w:sz w:val="22"/>
                <w:szCs w:val="22"/>
              </w:rPr>
              <w:t xml:space="preserve">A: Vertinimo pamoka (7 iš 7 apie saugą)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none" w:sz="0"/>
              <w:right w:val="none" w:sz="0"/>
            </w:tcBorders>
            <w:shd w:fill="F8F9FA" w:val="clear"/>
          </w:tcPr>
          <w:p>
            <w:pPr>
              <w:spacing w:after="40" w:line="276"/>
            </w:pPr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Klasė:</w:t>
            </w:r>
          </w:p>
        </w:tc>
        <w:tc>
          <w:tcPr>
            <w:tcBorders>
              <w:top w:val="none" w:sz="0"/>
              <w:left w:val="none" w:sz="0"/>
              <w:bottom w:val="none" w:sz="0"/>
              <w:right w:val="none" w:sz="0"/>
            </w:tcBorders>
            <w:shd w:fill="F8F9FA" w:val="clear"/>
          </w:tcPr>
          <w:p>
            <w:pPr>
              <w:spacing w:after="40" w:line="276"/>
            </w:pPr>
            <w:r>
              <w:rPr>
                <w:rFonts w:ascii="Arial" w:cs="Arial" w:eastAsia="Arial" w:hAnsi="Arial"/>
                <w:b w:val="false"/>
                <w:bCs w:val="false"/>
                <w:color w:val="757575"/>
                <w:sz w:val="22"/>
                <w:szCs w:val="22"/>
              </w:rPr>
              <w:t xml:space="preserve">9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none" w:sz="0"/>
              <w:right w:val="none" w:sz="0"/>
            </w:tcBorders>
            <w:shd w:fill="F8F9FA" w:val="clear"/>
          </w:tcPr>
          <w:p>
            <w:pPr>
              <w:spacing w:after="40" w:line="276"/>
            </w:pPr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Trukmė:</w:t>
            </w:r>
          </w:p>
        </w:tc>
        <w:tc>
          <w:tcPr>
            <w:tcBorders>
              <w:top w:val="none" w:sz="0"/>
              <w:left w:val="none" w:sz="0"/>
              <w:bottom w:val="none" w:sz="0"/>
              <w:right w:val="none" w:sz="0"/>
            </w:tcBorders>
            <w:shd w:fill="F8F9FA" w:val="clear"/>
          </w:tcPr>
          <w:p>
            <w:pPr>
              <w:spacing w:after="40" w:line="276"/>
            </w:pPr>
            <w:r>
              <w:rPr>
                <w:rFonts w:ascii="Arial" w:cs="Arial" w:eastAsia="Arial" w:hAnsi="Arial"/>
                <w:b w:val="false"/>
                <w:bCs w:val="false"/>
                <w:color w:val="757575"/>
                <w:sz w:val="22"/>
                <w:szCs w:val="22"/>
              </w:rPr>
              <w:t xml:space="preserve">~38 min.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none" w:sz="0"/>
              <w:right w:val="none" w:sz="0"/>
            </w:tcBorders>
            <w:shd w:fill="F8F9FA" w:val="clear"/>
          </w:tcPr>
          <w:p>
            <w:pPr>
              <w:spacing w:after="40" w:line="276"/>
            </w:pPr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Forma:</w:t>
            </w:r>
          </w:p>
        </w:tc>
        <w:tc>
          <w:tcPr>
            <w:tcBorders>
              <w:top w:val="none" w:sz="0"/>
              <w:left w:val="none" w:sz="0"/>
              <w:bottom w:val="none" w:sz="0"/>
              <w:right w:val="none" w:sz="0"/>
            </w:tcBorders>
            <w:shd w:fill="F8F9FA" w:val="clear"/>
          </w:tcPr>
          <w:p>
            <w:pPr>
              <w:spacing w:after="40" w:line="276"/>
            </w:pPr>
            <w:r>
              <w:rPr>
                <w:rFonts w:ascii="Arial" w:cs="Arial" w:eastAsia="Arial" w:hAnsi="Arial"/>
                <w:b w:val="false"/>
                <w:bCs w:val="false"/>
                <w:color w:val="757575"/>
                <w:sz w:val="22"/>
                <w:szCs w:val="22"/>
              </w:rPr>
              <w:t xml:space="preserve">Vertinimas</w:t>
            </w:r>
          </w:p>
        </w:tc>
      </w:tr>
      <w:tr>
        <w:tc>
          <w:tcPr>
            <w:tcW w:type="dxa" w:w="2400"/>
            <w:tcBorders>
              <w:top w:val="none" w:sz="0"/>
              <w:left w:val="none" w:sz="0"/>
              <w:bottom w:val="none" w:sz="0"/>
              <w:right w:val="none" w:sz="0"/>
            </w:tcBorders>
            <w:shd w:fill="F8F9FA" w:val="clear"/>
          </w:tcPr>
          <w:p>
            <w:pPr>
              <w:spacing w:after="40" w:line="276"/>
            </w:pPr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Temos ribos:</w:t>
            </w:r>
          </w:p>
        </w:tc>
        <w:tc>
          <w:tcPr>
            <w:tcBorders>
              <w:top w:val="none" w:sz="0"/>
              <w:left w:val="none" w:sz="0"/>
              <w:bottom w:val="none" w:sz="0"/>
              <w:right w:val="none" w:sz="0"/>
            </w:tcBorders>
            <w:shd w:fill="F8F9FA" w:val="clear"/>
          </w:tcPr>
          <w:p>
            <w:pPr>
              <w:spacing w:after="40" w:line="276"/>
            </w:pPr>
            <w:r>
              <w:rPr>
                <w:rFonts w:ascii="Arial" w:cs="Arial" w:eastAsia="Arial" w:hAnsi="Arial"/>
                <w:b w:val="false"/>
                <w:bCs w:val="false"/>
                <w:color w:val="757575"/>
                <w:sz w:val="22"/>
                <w:szCs w:val="22"/>
              </w:rPr>
              <w:t xml:space="preserve">Formalus visų keturių saugos sričių (ergonomikos, privatumo ir paskyrų saugos, internetinių rizikų, skaitmeninių technologijų aplinkos poveikio) vertinimas. Nauja medžiaga nedėstoma.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/>
          <w:left w:val="single" w:color="1565C0" w:sz="12"/>
          <w:bottom w:val="none"/>
          <w:right w:val="none"/>
          <w:insideH w:val="none"/>
          <w:insideV w:val="none"/>
        </w:tblBorders>
      </w:tblPr>
      <w:tblGrid>
        <w:gridCol w:w="100"/>
      </w:tblGrid>
      <w:tr>
        <w:trPr>
          <w:cantSplit/>
        </w:trPr>
        <w:tc>
          <w:tcPr>
            <w:tcBorders>
              <w:top w:val="none"/>
              <w:left w:val="single" w:color="1565C0" w:sz="12"/>
              <w:bottom w:val="none"/>
              <w:right w:val="none"/>
            </w:tcBorders>
            <w:shd w:fill="EDE7F6" w:val="clear"/>
          </w:tcPr>
          <w:p>
            <w:pPr>
              <w:spacing w:after="60" w:line="276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Mokymosi tikslai</w:t>
            </w:r>
          </w:p>
          <w:p>
            <w:pPr>
              <w:spacing w:after="40" w:line="276"/>
              <w:ind w:left="240" w:hanging="24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1. Pademonstruoti saugos modulio žinių įsisavinimą atsakant į struktūrinius klausimus.</w:t>
            </w:r>
          </w:p>
          <w:p>
            <w:pPr>
              <w:spacing w:after="40" w:line="276"/>
              <w:ind w:left="240" w:hanging="24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2. Pritaikyti išmoktas taisykles naujose situacijose analizuojant scenarijus.</w:t>
            </w:r>
          </w:p>
        </w:tc>
      </w:tr>
    </w:tbl>
    <w:p>
      <w:pPr>
        <w:spacing w:after="160"/>
      </w:pPr>
    </w:p>
    <w:p>
      <w:pPr>
        <w:keepNext/>
        <w:spacing w:after="80" w:before="300" w:line="276"/>
      </w:pPr>
      <w:r>
        <w:rPr>
          <w:rFonts w:ascii="Arial" w:cs="Arial" w:eastAsia="Arial" w:hAnsi="Arial"/>
          <w:b/>
          <w:bCs/>
          <w:color w:val="1565C0"/>
          <w:sz w:val="28"/>
          <w:szCs w:val="28"/>
        </w:rPr>
        <w:t xml:space="preserve">Trumpas paaiškinimas</w:t>
      </w:r>
      <w:r>
        <w:rPr>
          <w:rFonts w:ascii="Arial" w:cs="Arial" w:eastAsia="Arial" w:hAnsi="Arial"/>
          <w:color w:val="757575"/>
          <w:sz w:val="20"/>
          <w:szCs w:val="20"/>
        </w:rPr>
        <w:t xml:space="preserve">  (~3 min.)</w:t>
      </w:r>
    </w:p>
    <w:p>
      <w:pPr>
        <w:pBdr>
          <w:bottom w:val="single" w:color="1565C0" w:sz="4"/>
        </w:pBdr>
        <w:spacing w:after="80"/>
      </w:pPr>
    </w:p>
    <w:p>
      <w:pPr>
        <w:keepNext/>
        <w:spacing w:after="60" w:before="160" w:line="276"/>
      </w:pPr>
      <w:r>
        <w:rPr>
          <w:rFonts w:ascii="Arial" w:cs="Arial" w:eastAsia="Arial" w:hAnsi="Arial"/>
          <w:b/>
          <w:bCs/>
          <w:color w:val="1565C0"/>
          <w:sz w:val="22"/>
          <w:szCs w:val="22"/>
        </w:rPr>
        <w:t xml:space="preserve">Mokytojo veiksmai:</w:t>
      </w:r>
    </w:p>
    <w:p>
      <w:pPr>
        <w:keepNext/>
        <w:keepLines w:val="false"/>
        <w:spacing w:after="60" w:line="276"/>
        <w:ind w:left="480" w:hanging="2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- Paaiškina vertinimo formatą: testas Testmoz platformoje, individualus darbas, be pagalbinių priemonių.</w:t>
      </w:r>
    </w:p>
    <w:p>
      <w:pPr>
        <w:keepNext/>
        <w:keepLines w:val="false"/>
        <w:spacing w:after="60" w:line="276"/>
        <w:ind w:left="480" w:hanging="2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- Pristato klausimų tipus: uždari klausimai (pasirinkimas iš variantų), trumpi atviri atsakymai, scenarijų analizė.</w:t>
      </w:r>
    </w:p>
    <w:p>
      <w:pPr>
        <w:keepNext w:val="false"/>
        <w:keepLines w:val="false"/>
        <w:spacing w:after="60" w:line="276"/>
        <w:ind w:left="480" w:hanging="2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- Informuoja apie trukmę: ~35 minutės.</w:t>
      </w:r>
    </w:p>
    <w:p>
      <w:pPr>
        <w:keepNext w:val="false"/>
        <w:keepLines w:val="false"/>
        <w:spacing w:after="60" w:line="276"/>
        <w:ind w:left="480" w:hanging="2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- Paaiškina vertinimo skalę: 1-10 balų.</w:t>
      </w:r>
    </w:p>
    <w:p>
      <w:pPr>
        <w:keepNext w:val="false"/>
        <w:keepLines w:val="false"/>
        <w:spacing w:after="60" w:line="276"/>
        <w:ind w:left="480" w:hanging="2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- Parodo Testmoz nuorodą (per Google Classroom arba ekrane).</w:t>
      </w:r>
    </w:p>
    <w:p>
      <w:pPr>
        <w:keepNext w:val="false"/>
        <w:keepLines w:val="false"/>
        <w:spacing w:after="60" w:line="276"/>
        <w:ind w:left="480" w:hanging="2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- Primena: pateikus atsakymus, jų keisti nebegalima.</w:t>
      </w:r>
    </w:p>
    <w:p>
      <w:pPr>
        <w:keepNext w:val="false"/>
        <w:keepLines w:val="false"/>
        <w:spacing w:after="60" w:line="276"/>
        <w:ind w:left="480" w:hanging="2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- Klausia, ar yra klausimų dėl formato.</w:t>
      </w:r>
    </w:p>
    <w:p>
      <w:pPr>
        <w:keepNext/>
        <w:spacing w:after="60" w:before="160" w:line="276"/>
      </w:pPr>
      <w:r>
        <w:rPr>
          <w:rFonts w:ascii="Arial" w:cs="Arial" w:eastAsia="Arial" w:hAnsi="Arial"/>
          <w:b/>
          <w:bCs/>
          <w:color w:val="1565C0"/>
          <w:sz w:val="22"/>
          <w:szCs w:val="22"/>
        </w:rPr>
        <w:t xml:space="preserve">Mokinių veiksmai:</w:t>
      </w:r>
    </w:p>
    <w:p>
      <w:pPr>
        <w:keepNext/>
        <w:keepLines w:val="false"/>
        <w:spacing w:after="60" w:line="276"/>
        <w:ind w:left="480" w:hanging="2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- Klausosi instrukcijos, užduoda patikslinančius klausimus.</w:t>
      </w:r>
    </w:p>
    <w:p>
      <w:pPr>
        <w:keepNext w:val="false"/>
        <w:keepLines w:val="false"/>
        <w:spacing w:after="60" w:line="276"/>
        <w:ind w:left="480" w:hanging="2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- Atidaro Testmoz savo kompiuteryje.</w:t>
      </w:r>
    </w:p>
    <w:p>
      <w:pPr>
        <w:spacing w:after="120"/>
      </w:pPr>
    </w:p>
    <w:p>
      <w:pPr>
        <w:keepNext/>
        <w:spacing w:after="80" w:before="300" w:line="276"/>
      </w:pPr>
      <w:r>
        <w:rPr>
          <w:rFonts w:ascii="Arial" w:cs="Arial" w:eastAsia="Arial" w:hAnsi="Arial"/>
          <w:b/>
          <w:bCs/>
          <w:color w:val="2E7D32"/>
          <w:sz w:val="28"/>
          <w:szCs w:val="28"/>
        </w:rPr>
        <w:t xml:space="preserve">Vertinimo užduotis</w:t>
      </w:r>
      <w:r>
        <w:rPr>
          <w:rFonts w:ascii="Arial" w:cs="Arial" w:eastAsia="Arial" w:hAnsi="Arial"/>
          <w:color w:val="757575"/>
          <w:sz w:val="20"/>
          <w:szCs w:val="20"/>
        </w:rPr>
        <w:t xml:space="preserve">  (~35 min.)</w:t>
      </w:r>
    </w:p>
    <w:p>
      <w:pPr>
        <w:pBdr>
          <w:bottom w:val="single" w:color="2E7D32" w:sz="4"/>
        </w:pBdr>
        <w:spacing w:after="80"/>
      </w:pPr>
    </w:p>
    <w:p>
      <w:pPr>
        <w:keepNext/>
        <w:spacing w:after="60" w:before="160" w:line="276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Mokytojo veiksmai:</w:t>
      </w:r>
    </w:p>
    <w:p>
      <w:pPr>
        <w:keepNext/>
        <w:keepLines w:val="false"/>
        <w:spacing w:after="60" w:line="276"/>
        <w:ind w:left="480" w:hanging="2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- Stebi klasę, vaikšto po kabinetą.</w:t>
      </w:r>
    </w:p>
    <w:p>
      <w:pPr>
        <w:keepNext/>
        <w:keepLines w:val="false"/>
        <w:spacing w:after="60" w:line="276"/>
        <w:ind w:left="480" w:hanging="2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- Užtikrina, kad mokiniai dirba individualiai (be bendradarbiavimo).</w:t>
      </w:r>
    </w:p>
    <w:p>
      <w:pPr>
        <w:keepNext w:val="false"/>
        <w:keepLines w:val="false"/>
        <w:spacing w:after="60" w:line="276"/>
        <w:ind w:left="480" w:hanging="2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- Atsako tik į procedūrinius klausimus (kaip pateikti atsakymus, techniniai nesklandumai).</w:t>
      </w:r>
    </w:p>
    <w:p>
      <w:pPr>
        <w:keepNext w:val="false"/>
        <w:keepLines w:val="false"/>
        <w:spacing w:after="60" w:line="276"/>
        <w:ind w:left="480" w:hanging="2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- Neatsako į turinio klausimus.</w:t>
      </w:r>
    </w:p>
    <w:p>
      <w:pPr>
        <w:keepNext w:val="false"/>
        <w:keepLines w:val="false"/>
        <w:spacing w:after="60" w:line="276"/>
        <w:ind w:left="480" w:hanging="2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- Anksčiau baigusius mokinius ragina peržiūrėti atsakymus prieš pateikiant.</w:t>
      </w:r>
    </w:p>
    <w:p>
      <w:pPr>
        <w:keepNext w:val="false"/>
        <w:keepLines w:val="false"/>
        <w:spacing w:after="60" w:line="276"/>
        <w:ind w:left="480" w:hanging="2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- Rodo likusį laiką lentoje arba ekrane.</w:t>
      </w:r>
    </w:p>
    <w:p>
      <w:pPr>
        <w:keepNext/>
        <w:spacing w:after="60" w:before="160" w:line="276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Mokinių veiksmai:</w:t>
      </w:r>
    </w:p>
    <w:p>
      <w:pPr>
        <w:keepNext/>
        <w:keepLines w:val="false"/>
        <w:spacing w:after="60" w:line="276"/>
        <w:ind w:left="480" w:hanging="2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- Dirba individualiai Testmoz platformoje.</w:t>
      </w:r>
    </w:p>
    <w:p>
      <w:pPr>
        <w:keepNext w:val="false"/>
        <w:keepLines w:val="false"/>
        <w:spacing w:after="60" w:line="276"/>
        <w:ind w:left="480" w:hanging="2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- Atsako į visus klausimus.</w:t>
      </w:r>
    </w:p>
    <w:p>
      <w:pPr>
        <w:keepNext w:val="false"/>
        <w:keepLines w:val="false"/>
        <w:spacing w:after="60" w:line="276"/>
        <w:ind w:left="480" w:hanging="2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- Peržiūri atsakymus prieš pateikdami.</w:t>
      </w:r>
    </w:p>
    <w:p>
      <w:pPr>
        <w:keepLines/>
        <w:shd w:fill="FFF8E1" w:val="clear"/>
        <w:spacing w:after="80" w:before="200" w:line="276"/>
        <w:ind w:left="24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⚠ Dažna klaida: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Mokiniai skuba per uždarus klausimus neskaitydami visų atsakymo variantų.</w:t>
      </w:r>
    </w:p>
    <w:p>
      <w:pPr>
        <w:keepLines/>
        <w:shd w:fill="FFF8E1" w:val="clear"/>
        <w:spacing w:after="80" w:before="200" w:line="276"/>
        <w:ind w:left="24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⚠ Dažna klaida: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Mokiniai palieka trumpų atvirų klausimų laukus tuščius, užuot bandę atsakyti.</w:t>
      </w:r>
    </w:p>
    <w:p>
      <w:pPr>
        <w:keepLines/>
        <w:shd w:fill="FFF8E1" w:val="clear"/>
        <w:spacing w:after="80" w:before="200" w:line="276"/>
        <w:ind w:left="24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⚠ Dažna klaida: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Mokiniai pateikia atsakymus neperžiūrėję savo darbo.</w:t>
      </w:r>
    </w:p>
    <w:p>
      <w:pPr>
        <w:keepNext/>
        <w:pBdr>
          <w:bottom w:val="single" w:color="757575" w:sz="8"/>
        </w:pBdr>
        <w:spacing w:after="80" w:before="300"/>
      </w:pPr>
    </w:p>
    <w:p>
      <w:pPr>
        <w:keepNext/>
        <w:spacing w:after="60" w:before="120" w:line="276"/>
      </w:pPr>
      <w:r>
        <w:rPr>
          <w:rFonts w:ascii="Arial" w:cs="Arial" w:eastAsia="Arial" w:hAnsi="Arial"/>
          <w:b/>
          <w:bCs/>
          <w:color w:val="757575"/>
          <w:sz w:val="22"/>
          <w:szCs w:val="22"/>
        </w:rPr>
        <w:t xml:space="preserve">PAMOKOS APRAŠYMAS (DIENYNUI)</w:t>
      </w:r>
    </w:p>
    <w:p>
      <w:pPr>
        <w:spacing w:after="80" w:line="276"/>
      </w:pPr>
      <w:r>
        <w:rPr>
          <w:rFonts w:ascii="Arial" w:cs="Arial" w:eastAsia="Arial" w:hAnsi="Arial"/>
          <w:i/>
          <w:iCs/>
          <w:color w:val="616161"/>
          <w:sz w:val="21"/>
          <w:szCs w:val="21"/>
        </w:rPr>
        <w:t xml:space="preserve">Pamokoje vyko formalus saugos modulio struktūrinis vertinimas Testmoz platformoje. Testas apėmė visas keturias saugos sritis: ergonomiką, privatumą ir paskyrų saugą, internetines rizikas ir skaitmeninių technologijų aplinkos poveikį. Mokiniai atsakė į uždarus klausimus, trumpus atvirus klausimus ir atliko scenarijų analizę. Rezultatas fiksuojamas kaip pažymys.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2026-04-01T16:49:34.845Z</dcterms:created>
  <dcterms:modified xsi:type="dcterms:W3CDTF">2026-04-01T16:49:34.846Z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