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aps/>
          <w:color w:val="808080"/>
          <w:sz w:val="18"/>
          <w:szCs w:val="18"/>
        </w:rPr>
        <w:t xml:space="preserve">VERTINIMO KRITERIJAI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007_A Saugos struktūrinis vertinimas</w:t>
      </w:r>
    </w:p>
    <w:p>
      <w:pPr>
        <w:spacing w:after="12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9 klasė  •  Sauga</w:t>
      </w:r>
    </w:p>
    <w:p>
      <w:pPr>
        <w:pBdr>
          <w:bottom w:val="single" w:color="1F4E79" w:sz="1" w:space="1"/>
        </w:pBdr>
        <w:spacing w:after="200"/>
      </w:pPr>
    </w:p>
    <w:p>
      <w:pPr>
        <w:keepNext/>
        <w:keepLines/>
        <w:spacing w:after="16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Kompetencijų lygių paskirstymas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Lygis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Taškai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Aprašymas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Slenkstinis (I)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taškai (20%)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Klausimai 1-4: bazinis atpažinimas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Patenkinamas (II)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taškai (30%)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Klausimai 5-9: paaiškinimas savais žodžiais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Pagrindinis (III)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taškai (30%)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Klausimai 10-12: taikymas naujoje situacijoje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Aukštesnysis (IV)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taškai (20%)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Klausimai 13-14: scenarijų analizė ir argumentavimas</w:t>
            </w:r>
          </w:p>
        </w:tc>
      </w:tr>
    </w:tbl>
    <w:p>
      <w:pPr>
        <w:keepNext/>
        <w:keepLines/>
        <w:spacing w:after="16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Taškų paskirstymas pagal klausimus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Klausimas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Kompetencijos lygis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Taškai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MCQ: Ergonomika (20-20-20, atstumas, ekrano padėtis)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Slenkstinis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MCQ: Slaptažodžio stiprumas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Slenkstinis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MCQ: Phishing / socialinė inžinerija / dezinformacija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Slenkstinis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MCQ: E-atliekos, duomenų centrai, energija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Slenkstinis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MCQ: Pertraukų, laikysenos, rankų padėties nauda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Patenkinamas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MCQ: 2FA veikimo principas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Patenkinamas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MCQ: Phishing požymių atpažinimas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Patenkinamas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MCQ: Skaitmeninio pėdsako mažinimas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Patenkinamas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Atviras: asmeninių duomenų sauga situacijoje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Patenkinamas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Atviras: trumpalaikis vs ilgalaikis poveikis (ergonomika / aplinka)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Pagrindinis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Atviras: slaptažodžio / 2FA klaidingo teiginio vertinimas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Pagrindinis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Atviras: phishing požymiai + saugaus reagavimo algoritmas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Pagrindinis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Scenarijus: integruota fizinė ir skaitmeninė sauga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Aukštesnysis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Scenarijus: skaitmeninio pėdsako / e-atliekų klaidingas teiginys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Aukštesnysis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Iš viso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</w:t>
            </w:r>
          </w:p>
        </w:tc>
      </w:tr>
    </w:tbl>
    <w:p>
      <w:pPr>
        <w:keepNext/>
        <w:keepLines/>
        <w:spacing w:after="16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Atvirų klausimų vertinimo gairės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Kiekvienas atviras klausimas ir scenarijaus analizė vertinami pagal šią skalę: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Taškai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Aprašymas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 taškai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Atsakymas pilnas: teisingai identifikuoja problemą, paaiškina ryšį ar priežastį, pateikia konkretų veiksmą ar pavyzdį. Atsakymas logiškas ir rišlus.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taškas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Atsakymas dalinis: teisingai identifikuoja problemą, bet paaiškinimas neišsamus arba trūksta konkretaus veiksmo / pavyzdžio.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 taškų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Atsakymas neteisingas, neatitinka klausimo arba nepateiktas.</w:t>
            </w:r>
          </w:p>
        </w:tc>
      </w:tr>
    </w:tbl>
    <w:p>
      <w:pPr>
        <w:keepNext/>
        <w:keepLines/>
        <w:spacing w:after="16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Taškų konvertavimas į pažymį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Iš viso: 20 taškų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Taškai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Pažymys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19-20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17-18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15-16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13-14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11-12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9-10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6-8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4-5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0-1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keepLines/>
        <w:spacing w:after="16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Pastabos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Testmoz automatiškai vertina uždarus klausimus (MCQ). Atvirus klausimus ir scenarijų analizes mokytojas vertina rankiniu būdu Testmoz platformoje.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Kiekvienas klausimas turi 3 variantus. Testmoz kiekvienam mokiniui atsitiktinai parenka po vieną variantą iš kiekvieno klausimų rinkinio.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2026-03-30T07:01:10.080Z</dcterms:created>
  <dcterms:modified xsi:type="dcterms:W3CDTF">2026-03-30T07:01:10.082Z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