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Arial" w:cs="Arial" w:eastAsia="Arial" w:hAnsi="Arial"/>
          <w:b/>
          <w:bCs/>
          <w:color w:val="1A237E"/>
          <w:sz w:val="36"/>
          <w:szCs w:val="36"/>
        </w:rPr>
        <w:t xml:space="preserve">Saugos struktūrinis vertinimas</w:t>
      </w:r>
    </w:p>
    <w:p>
      <w:pPr>
        <w:pBdr>
          <w:bottom w:val="single" w:color="1565C0" w:sz="48"/>
        </w:pBdr>
        <w:spacing w:after="200"/>
      </w:pPr>
    </w:p>
    <w:tbl>
      <w:tblPr>
        <w:tblW w:type="auto" w:w="100"/>
        <w:tblBorders>
          <w:top w:val="none" w:sz="0"/>
          <w:left w:val="none" w:sz="0"/>
          <w:bottom w:val="none" w:sz="0"/>
          <w:right w:val="none" w:sz="0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7200"/>
      </w:tblGrid>
      <w:tr>
        <w:tc>
          <w:tcPr>
            <w:tcW w:type="dxa" w:w="2400"/>
            <w:tcBorders>
              <w:top w:val="none" w:sz="0"/>
              <w:left w:val="none" w:sz="0"/>
              <w:bottom w:val="single" w:color="EEEEEE" w:sz="4"/>
              <w:right w:val="none" w:sz="0"/>
            </w:tcBorders>
            <w:shd w:fill="F8F9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424242"/>
                <w:sz w:val="22"/>
                <w:szCs w:val="22"/>
              </w:rPr>
              <w:t xml:space="preserve">Tipas</w:t>
            </w:r>
          </w:p>
        </w:tc>
        <w:tc>
          <w:tcPr>
            <w:tcW w:type="dxa" w:w="7200"/>
            <w:tcBorders>
              <w:top w:val="none" w:sz="0"/>
              <w:left w:val="none" w:sz="0"/>
              <w:bottom w:val="single" w:color="EEEEEE" w:sz="4"/>
              <w:right w:val="none" w:sz="0"/>
            </w:tcBorders>
            <w:shd w:fill="F8F9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2"/>
                <w:szCs w:val="22"/>
              </w:rPr>
              <w:t xml:space="preserve">A — Vertinimo pamoka (7 iš 7 saugos modulyje)</w:t>
            </w:r>
          </w:p>
        </w:tc>
      </w:tr>
      <w:tr>
        <w:tc>
          <w:tcPr>
            <w:tcW w:type="dxa" w:w="2400"/>
            <w:tcBorders>
              <w:top w:val="none" w:sz="0"/>
              <w:left w:val="none" w:sz="0"/>
              <w:bottom w:val="single" w:color="EEEEEE" w:sz="4"/>
              <w:right w:val="none" w:sz="0"/>
            </w:tcBorders>
            <w:shd w:fill="F8F9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424242"/>
                <w:sz w:val="22"/>
                <w:szCs w:val="22"/>
              </w:rPr>
              <w:t xml:space="preserve">Klasė</w:t>
            </w:r>
          </w:p>
        </w:tc>
        <w:tc>
          <w:tcPr>
            <w:tcW w:type="dxa" w:w="7200"/>
            <w:tcBorders>
              <w:top w:val="none" w:sz="0"/>
              <w:left w:val="none" w:sz="0"/>
              <w:bottom w:val="single" w:color="EEEEEE" w:sz="4"/>
              <w:right w:val="none" w:sz="0"/>
            </w:tcBorders>
            <w:shd w:fill="F8F9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2"/>
                <w:szCs w:val="22"/>
              </w:rPr>
              <w:t xml:space="preserve">9</w:t>
            </w:r>
          </w:p>
        </w:tc>
      </w:tr>
      <w:tr>
        <w:tc>
          <w:tcPr>
            <w:tcW w:type="dxa" w:w="2400"/>
            <w:tcBorders>
              <w:top w:val="none" w:sz="0"/>
              <w:left w:val="none" w:sz="0"/>
              <w:bottom w:val="single" w:color="EEEEEE" w:sz="4"/>
              <w:right w:val="none" w:sz="0"/>
            </w:tcBorders>
            <w:shd w:fill="F8F9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424242"/>
                <w:sz w:val="22"/>
                <w:szCs w:val="22"/>
              </w:rPr>
              <w:t xml:space="preserve">Trukmė</w:t>
            </w:r>
          </w:p>
        </w:tc>
        <w:tc>
          <w:tcPr>
            <w:tcW w:type="dxa" w:w="7200"/>
            <w:tcBorders>
              <w:top w:val="none" w:sz="0"/>
              <w:left w:val="none" w:sz="0"/>
              <w:bottom w:val="single" w:color="EEEEEE" w:sz="4"/>
              <w:right w:val="none" w:sz="0"/>
            </w:tcBorders>
            <w:shd w:fill="F8F9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2"/>
                <w:szCs w:val="22"/>
              </w:rPr>
              <w:t xml:space="preserve">~40 min.</w:t>
            </w:r>
          </w:p>
        </w:tc>
      </w:tr>
      <w:tr>
        <w:tc>
          <w:tcPr>
            <w:tcW w:type="dxa" w:w="2400"/>
            <w:tcBorders>
              <w:top w:val="none" w:sz="0"/>
              <w:left w:val="none" w:sz="0"/>
              <w:bottom w:val="single" w:color="EEEEEE" w:sz="4"/>
              <w:right w:val="none" w:sz="0"/>
            </w:tcBorders>
            <w:shd w:fill="F8F9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424242"/>
                <w:sz w:val="22"/>
                <w:szCs w:val="22"/>
              </w:rPr>
              <w:t xml:space="preserve">Forma</w:t>
            </w:r>
          </w:p>
        </w:tc>
        <w:tc>
          <w:tcPr>
            <w:tcW w:type="dxa" w:w="7200"/>
            <w:tcBorders>
              <w:top w:val="none" w:sz="0"/>
              <w:left w:val="none" w:sz="0"/>
              <w:bottom w:val="single" w:color="EEEEEE" w:sz="4"/>
              <w:right w:val="none" w:sz="0"/>
            </w:tcBorders>
            <w:shd w:fill="F8F9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2"/>
                <w:szCs w:val="22"/>
              </w:rPr>
              <w:t xml:space="preserve">A/T šablonas (trumpas paaiškinimas + vertinimo užduotis)</w:t>
            </w:r>
          </w:p>
        </w:tc>
      </w:tr>
      <w:tr>
        <w:tc>
          <w:tcPr>
            <w:tcW w:type="dxa" w:w="2400"/>
            <w:tcBorders>
              <w:top w:val="none" w:sz="0"/>
              <w:left w:val="none" w:sz="0"/>
              <w:bottom w:val="single" w:color="EEEEEE" w:sz="4"/>
              <w:right w:val="none" w:sz="0"/>
            </w:tcBorders>
            <w:shd w:fill="F8F9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424242"/>
                <w:sz w:val="22"/>
                <w:szCs w:val="22"/>
              </w:rPr>
              <w:t xml:space="preserve">Temos ribos</w:t>
            </w:r>
          </w:p>
        </w:tc>
        <w:tc>
          <w:tcPr>
            <w:tcW w:type="dxa" w:w="7200"/>
            <w:tcBorders>
              <w:top w:val="none" w:sz="0"/>
              <w:left w:val="none" w:sz="0"/>
              <w:bottom w:val="single" w:color="EEEEEE" w:sz="4"/>
              <w:right w:val="none" w:sz="0"/>
            </w:tcBorders>
            <w:shd w:fill="F8F9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2"/>
                <w:szCs w:val="22"/>
              </w:rPr>
              <w:t xml:space="preserve">Formalus struktūrinis vertinimas, apimantis visą saugos modulį: ergonomiką, privatumo ir paskyrų saugą, internetines rizikas ir skaitmeninių technologijų poveikį aplinkai. Testas vykdomas Testmoz platformoje. Rezultatas fiksuojamas kaip pažymys.</w:t>
            </w:r>
          </w:p>
        </w:tc>
      </w:tr>
    </w:tbl>
    <w:p>
      <w:pPr>
        <w:spacing w:before="200"/>
      </w:pP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00"/>
      </w:tblGrid>
      <w:tr>
        <w:trPr>
          <w:cantSplit/>
        </w:trPr>
        <w:tc>
          <w:tcPr>
            <w:tcBorders>
              <w:top w:val="single" w:color="E0E0E0" w:sz="4"/>
              <w:left w:val="single" w:color="5E35B1" w:sz="64"/>
              <w:bottom w:val="single" w:color="E0E0E0" w:sz="4"/>
              <w:right w:val="single" w:color="E0E0E0" w:sz="4"/>
            </w:tcBorders>
            <w:shd w:fill="EDE7F6" w:val="clear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4A148C"/>
                <w:sz w:val="22"/>
                <w:szCs w:val="22"/>
              </w:rPr>
              <w:t xml:space="preserve">PAMOKOS TIKSLAI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5E35B1"/>
                <w:sz w:val="22"/>
                <w:szCs w:val="22"/>
              </w:rPr>
              <w:t xml:space="preserve">▸ </w:t>
            </w:r>
            <w:r>
              <w:rPr>
                <w:rFonts w:ascii="Arial" w:cs="Arial" w:eastAsia="Arial" w:hAnsi="Arial"/>
                <w:color w:val="212121"/>
                <w:sz w:val="22"/>
                <w:szCs w:val="22"/>
              </w:rPr>
              <w:t xml:space="preserve">Pademonstruoti saugos modulio žinių įsisavinimą atsakant į struktūrinius klausimus.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5E35B1"/>
                <w:sz w:val="22"/>
                <w:szCs w:val="22"/>
              </w:rPr>
              <w:t xml:space="preserve">▸ </w:t>
            </w:r>
            <w:r>
              <w:rPr>
                <w:rFonts w:ascii="Arial" w:cs="Arial" w:eastAsia="Arial" w:hAnsi="Arial"/>
                <w:color w:val="212121"/>
                <w:sz w:val="22"/>
                <w:szCs w:val="22"/>
              </w:rPr>
              <w:t xml:space="preserve">Pritaikyti išmoktas taisykles naujose situacijose analizuojant scenarijus.</w:t>
            </w:r>
          </w:p>
        </w:tc>
      </w:tr>
    </w:tbl>
    <w:p>
      <w:pPr>
        <w:spacing w:before="200"/>
      </w:pPr>
    </w:p>
    <w:tbl>
      <w:tblPr>
        <w:tblW w:type="auto" w:w="100"/>
        <w:tblBorders>
          <w:top w:val="none" w:sz="0"/>
          <w:left w:val="none" w:sz="0"/>
          <w:bottom w:val="none" w:sz="0"/>
          <w:right w:val="none" w:sz="0"/>
          <w:insideH w:val="single" w:color="auto" w:sz="4"/>
          <w:insideV w:val="single" w:color="auto" w:sz="4"/>
        </w:tblBorders>
        <w:tblLayout w:type="fixed"/>
      </w:tblPr>
      <w:tblGrid>
        <w:gridCol w:w="200"/>
        <w:gridCol w:w="9400"/>
      </w:tblGrid>
      <w:tr>
        <w:trPr>
          <w:cantSplit/>
        </w:trPr>
        <w:tc>
          <w:tcPr>
            <w:tcW w:type="dxa" w:w="200"/>
            <w:tcBorders>
              <w:top w:val="none" w:sz="0"/>
              <w:left w:val="none" w:sz="0"/>
              <w:bottom w:val="none" w:sz="0"/>
              <w:right w:val="none" w:sz="0"/>
            </w:tcBorders>
            <w:shd w:fill="1565C0" w:val="clear"/>
          </w:tcPr>
          <w:p/>
        </w:tc>
        <w:tc>
          <w:tcPr>
            <w:tcW w:type="dxa" w:w="9400"/>
            <w:tcBorders>
              <w:top w:val="none" w:sz="0"/>
              <w:left w:val="none" w:sz="0"/>
              <w:bottom w:val="none" w:sz="0"/>
              <w:right w:val="none" w:sz="0"/>
            </w:tcBorders>
            <w:shd w:fill="E3F2FD" w:val="clear"/>
          </w:tcPr>
          <w:p>
            <w:r>
              <w:rPr>
                <w:rFonts w:ascii="Arial" w:cs="Arial" w:eastAsia="Arial" w:hAnsi="Arial"/>
                <w:b/>
                <w:bCs/>
                <w:color w:val="1565C0"/>
                <w:sz w:val="24"/>
                <w:szCs w:val="24"/>
              </w:rPr>
              <w:t xml:space="preserve">Trumpas paaiškinimas</w:t>
            </w:r>
            <w:r>
              <w:rPr>
                <w:rFonts w:ascii="Arial" w:cs="Arial" w:eastAsia="Arial" w:hAnsi="Arial"/>
                <w:color w:val="757575"/>
                <w:sz w:val="20"/>
                <w:szCs w:val="20"/>
              </w:rPr>
              <w:t xml:space="preserve"> — ~2 min.</w:t>
            </w:r>
          </w:p>
        </w:tc>
      </w:tr>
    </w:tbl>
    <w:p>
      <w:pPr>
        <w:keepNext/>
        <w:spacing w:after="80"/>
      </w:pPr>
      <w:r>
        <w:rPr>
          <w:rFonts w:ascii="Arial" w:cs="Arial" w:eastAsia="Arial" w:hAnsi="Arial"/>
          <w:b/>
          <w:bCs/>
          <w:color w:val="424242"/>
          <w:sz w:val="22"/>
          <w:szCs w:val="22"/>
        </w:rPr>
        <w:t xml:space="preserve">Mokytojo veiksmai: </w:t>
      </w:r>
      <w:r>
        <w:rPr>
          <w:rFonts w:ascii="Arial" w:cs="Arial" w:eastAsia="Arial" w:hAnsi="Arial"/>
          <w:i w:val="false"/>
          <w:iCs w:val="false"/>
          <w:color w:val="212121"/>
          <w:sz w:val="22"/>
          <w:szCs w:val="22"/>
        </w:rPr>
        <w:t xml:space="preserve">paaiškinkite vertinimo tvarką.</w:t>
      </w:r>
    </w:p>
    <w:p>
      <w:pPr>
        <w:spacing w:after="60"/>
        <w:ind w:left="360"/>
      </w:pPr>
      <w:r>
        <w:rPr>
          <w:rFonts w:ascii="Arial" w:cs="Arial" w:eastAsia="Arial" w:hAnsi="Arial"/>
          <w:b/>
          <w:bCs/>
          <w:color w:val="1565C0"/>
          <w:sz w:val="22"/>
          <w:szCs w:val="22"/>
        </w:rPr>
        <w:t xml:space="preserve">1. </w:t>
      </w:r>
      <w:r>
        <w:rPr>
          <w:rFonts w:ascii="Arial" w:cs="Arial" w:eastAsia="Arial" w:hAnsi="Arial"/>
          <w:color w:val="212121"/>
          <w:sz w:val="22"/>
          <w:szCs w:val="22"/>
        </w:rPr>
        <w:t xml:space="preserve">Praneškite, kad šiandien vyksta saugos modulio vertinimas Testmoz platformoje.</w:t>
      </w:r>
    </w:p>
    <w:p>
      <w:pPr>
        <w:spacing w:after="60"/>
        <w:ind w:left="360"/>
      </w:pPr>
      <w:r>
        <w:rPr>
          <w:rFonts w:ascii="Arial" w:cs="Arial" w:eastAsia="Arial" w:hAnsi="Arial"/>
          <w:b/>
          <w:bCs/>
          <w:color w:val="1565C0"/>
          <w:sz w:val="22"/>
          <w:szCs w:val="22"/>
        </w:rPr>
        <w:t xml:space="preserve">2. </w:t>
      </w:r>
      <w:r>
        <w:rPr>
          <w:rFonts w:ascii="Arial" w:cs="Arial" w:eastAsia="Arial" w:hAnsi="Arial"/>
          <w:color w:val="212121"/>
          <w:sz w:val="22"/>
          <w:szCs w:val="22"/>
        </w:rPr>
        <w:t xml:space="preserve">Nurodykite prisijungimo adresą (užrašykite ant lentos arba parodykite ekrane).</w:t>
      </w:r>
    </w:p>
    <w:p>
      <w:pPr>
        <w:spacing w:after="60"/>
        <w:ind w:left="360"/>
      </w:pPr>
      <w:r>
        <w:rPr>
          <w:rFonts w:ascii="Arial" w:cs="Arial" w:eastAsia="Arial" w:hAnsi="Arial"/>
          <w:b/>
          <w:bCs/>
          <w:color w:val="1565C0"/>
          <w:sz w:val="22"/>
          <w:szCs w:val="22"/>
        </w:rPr>
        <w:t xml:space="preserve">3. </w:t>
      </w:r>
      <w:r>
        <w:rPr>
          <w:rFonts w:ascii="Arial" w:cs="Arial" w:eastAsia="Arial" w:hAnsi="Arial"/>
          <w:color w:val="212121"/>
          <w:sz w:val="22"/>
          <w:szCs w:val="22"/>
        </w:rPr>
        <w:t xml:space="preserve">Pasakykite, kad testas apima keturias temas: ergonomiką, privatumo ir paskyrų saugą, internetines rizikas, skaitmeninių technologijų poveikį aplinkai.</w:t>
      </w:r>
    </w:p>
    <w:p>
      <w:pPr>
        <w:spacing w:after="60"/>
        <w:ind w:left="360"/>
      </w:pPr>
      <w:r>
        <w:rPr>
          <w:rFonts w:ascii="Arial" w:cs="Arial" w:eastAsia="Arial" w:hAnsi="Arial"/>
          <w:b/>
          <w:bCs/>
          <w:color w:val="1565C0"/>
          <w:sz w:val="22"/>
          <w:szCs w:val="22"/>
        </w:rPr>
        <w:t xml:space="preserve">4. </w:t>
      </w:r>
      <w:r>
        <w:rPr>
          <w:rFonts w:ascii="Arial" w:cs="Arial" w:eastAsia="Arial" w:hAnsi="Arial"/>
          <w:color w:val="212121"/>
          <w:sz w:val="22"/>
          <w:szCs w:val="22"/>
        </w:rPr>
        <w:t xml:space="preserve">Nurodykite laiko limitą: ~35 min. Baigus testą, rezultatą mokiniai mato iš karto.</w:t>
      </w:r>
    </w:p>
    <w:p>
      <w:pPr>
        <w:spacing w:after="60"/>
        <w:ind w:left="360"/>
      </w:pPr>
      <w:r>
        <w:rPr>
          <w:rFonts w:ascii="Arial" w:cs="Arial" w:eastAsia="Arial" w:hAnsi="Arial"/>
          <w:b/>
          <w:bCs/>
          <w:color w:val="1565C0"/>
          <w:sz w:val="22"/>
          <w:szCs w:val="22"/>
        </w:rPr>
        <w:t xml:space="preserve">5. </w:t>
      </w:r>
      <w:r>
        <w:rPr>
          <w:rFonts w:ascii="Arial" w:cs="Arial" w:eastAsia="Arial" w:hAnsi="Arial"/>
          <w:color w:val="212121"/>
          <w:sz w:val="22"/>
          <w:szCs w:val="22"/>
        </w:rPr>
        <w:t xml:space="preserve">Pabrėžkite: darbas individualus, be pagalbinių priemonių. Draudžiama naudotis internetu, užrašais ar klasės draugais.</w:t>
      </w:r>
    </w:p>
    <w:p>
      <w:pPr>
        <w:keepNext w:val="false"/>
        <w:spacing w:after="80"/>
      </w:pPr>
      <w:r>
        <w:rPr>
          <w:rFonts w:ascii="Arial" w:cs="Arial" w:eastAsia="Arial" w:hAnsi="Arial"/>
          <w:b/>
          <w:bCs/>
          <w:color w:val="424242"/>
          <w:sz w:val="22"/>
          <w:szCs w:val="22"/>
        </w:rPr>
        <w:t xml:space="preserve">Mokinių veiksmai: </w:t>
      </w:r>
      <w:r>
        <w:rPr>
          <w:rFonts w:ascii="Arial" w:cs="Arial" w:eastAsia="Arial" w:hAnsi="Arial"/>
          <w:i w:val="false"/>
          <w:iCs w:val="false"/>
          <w:color w:val="212121"/>
          <w:sz w:val="22"/>
          <w:szCs w:val="22"/>
        </w:rPr>
        <w:t xml:space="preserve">klausosi instrukcijos, prisijungia prie Testmoz, įsitikina, kad mato testo pradžios ekraną. Laukia mokytojo komandos pradėti.</w:t>
      </w:r>
    </w:p>
    <w:p>
      <w:pPr>
        <w:spacing w:before="200"/>
      </w:pPr>
    </w:p>
    <w:tbl>
      <w:tblPr>
        <w:tblW w:type="auto" w:w="100"/>
        <w:tblBorders>
          <w:top w:val="none" w:sz="0"/>
          <w:left w:val="none" w:sz="0"/>
          <w:bottom w:val="none" w:sz="0"/>
          <w:right w:val="none" w:sz="0"/>
          <w:insideH w:val="single" w:color="auto" w:sz="4"/>
          <w:insideV w:val="single" w:color="auto" w:sz="4"/>
        </w:tblBorders>
        <w:tblLayout w:type="fixed"/>
      </w:tblPr>
      <w:tblGrid>
        <w:gridCol w:w="200"/>
        <w:gridCol w:w="9400"/>
      </w:tblGrid>
      <w:tr>
        <w:trPr>
          <w:cantSplit/>
        </w:trPr>
        <w:tc>
          <w:tcPr>
            <w:tcW w:type="dxa" w:w="200"/>
            <w:tcBorders>
              <w:top w:val="none" w:sz="0"/>
              <w:left w:val="none" w:sz="0"/>
              <w:bottom w:val="none" w:sz="0"/>
              <w:right w:val="none" w:sz="0"/>
            </w:tcBorders>
            <w:shd w:fill="2E7D32" w:val="clear"/>
          </w:tcPr>
          <w:p/>
        </w:tc>
        <w:tc>
          <w:tcPr>
            <w:tcW w:type="dxa" w:w="9400"/>
            <w:tcBorders>
              <w:top w:val="none" w:sz="0"/>
              <w:left w:val="none" w:sz="0"/>
              <w:bottom w:val="none" w:sz="0"/>
              <w:right w:val="none" w:sz="0"/>
            </w:tcBorders>
            <w:shd w:fill="E8F5E9" w:val="clear"/>
          </w:tcPr>
          <w:p>
            <w:r>
              <w:rPr>
                <w:rFonts w:ascii="Arial" w:cs="Arial" w:eastAsia="Arial" w:hAnsi="Arial"/>
                <w:b/>
                <w:bCs/>
                <w:color w:val="2E7D32"/>
                <w:sz w:val="24"/>
                <w:szCs w:val="24"/>
              </w:rPr>
              <w:t xml:space="preserve">Vertinimo užduotis</w:t>
            </w:r>
            <w:r>
              <w:rPr>
                <w:rFonts w:ascii="Arial" w:cs="Arial" w:eastAsia="Arial" w:hAnsi="Arial"/>
                <w:color w:val="757575"/>
                <w:sz w:val="20"/>
                <w:szCs w:val="20"/>
              </w:rPr>
              <w:t xml:space="preserve"> — ~35 min.</w:t>
            </w:r>
          </w:p>
        </w:tc>
      </w:tr>
    </w:tbl>
    <w:p>
      <w:pPr>
        <w:keepNext/>
        <w:spacing w:after="80"/>
      </w:pPr>
      <w:r>
        <w:rPr>
          <w:rFonts w:ascii="Arial" w:cs="Arial" w:eastAsia="Arial" w:hAnsi="Arial"/>
          <w:b/>
          <w:bCs/>
          <w:color w:val="424242"/>
          <w:sz w:val="22"/>
          <w:szCs w:val="22"/>
        </w:rPr>
        <w:t xml:space="preserve">Mokytojo veiksmai: </w:t>
      </w:r>
      <w:r>
        <w:rPr>
          <w:rFonts w:ascii="Arial" w:cs="Arial" w:eastAsia="Arial" w:hAnsi="Arial"/>
          <w:i w:val="false"/>
          <w:iCs w:val="false"/>
          <w:color w:val="212121"/>
          <w:sz w:val="22"/>
          <w:szCs w:val="22"/>
        </w:rPr>
        <w:t xml:space="preserve">duokite komandą pradėti testą. Stebėkite klasę.</w:t>
      </w:r>
    </w:p>
    <w:p>
      <w:pPr>
        <w:spacing w:after="60"/>
        <w:ind w:left="360"/>
      </w:pPr>
      <w:r>
        <w:rPr>
          <w:rFonts w:ascii="Arial" w:cs="Arial" w:eastAsia="Arial" w:hAnsi="Arial"/>
          <w:b/>
          <w:bCs/>
          <w:color w:val="2E7D32"/>
          <w:sz w:val="22"/>
          <w:szCs w:val="22"/>
        </w:rPr>
        <w:t xml:space="preserve">1. </w:t>
      </w:r>
      <w:r>
        <w:rPr>
          <w:rFonts w:ascii="Arial" w:cs="Arial" w:eastAsia="Arial" w:hAnsi="Arial"/>
          <w:color w:val="212121"/>
          <w:sz w:val="22"/>
          <w:szCs w:val="22"/>
        </w:rPr>
        <w:t xml:space="preserve">Stebėkite, kad mokiniai dirbtų individualiai ir neatsidarytų kitų naršyklės skirtukų.</w:t>
      </w:r>
    </w:p>
    <w:p>
      <w:pPr>
        <w:spacing w:after="60"/>
        <w:ind w:left="360"/>
      </w:pPr>
      <w:r>
        <w:rPr>
          <w:rFonts w:ascii="Arial" w:cs="Arial" w:eastAsia="Arial" w:hAnsi="Arial"/>
          <w:b/>
          <w:bCs/>
          <w:color w:val="2E7D32"/>
          <w:sz w:val="22"/>
          <w:szCs w:val="22"/>
        </w:rPr>
        <w:t xml:space="preserve">2. </w:t>
      </w:r>
      <w:r>
        <w:rPr>
          <w:rFonts w:ascii="Arial" w:cs="Arial" w:eastAsia="Arial" w:hAnsi="Arial"/>
          <w:color w:val="212121"/>
          <w:sz w:val="22"/>
          <w:szCs w:val="22"/>
        </w:rPr>
        <w:t xml:space="preserve">Padėkite tik su techniniu prisijungimu ar platformos klausimais. Į turinio klausimus neatsakinėkite.</w:t>
      </w:r>
    </w:p>
    <w:p>
      <w:pPr>
        <w:spacing w:after="60"/>
        <w:ind w:left="360"/>
      </w:pPr>
      <w:r>
        <w:rPr>
          <w:rFonts w:ascii="Arial" w:cs="Arial" w:eastAsia="Arial" w:hAnsi="Arial"/>
          <w:b/>
          <w:bCs/>
          <w:color w:val="2E7D32"/>
          <w:sz w:val="22"/>
          <w:szCs w:val="22"/>
        </w:rPr>
        <w:t xml:space="preserve">3. </w:t>
      </w:r>
      <w:r>
        <w:rPr>
          <w:rFonts w:ascii="Arial" w:cs="Arial" w:eastAsia="Arial" w:hAnsi="Arial"/>
          <w:color w:val="212121"/>
          <w:sz w:val="22"/>
          <w:szCs w:val="22"/>
        </w:rPr>
        <w:t xml:space="preserve">Jei mokinys baigia anksčiau, nurodykite sėdėti tyliai iki pamokos pabaigos. Neleiskite naršyti interneto.</w:t>
      </w:r>
    </w:p>
    <w:p>
      <w:pPr>
        <w:keepNext w:val="false"/>
        <w:spacing w:after="80"/>
      </w:pPr>
      <w:r>
        <w:rPr>
          <w:rFonts w:ascii="Arial" w:cs="Arial" w:eastAsia="Arial" w:hAnsi="Arial"/>
          <w:b/>
          <w:bCs/>
          <w:color w:val="424242"/>
          <w:sz w:val="22"/>
          <w:szCs w:val="22"/>
        </w:rPr>
        <w:t xml:space="preserve">Mokinių veiksmai: </w:t>
      </w:r>
      <w:r>
        <w:rPr>
          <w:rFonts w:ascii="Arial" w:cs="Arial" w:eastAsia="Arial" w:hAnsi="Arial"/>
          <w:i w:val="false"/>
          <w:iCs w:val="false"/>
          <w:color w:val="212121"/>
          <w:sz w:val="22"/>
          <w:szCs w:val="22"/>
        </w:rPr>
        <w:t xml:space="preserve">individualiai atlieka testą Testmoz platformoje. Atsako į uždarus klausimus, trumpai paaiškina sąvokas, analizuoja scenarijus. Baigę mato savo rezultatą.</w:t>
      </w:r>
    </w:p>
    <w:p>
      <w:pPr>
        <w:spacing w:after="40"/>
      </w:pPr>
    </w:p>
    <w:p>
      <w:pPr>
        <w:keepNext w:val="false"/>
        <w:keepLines w:val="false"/>
        <w:spacing w:after="80"/>
      </w:pPr>
      <w:r>
        <w:rPr>
          <w:rFonts w:ascii="Arial" w:cs="Arial" w:eastAsia="Arial" w:hAnsi="Arial"/>
          <w:b/>
          <w:bCs/>
          <w:i w:val="false"/>
          <w:iCs w:val="false"/>
          <w:color w:val="212121"/>
          <w:sz w:val="22"/>
          <w:szCs w:val="22"/>
        </w:rPr>
        <w:t xml:space="preserve">Vertinimo sąlygos:</w:t>
      </w:r>
    </w:p>
    <w:p>
      <w:pPr>
        <w:keepNext w:val="false"/>
        <w:spacing w:after="40"/>
        <w:ind w:left="360"/>
      </w:pPr>
      <w:r>
        <w:rPr>
          <w:rFonts w:ascii="Arial" w:cs="Arial" w:eastAsia="Arial" w:hAnsi="Arial"/>
          <w:b/>
          <w:bCs/>
          <w:color w:val="424242"/>
          <w:sz w:val="22"/>
          <w:szCs w:val="22"/>
        </w:rPr>
        <w:t xml:space="preserve">Platforma: </w:t>
      </w:r>
      <w:r>
        <w:rPr>
          <w:rFonts w:ascii="Arial" w:cs="Arial" w:eastAsia="Arial" w:hAnsi="Arial"/>
          <w:i w:val="false"/>
          <w:iCs w:val="false"/>
          <w:color w:val="212121"/>
          <w:sz w:val="22"/>
          <w:szCs w:val="22"/>
        </w:rPr>
        <w:t xml:space="preserve">Testmoz</w:t>
      </w:r>
    </w:p>
    <w:p>
      <w:pPr>
        <w:keepNext w:val="false"/>
        <w:spacing w:after="40"/>
        <w:ind w:left="360"/>
      </w:pPr>
      <w:r>
        <w:rPr>
          <w:rFonts w:ascii="Arial" w:cs="Arial" w:eastAsia="Arial" w:hAnsi="Arial"/>
          <w:b/>
          <w:bCs/>
          <w:color w:val="424242"/>
          <w:sz w:val="22"/>
          <w:szCs w:val="22"/>
        </w:rPr>
        <w:t xml:space="preserve">Trukmė: </w:t>
      </w:r>
      <w:r>
        <w:rPr>
          <w:rFonts w:ascii="Arial" w:cs="Arial" w:eastAsia="Arial" w:hAnsi="Arial"/>
          <w:i w:val="false"/>
          <w:iCs w:val="false"/>
          <w:color w:val="212121"/>
          <w:sz w:val="22"/>
          <w:szCs w:val="22"/>
        </w:rPr>
        <w:t xml:space="preserve">~35 min.</w:t>
      </w:r>
    </w:p>
    <w:p>
      <w:pPr>
        <w:keepNext w:val="false"/>
        <w:spacing w:after="40"/>
        <w:ind w:left="360"/>
      </w:pPr>
      <w:r>
        <w:rPr>
          <w:rFonts w:ascii="Arial" w:cs="Arial" w:eastAsia="Arial" w:hAnsi="Arial"/>
          <w:b/>
          <w:bCs/>
          <w:color w:val="424242"/>
          <w:sz w:val="22"/>
          <w:szCs w:val="22"/>
        </w:rPr>
        <w:t xml:space="preserve">Sąlygos: </w:t>
      </w:r>
      <w:r>
        <w:rPr>
          <w:rFonts w:ascii="Arial" w:cs="Arial" w:eastAsia="Arial" w:hAnsi="Arial"/>
          <w:i w:val="false"/>
          <w:iCs w:val="false"/>
          <w:color w:val="212121"/>
          <w:sz w:val="22"/>
          <w:szCs w:val="22"/>
        </w:rPr>
        <w:t xml:space="preserve">individualiai, be pagalbinių priemonių</w:t>
      </w:r>
    </w:p>
    <w:p>
      <w:pPr>
        <w:keepNext w:val="false"/>
        <w:spacing w:after="40"/>
        <w:ind w:left="360"/>
      </w:pPr>
      <w:r>
        <w:rPr>
          <w:rFonts w:ascii="Arial" w:cs="Arial" w:eastAsia="Arial" w:hAnsi="Arial"/>
          <w:b/>
          <w:bCs/>
          <w:color w:val="424242"/>
          <w:sz w:val="22"/>
          <w:szCs w:val="22"/>
        </w:rPr>
        <w:t xml:space="preserve">Vertinimo skalė: </w:t>
      </w:r>
      <w:r>
        <w:rPr>
          <w:rFonts w:ascii="Arial" w:cs="Arial" w:eastAsia="Arial" w:hAnsi="Arial"/>
          <w:i w:val="false"/>
          <w:iCs w:val="false"/>
          <w:color w:val="212121"/>
          <w:sz w:val="22"/>
          <w:szCs w:val="22"/>
        </w:rPr>
        <w:t xml:space="preserve">1–10</w:t>
      </w:r>
    </w:p>
    <w:p>
      <w:pPr>
        <w:keepNext w:val="false"/>
        <w:spacing w:after="40"/>
        <w:ind w:left="360"/>
      </w:pPr>
      <w:r>
        <w:rPr>
          <w:rFonts w:ascii="Arial" w:cs="Arial" w:eastAsia="Arial" w:hAnsi="Arial"/>
          <w:b/>
          <w:bCs/>
          <w:color w:val="424242"/>
          <w:sz w:val="22"/>
          <w:szCs w:val="22"/>
        </w:rPr>
        <w:t xml:space="preserve">Klausimų tipai: </w:t>
      </w:r>
      <w:r>
        <w:rPr>
          <w:rFonts w:ascii="Arial" w:cs="Arial" w:eastAsia="Arial" w:hAnsi="Arial"/>
          <w:i w:val="false"/>
          <w:iCs w:val="false"/>
          <w:color w:val="212121"/>
          <w:sz w:val="22"/>
          <w:szCs w:val="22"/>
        </w:rPr>
        <w:t xml:space="preserve">uždari (pasirinkimo), trumpi atviri, scenarijų analizė</w:t>
      </w:r>
    </w:p>
    <w:p>
      <w:pPr>
        <w:keepNext w:val="false"/>
        <w:spacing w:after="120"/>
      </w:pPr>
      <w:r>
        <w:rPr>
          <w:rFonts w:ascii="Arial" w:cs="Arial" w:eastAsia="Arial" w:hAnsi="Arial"/>
          <w:b/>
          <w:bCs/>
          <w:color w:val="424242"/>
          <w:sz w:val="22"/>
          <w:szCs w:val="22"/>
        </w:rPr>
        <w:t xml:space="preserve">ℹ Pastaba: </w:t>
      </w:r>
      <w:r>
        <w:rPr>
          <w:rFonts w:ascii="Arial" w:cs="Arial" w:eastAsia="Arial" w:hAnsi="Arial"/>
          <w:i w:val="false"/>
          <w:iCs w:val="false"/>
          <w:color w:val="212121"/>
          <w:sz w:val="22"/>
          <w:szCs w:val="22"/>
        </w:rPr>
        <w:t xml:space="preserve">jei mokinys turi specialiųjų ugdymosi poreikių, suteikite papildomo laiko pagal mokyklos nustatytas taisykles.</w:t>
      </w:r>
    </w:p>
    <w:p>
      <w:pPr>
        <w:keepNext/>
        <w:pBdr>
          <w:bottom w:val="single" w:color="757575" w:sz="8"/>
        </w:pBdr>
        <w:spacing w:after="120" w:before="20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757575"/>
          <w:sz w:val="22"/>
          <w:szCs w:val="22"/>
        </w:rPr>
        <w:t xml:space="preserve">PAMOKOS APRAŠYMAS (DIENYNUI)</w:t>
      </w:r>
    </w:p>
    <w:p>
      <w:pPr>
        <w:spacing w:after="80"/>
      </w:pPr>
      <w:r>
        <w:rPr>
          <w:rFonts w:ascii="Arial" w:cs="Arial" w:eastAsia="Arial" w:hAnsi="Arial"/>
          <w:i/>
          <w:iCs/>
          <w:color w:val="616161"/>
          <w:sz w:val="21"/>
          <w:szCs w:val="21"/>
        </w:rPr>
        <w:t xml:space="preserve">Saugos modulio struktūrinis vertinimas. Mokiniai individualiai atliko testą Testmoz platformoje. Testas apimė keturias saugos temas: ergonomiką, privatumo ir paskyrų saugą, internetines rizikas, skaitmeninių technologijų poveikį aplinkai. Klausimų tipai: uždari, trumpi atviri ir scenarijų analizė. Rezultatas fiksuojamas kaip pažymys (1–10 skalė).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2026-03-29T13:20:36.652Z</dcterms:created>
  <dcterms:modified xsi:type="dcterms:W3CDTF">2026-03-29T13:20:36.655Z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